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jc w:val="center"/>
        <w:rPr>
          <w:rFonts w:ascii="方正小标宋_GBK" w:hAnsi="方正小标宋_GBK" w:eastAsia="方正小标宋_GBK"/>
          <w:b w:val="0"/>
          <w:bCs w:val="0"/>
          <w:sz w:val="30"/>
        </w:rPr>
      </w:pPr>
      <w:bookmarkStart w:id="0" w:name="_GoBack"/>
      <w:bookmarkEnd w:id="0"/>
      <w:r>
        <w:rPr>
          <w:rFonts w:hint="eastAsia" w:ascii="方正小标宋_GBK" w:hAnsi="方正小标宋_GBK" w:eastAsia="方正小标宋_GBK"/>
          <w:b w:val="0"/>
          <w:bCs w:val="0"/>
          <w:sz w:val="30"/>
        </w:rPr>
        <w:t>龙胜各族自治县公共资源交易领域基层政务公开标准目录</w:t>
      </w:r>
    </w:p>
    <w:tbl>
      <w:tblPr>
        <w:tblStyle w:val="3"/>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686"/>
        <w:gridCol w:w="3118"/>
        <w:gridCol w:w="1559"/>
        <w:gridCol w:w="993"/>
        <w:gridCol w:w="1559"/>
        <w:gridCol w:w="567"/>
        <w:gridCol w:w="567"/>
        <w:gridCol w:w="425"/>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686"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118"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559"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993"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559" w:type="dxa"/>
            <w:vMerge w:val="restart"/>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pPr>
              <w:widowControl/>
              <w:spacing w:line="240" w:lineRule="exact"/>
              <w:jc w:val="left"/>
              <w:rPr>
                <w:rFonts w:ascii="仿宋_GB2312" w:hAnsi="Times New Roman" w:eastAsia="仿宋_GB2312"/>
                <w:color w:val="000000"/>
                <w:kern w:val="0"/>
                <w:szCs w:val="21"/>
              </w:rPr>
            </w:pPr>
          </w:p>
        </w:tc>
        <w:tc>
          <w:tcPr>
            <w:tcW w:w="709"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686" w:type="dxa"/>
            <w:vMerge w:val="continue"/>
            <w:vAlign w:val="center"/>
          </w:tcPr>
          <w:p>
            <w:pPr>
              <w:widowControl/>
              <w:spacing w:line="240" w:lineRule="exact"/>
              <w:jc w:val="left"/>
              <w:rPr>
                <w:rFonts w:ascii="黑体" w:hAnsi="宋体" w:eastAsia="黑体" w:cs="宋体"/>
                <w:kern w:val="0"/>
                <w:szCs w:val="21"/>
              </w:rPr>
            </w:pPr>
          </w:p>
        </w:tc>
        <w:tc>
          <w:tcPr>
            <w:tcW w:w="3118" w:type="dxa"/>
            <w:vMerge w:val="continue"/>
            <w:vAlign w:val="center"/>
          </w:tcPr>
          <w:p>
            <w:pPr>
              <w:widowControl/>
              <w:spacing w:line="240" w:lineRule="exact"/>
              <w:jc w:val="left"/>
              <w:rPr>
                <w:rFonts w:ascii="黑体" w:hAnsi="宋体" w:eastAsia="黑体" w:cs="宋体"/>
                <w:kern w:val="0"/>
                <w:szCs w:val="21"/>
              </w:rPr>
            </w:pPr>
          </w:p>
        </w:tc>
        <w:tc>
          <w:tcPr>
            <w:tcW w:w="1559" w:type="dxa"/>
            <w:vMerge w:val="continue"/>
            <w:vAlign w:val="center"/>
          </w:tcPr>
          <w:p>
            <w:pPr>
              <w:widowControl/>
              <w:spacing w:line="240" w:lineRule="exact"/>
              <w:jc w:val="left"/>
              <w:rPr>
                <w:rFonts w:ascii="黑体" w:hAnsi="宋体" w:eastAsia="黑体" w:cs="宋体"/>
                <w:kern w:val="0"/>
                <w:szCs w:val="21"/>
              </w:rPr>
            </w:pPr>
          </w:p>
        </w:tc>
        <w:tc>
          <w:tcPr>
            <w:tcW w:w="993" w:type="dxa"/>
            <w:vMerge w:val="continue"/>
            <w:vAlign w:val="center"/>
          </w:tcPr>
          <w:p>
            <w:pPr>
              <w:widowControl/>
              <w:spacing w:line="240" w:lineRule="exact"/>
              <w:jc w:val="left"/>
              <w:rPr>
                <w:rFonts w:ascii="黑体" w:hAnsi="宋体" w:eastAsia="黑体" w:cs="宋体"/>
                <w:kern w:val="0"/>
                <w:szCs w:val="21"/>
              </w:rPr>
            </w:pPr>
          </w:p>
        </w:tc>
        <w:tc>
          <w:tcPr>
            <w:tcW w:w="1559" w:type="dxa"/>
            <w:vMerge w:val="continue"/>
            <w:vAlign w:val="center"/>
          </w:tcPr>
          <w:p>
            <w:pPr>
              <w:widowControl/>
              <w:spacing w:line="240" w:lineRule="exact"/>
              <w:jc w:val="left"/>
              <w:rPr>
                <w:rFonts w:ascii="黑体" w:hAnsi="宋体" w:eastAsia="黑体" w:cs="宋体"/>
                <w:kern w:val="0"/>
                <w:szCs w:val="21"/>
              </w:rPr>
            </w:pP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686"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《招标投标法实施条例》（国令第613号）、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93"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686"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《招标投标法》、《招标投标法实施条例》（国令第613号）、《国务院办公厅关于推进公共资源配置领域政府信息公开的意见》（国办发〔2017〕97号）、《招标公告和公示信息发布管理办法》（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10号令）</w:t>
            </w:r>
          </w:p>
        </w:tc>
        <w:tc>
          <w:tcPr>
            <w:tcW w:w="1559"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993"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686"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118"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《招标投标法》、《招标投标法实施条例》（国令第613号）、《国务院办公厅关于推进公共资源配置领域政府信息公开的意见》（国办发〔2017〕97号）、《招标公告和公示信息发布管理办法》（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10号令）、《电子招标投标办法》（国家发改委2013年20号令）</w:t>
            </w:r>
          </w:p>
        </w:tc>
        <w:tc>
          <w:tcPr>
            <w:tcW w:w="1559"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993"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686" w:type="dxa"/>
            <w:vAlign w:val="center"/>
          </w:tcPr>
          <w:p>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118" w:type="dxa"/>
            <w:vMerge w:val="continue"/>
            <w:vAlign w:val="center"/>
          </w:tcPr>
          <w:p>
            <w:pPr>
              <w:spacing w:line="240" w:lineRule="exact"/>
              <w:rPr>
                <w:rFonts w:ascii="Times New Roman" w:hAnsi="Times New Roman"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93"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7" w:hRule="atLeast"/>
        </w:trPr>
        <w:tc>
          <w:tcPr>
            <w:tcW w:w="326"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68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 xml:space="preserve">10号令）、《电子招标投标办法》（国家发改委2013年20号令） </w:t>
            </w:r>
          </w:p>
        </w:tc>
        <w:tc>
          <w:tcPr>
            <w:tcW w:w="1559"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993"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pPr>
              <w:spacing w:line="240" w:lineRule="exact"/>
              <w:jc w:val="center"/>
              <w:rPr>
                <w:rFonts w:ascii="仿宋_GB2312" w:hAnsi="宋体" w:eastAsia="仿宋_GB2312"/>
                <w:sz w:val="18"/>
                <w:szCs w:val="18"/>
              </w:rPr>
            </w:pPr>
          </w:p>
        </w:tc>
        <w:tc>
          <w:tcPr>
            <w:tcW w:w="567"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68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118" w:type="dxa"/>
            <w:vMerge w:val="restart"/>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《国务院办公厅关于推进公共资源配置领域政府信息公开的意见》（国办发〔2017〕97号）、《电子招标投标办法》（国家发改委2013年20号令）</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559"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rPr>
                <w:rFonts w:ascii="仿宋_GB2312" w:hAnsi="宋体" w:eastAsia="仿宋_GB2312"/>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pPr>
              <w:spacing w:line="240" w:lineRule="exact"/>
              <w:jc w:val="center"/>
              <w:rPr>
                <w:rFonts w:ascii="仿宋_GB2312" w:hAnsi="宋体" w:eastAsia="仿宋_GB2312" w:cs="宋体"/>
                <w:sz w:val="18"/>
                <w:szCs w:val="18"/>
              </w:rPr>
            </w:pPr>
          </w:p>
        </w:tc>
        <w:tc>
          <w:tcPr>
            <w:tcW w:w="567"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686" w:type="dxa"/>
            <w:vAlign w:val="center"/>
          </w:tcPr>
          <w:p>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118" w:type="dxa"/>
            <w:vMerge w:val="continue"/>
            <w:vAlign w:val="center"/>
          </w:tcPr>
          <w:p>
            <w:pPr>
              <w:spacing w:line="240" w:lineRule="exact"/>
              <w:rPr>
                <w:rFonts w:ascii="Times New Roman" w:hAnsi="Times New Roman" w:eastAsia="仿宋_GB2312"/>
                <w:sz w:val="18"/>
                <w:szCs w:val="18"/>
              </w:rPr>
            </w:pP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合同当事人</w:t>
            </w:r>
          </w:p>
        </w:tc>
        <w:tc>
          <w:tcPr>
            <w:tcW w:w="1559" w:type="dxa"/>
            <w:vMerge w:val="continue"/>
            <w:vAlign w:val="center"/>
          </w:tcPr>
          <w:p>
            <w:pPr>
              <w:spacing w:line="240" w:lineRule="exact"/>
              <w:rPr>
                <w:rFonts w:ascii="Wingdings 2" w:hAnsi="Wingdings 2" w:cs="宋体"/>
                <w:sz w:val="18"/>
                <w:szCs w:val="18"/>
              </w:rPr>
            </w:pPr>
          </w:p>
        </w:tc>
        <w:tc>
          <w:tcPr>
            <w:tcW w:w="567"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jc w:val="center"/>
              <w:rPr>
                <w:rFonts w:ascii="宋体" w:hAnsi="宋体" w:cs="宋体"/>
                <w:sz w:val="18"/>
                <w:szCs w:val="18"/>
              </w:rPr>
            </w:pPr>
            <w:r>
              <w:rPr>
                <w:rFonts w:hint="eastAsia"/>
                <w:sz w:val="18"/>
                <w:szCs w:val="18"/>
              </w:rPr>
              <w:t>　</w:t>
            </w:r>
          </w:p>
        </w:tc>
        <w:tc>
          <w:tcPr>
            <w:tcW w:w="425" w:type="dxa"/>
            <w:vAlign w:val="center"/>
          </w:tcPr>
          <w:p>
            <w:pPr>
              <w:spacing w:line="240" w:lineRule="exact"/>
              <w:jc w:val="center"/>
              <w:rPr>
                <w:rFonts w:ascii="宋体" w:hAnsi="宋体" w:cs="宋体"/>
                <w:sz w:val="18"/>
                <w:szCs w:val="18"/>
              </w:rPr>
            </w:pPr>
            <w:r>
              <w:rPr>
                <w:rFonts w:hint="eastAsia"/>
                <w:sz w:val="18"/>
                <w:szCs w:val="18"/>
              </w:rPr>
              <w:t>√</w:t>
            </w:r>
          </w:p>
        </w:tc>
        <w:tc>
          <w:tcPr>
            <w:tcW w:w="567" w:type="dxa"/>
            <w:vAlign w:val="center"/>
          </w:tcPr>
          <w:p>
            <w:pPr>
              <w:spacing w:line="240" w:lineRule="exact"/>
              <w:rPr>
                <w:rFonts w:ascii="宋体" w:hAnsi="宋体" w:cs="宋体"/>
                <w:sz w:val="18"/>
                <w:szCs w:val="18"/>
              </w:rPr>
            </w:pP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《招标投标法》、《招标投标法实施条例》（国令第613号）、《电子招标投标办法》（国家发改委2013年20号令）</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10号令）</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lang w:eastAsia="zh-CN"/>
              </w:rPr>
              <w:t>国家发展改革委</w:t>
            </w:r>
            <w:r>
              <w:rPr>
                <w:rFonts w:ascii="Times New Roman" w:hAnsi="Times New Roman" w:eastAsia="仿宋_GB2312"/>
                <w:sz w:val="18"/>
                <w:szCs w:val="18"/>
              </w:rPr>
              <w:t>10号令））</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55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9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559"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559"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采购文件</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34"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pPr>
              <w:spacing w:line="240" w:lineRule="exact"/>
              <w:rPr>
                <w:rFonts w:ascii="仿宋_GB2312" w:eastAsia="仿宋_GB2312"/>
                <w:sz w:val="18"/>
                <w:szCs w:val="18"/>
              </w:rPr>
            </w:pP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559"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采购合同</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终止公告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采购人</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559"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财政部门</w:t>
            </w:r>
          </w:p>
        </w:tc>
        <w:tc>
          <w:tcPr>
            <w:tcW w:w="155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国有土地使用权出让信息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土地出让计划</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明确国有建设用地供应指导思想和原则；提出国有建设用地供应政策导向；确定国有建设用地供应总量、结构、布局、时序和方式；落实计划供应的宗地；实施计划的保障措施。</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拍卖挂牌出让国有建设用地使用权规定》（国土资源部令第39号）、《国有建设用地供应计划编制规范》（试行）（国土资发[2010]117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每年3月31日前，公布年度国有建设用地供应计划</w:t>
            </w:r>
          </w:p>
        </w:tc>
        <w:tc>
          <w:tcPr>
            <w:tcW w:w="993"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jc w:val="left"/>
              <w:rPr>
                <w:rFonts w:ascii="仿宋_GB2312"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招标拍卖挂牌出让公告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《国务院办公厅关于推进公共资源配置领域政府信息公开的意见》（国办发〔2017〕97号）、《招标拍卖挂牌出让国有建设用地使用权规定》（国土资源部令第39号）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jc w:val="left"/>
              <w:rPr>
                <w:rFonts w:ascii="仿宋_GB2312" w:hAnsi="宋体"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国有土地使用权出让信息</w:t>
            </w:r>
          </w:p>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公告调整</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公开国有建设用地使用权出让公告、项目概况、澄清或者修改事项、联系方式。</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《招标拍卖挂牌出让国有土地使用权规范》（国土资发［2006］114号）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按原公告发布渠道及时发布补充公告，涉及土地使用条件变更等影响土地价格的重大变动，补充公告发布时间距招拍挂活动开始时间少于20日的，招拍挂活动相应顺延</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jc w:val="left"/>
              <w:rPr>
                <w:rFonts w:ascii="仿宋_GB2312" w:hAnsi="宋体"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招标拍卖挂牌出让结果（成交公示）</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拍卖挂牌出让国有建设用地使用权规定》（国土资源部令第39号）、《招标拍卖挂牌出让国有土地使用权规范》（国土资发［2006］114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招标拍卖挂牌活动结束后的10个工作日内</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jc w:val="left"/>
              <w:rPr>
                <w:rFonts w:ascii="仿宋_GB2312" w:hAnsi="宋体"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中国土地市场网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供应结果</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国有建设用地使用权年度供应结果。</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w:t>
            </w:r>
          </w:p>
        </w:tc>
        <w:tc>
          <w:tcPr>
            <w:tcW w:w="155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jc w:val="left"/>
              <w:rPr>
                <w:rFonts w:ascii="仿宋_GB2312" w:hAnsi="宋体"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矿业权出让信息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招标拍卖挂牌出让公告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《国务院办公厅关于推进公共资源配置领域政府信息公开的意见》（国办发〔2017〕97号）、国土资源部关于印发《矿业权交易规则》的通知（ 国土资规〔2017〕7号）、《自然资源部关于调整&lt;矿业权交易规则&gt;有关规定的通知》(国土资规〔2017〕7号)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在投标截止日、公开拍卖日或者挂牌起始日20个工作日前发布。挂牌时间不得少于10个工作日</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jc w:val="left"/>
              <w:rPr>
                <w:rFonts w:ascii="仿宋_GB2312" w:hAnsi="宋体" w:eastAsia="仿宋_GB2312"/>
                <w:sz w:val="18"/>
                <w:szCs w:val="18"/>
              </w:rPr>
            </w:pPr>
          </w:p>
        </w:tc>
        <w:tc>
          <w:tcPr>
            <w:tcW w:w="1559"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自然资源部门户网站</w:t>
            </w:r>
            <w:r>
              <w:rPr>
                <w:rFonts w:hint="eastAsia" w:ascii="仿宋_GB2312" w:eastAsia="仿宋_GB2312"/>
                <w:sz w:val="18"/>
                <w:szCs w:val="18"/>
              </w:rPr>
              <w:br w:type="textWrapping"/>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50" w:hRule="atLeas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招标拍卖挂牌成交结果公示</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《国务院办公厅关于推进公共资源配置领域政府信息公开的意见》（国办发〔2017〕97号）、国土资源部关于印发《矿业权交易规则》的通知（ 国土资规〔2017〕7号）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发出中标通知书或者签订成交确认书后5个工作日内进行信息公示。公示期不少于10个工作日</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rPr>
                <w:rFonts w:ascii="仿宋_GB2312" w:hAnsi="宋体" w:eastAsia="仿宋_GB2312"/>
                <w:sz w:val="18"/>
                <w:szCs w:val="18"/>
              </w:rPr>
            </w:pPr>
          </w:p>
        </w:tc>
        <w:tc>
          <w:tcPr>
            <w:tcW w:w="1559"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自然资源部门户网站</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矿业权出让信息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审批结果信息</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每个项目的审批结果信息（交易完成后由各级自然资源管理部门审批）。</w:t>
            </w:r>
          </w:p>
        </w:tc>
        <w:tc>
          <w:tcPr>
            <w:tcW w:w="3118"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pStyle w:val="6"/>
              <w:spacing w:line="240" w:lineRule="exact"/>
              <w:rPr>
                <w:rFonts w:ascii="仿宋_GB2312" w:hAnsi="宋体" w:eastAsia="仿宋_GB2312" w:cs="Times New Roman"/>
                <w:color w:val="auto"/>
                <w:kern w:val="2"/>
                <w:sz w:val="18"/>
                <w:szCs w:val="18"/>
              </w:rPr>
            </w:pPr>
            <w:r>
              <w:rPr>
                <w:rFonts w:hint="eastAsia" w:ascii="仿宋_GB2312" w:hAnsi="宋体" w:eastAsia="仿宋_GB2312" w:cs="Times New Roman"/>
                <w:color w:val="auto"/>
                <w:kern w:val="2"/>
                <w:sz w:val="18"/>
                <w:szCs w:val="18"/>
              </w:rPr>
              <w:t>■政务服务中心</w:t>
            </w:r>
          </w:p>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709" w:type="dxa"/>
            <w:vMerge w:val="continue"/>
            <w:vAlign w:val="center"/>
          </w:tcPr>
          <w:p>
            <w:pPr>
              <w:spacing w:line="240" w:lineRule="exact"/>
              <w:jc w:val="center"/>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项目信息</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公告有效期内矿业权基本信息包括矿业权名称、许可证号、矿业权人、矿种、有效期限。</w:t>
            </w:r>
          </w:p>
        </w:tc>
        <w:tc>
          <w:tcPr>
            <w:tcW w:w="3118" w:type="dxa"/>
            <w:vAlign w:val="center"/>
          </w:tcPr>
          <w:p>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每年一季度集中公告</w:t>
            </w:r>
          </w:p>
        </w:tc>
        <w:tc>
          <w:tcPr>
            <w:tcW w:w="993" w:type="dxa"/>
            <w:vAlign w:val="center"/>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龙胜县自然资源局</w:t>
            </w:r>
          </w:p>
          <w:p>
            <w:pPr>
              <w:spacing w:line="240" w:lineRule="exact"/>
              <w:rPr>
                <w:rFonts w:ascii="仿宋_GB2312" w:hAnsi="宋体" w:eastAsia="仿宋_GB2312"/>
                <w:sz w:val="18"/>
                <w:szCs w:val="18"/>
              </w:rPr>
            </w:pPr>
          </w:p>
        </w:tc>
        <w:tc>
          <w:tcPr>
            <w:tcW w:w="1559"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pPr>
              <w:spacing w:line="240" w:lineRule="exact"/>
              <w:rPr>
                <w:rFonts w:ascii="仿宋_GB2312" w:eastAsia="仿宋_GB2312"/>
                <w:sz w:val="18"/>
                <w:szCs w:val="18"/>
              </w:rPr>
            </w:pP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rPr>
                <w:rFonts w:ascii="仿宋_GB2312" w:eastAsia="仿宋_GB2312"/>
                <w:sz w:val="18"/>
                <w:szCs w:val="18"/>
              </w:rPr>
            </w:pPr>
            <w:r>
              <w:rPr>
                <w:rFonts w:hint="eastAsia" w:ascii="仿宋_GB2312" w:hAnsi="仿宋_GB2312" w:eastAsia="仿宋_GB2312" w:cs="仿宋_GB2312"/>
                <w:szCs w:val="21"/>
              </w:rPr>
              <w:t>√</w:t>
            </w:r>
          </w:p>
        </w:tc>
        <w:tc>
          <w:tcPr>
            <w:tcW w:w="567" w:type="dxa"/>
          </w:tcPr>
          <w:p>
            <w:pPr>
              <w:spacing w:line="240" w:lineRule="exact"/>
              <w:rPr>
                <w:rFonts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709"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《国务院办公厅关于推进公共资源配置领域政府信息公开的意见》（国办发〔2017〕97号）、《企业国有资产交易监督管理办法》(国资委、财政部令 第32号)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559"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709" w:type="dxa"/>
            <w:vMerge w:val="restart"/>
            <w:vAlign w:val="center"/>
          </w:tcPr>
          <w:p>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《国务院办公厅关于推进公共资源配置领域政府信息公开的意见》（国办发〔2017〕97号）、《企业国有资产交易监督管理办法》(国资委、财政部令 第32号)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转让方</w:t>
            </w:r>
          </w:p>
        </w:tc>
        <w:tc>
          <w:tcPr>
            <w:tcW w:w="1559"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709" w:type="dxa"/>
            <w:vMerge w:val="continue"/>
            <w:vAlign w:val="center"/>
          </w:tcPr>
          <w:p>
            <w:pPr>
              <w:spacing w:line="240" w:lineRule="exact"/>
              <w:rPr>
                <w:rFonts w:ascii="仿宋_GB2312" w:eastAsia="仿宋_GB2312"/>
                <w:sz w:val="18"/>
                <w:szCs w:val="18"/>
              </w:rPr>
            </w:pP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686" w:type="dxa"/>
            <w:vAlign w:val="center"/>
          </w:tcPr>
          <w:p>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118" w:type="dxa"/>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《国务院办公厅关于推进公共资源配置领域政府信息公开的意见》（国办发〔2017〕97号）、《企业国有资产交易监督管理办法》(国资委、财政部令 第32号)</w:t>
            </w:r>
          </w:p>
        </w:tc>
        <w:tc>
          <w:tcPr>
            <w:tcW w:w="1559" w:type="dxa"/>
            <w:vAlign w:val="center"/>
          </w:tcPr>
          <w:p>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993" w:type="dxa"/>
            <w:vAlign w:val="center"/>
          </w:tcPr>
          <w:p>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559"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68" w:hRule="atLeast"/>
        </w:trPr>
        <w:tc>
          <w:tcPr>
            <w:tcW w:w="326" w:type="dxa"/>
            <w:vAlign w:val="center"/>
          </w:tcPr>
          <w:p>
            <w:pPr>
              <w:jc w:val="center"/>
              <w:rPr>
                <w:rFonts w:ascii="仿宋_GB2312" w:eastAsia="仿宋_GB2312"/>
                <w:sz w:val="18"/>
                <w:szCs w:val="18"/>
              </w:rPr>
            </w:pPr>
            <w:r>
              <w:rPr>
                <w:rFonts w:hint="eastAsia" w:ascii="仿宋_GB2312" w:eastAsia="仿宋_GB2312"/>
                <w:sz w:val="18"/>
                <w:szCs w:val="18"/>
              </w:rPr>
              <w:t>39</w:t>
            </w:r>
          </w:p>
        </w:tc>
        <w:tc>
          <w:tcPr>
            <w:tcW w:w="709" w:type="dxa"/>
            <w:vMerge w:val="restart"/>
            <w:vAlign w:val="center"/>
          </w:tcPr>
          <w:p>
            <w:pPr>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pPr>
              <w:rPr>
                <w:rFonts w:ascii="仿宋_GB2312" w:eastAsia="仿宋_GB2312"/>
                <w:sz w:val="18"/>
                <w:szCs w:val="18"/>
              </w:rPr>
            </w:pPr>
            <w:r>
              <w:rPr>
                <w:rFonts w:hint="eastAsia" w:ascii="仿宋_GB2312" w:eastAsia="仿宋_GB2312"/>
                <w:sz w:val="18"/>
                <w:szCs w:val="18"/>
              </w:rPr>
              <w:t>国有企业资产转让信息披露</w:t>
            </w:r>
          </w:p>
        </w:tc>
        <w:tc>
          <w:tcPr>
            <w:tcW w:w="3686" w:type="dxa"/>
            <w:vAlign w:val="center"/>
          </w:tcPr>
          <w:p>
            <w:pPr>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118" w:type="dxa"/>
            <w:vAlign w:val="center"/>
          </w:tcPr>
          <w:p>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《国务院办公厅关于推进公共资源配置领域政府信息公开的意见》（国办发〔2017〕97号）、《企业国有资产交易监督管理办法》(国资委、财政部令 第32号)</w:t>
            </w:r>
          </w:p>
        </w:tc>
        <w:tc>
          <w:tcPr>
            <w:tcW w:w="1559" w:type="dxa"/>
            <w:vAlign w:val="center"/>
          </w:tcPr>
          <w:p>
            <w:pPr>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93" w:type="dxa"/>
            <w:vAlign w:val="center"/>
          </w:tcPr>
          <w:p>
            <w:pPr>
              <w:rPr>
                <w:rFonts w:ascii="仿宋_GB2312" w:eastAsia="仿宋_GB2312"/>
                <w:sz w:val="18"/>
                <w:szCs w:val="18"/>
              </w:rPr>
            </w:pPr>
            <w:r>
              <w:rPr>
                <w:rFonts w:hint="eastAsia" w:ascii="仿宋_GB2312" w:eastAsia="仿宋_GB2312"/>
                <w:sz w:val="18"/>
                <w:szCs w:val="18"/>
              </w:rPr>
              <w:t>转让方</w:t>
            </w:r>
          </w:p>
        </w:tc>
        <w:tc>
          <w:tcPr>
            <w:tcW w:w="1559"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jc w:val="center"/>
              <w:rPr>
                <w:rFonts w:ascii="仿宋_GB2312" w:eastAsia="仿宋_GB2312"/>
                <w:sz w:val="18"/>
                <w:szCs w:val="18"/>
              </w:rPr>
            </w:pP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425"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pPr>
              <w:jc w:val="center"/>
              <w:rPr>
                <w:rFonts w:ascii="仿宋_GB2312" w:eastAsia="仿宋_GB2312"/>
                <w:sz w:val="18"/>
                <w:szCs w:val="18"/>
              </w:rPr>
            </w:pPr>
            <w:r>
              <w:rPr>
                <w:rFonts w:hint="eastAsia" w:ascii="仿宋_GB2312" w:eastAsia="仿宋_GB2312"/>
                <w:sz w:val="18"/>
                <w:szCs w:val="18"/>
              </w:rPr>
              <w:t>40</w:t>
            </w:r>
          </w:p>
        </w:tc>
        <w:tc>
          <w:tcPr>
            <w:tcW w:w="709" w:type="dxa"/>
            <w:vMerge w:val="continue"/>
            <w:vAlign w:val="center"/>
          </w:tcPr>
          <w:p>
            <w:pPr>
              <w:rPr>
                <w:rFonts w:ascii="仿宋_GB2312" w:eastAsia="仿宋_GB2312"/>
                <w:sz w:val="18"/>
                <w:szCs w:val="18"/>
              </w:rPr>
            </w:pPr>
          </w:p>
        </w:tc>
        <w:tc>
          <w:tcPr>
            <w:tcW w:w="567" w:type="dxa"/>
            <w:vAlign w:val="center"/>
          </w:tcPr>
          <w:p>
            <w:pPr>
              <w:rPr>
                <w:rFonts w:ascii="仿宋_GB2312" w:eastAsia="仿宋_GB2312"/>
                <w:sz w:val="18"/>
                <w:szCs w:val="18"/>
              </w:rPr>
            </w:pPr>
            <w:r>
              <w:rPr>
                <w:rFonts w:hint="eastAsia" w:ascii="仿宋_GB2312" w:eastAsia="仿宋_GB2312"/>
                <w:sz w:val="18"/>
                <w:szCs w:val="18"/>
              </w:rPr>
              <w:t>国有企业资产转让成交公告</w:t>
            </w:r>
          </w:p>
        </w:tc>
        <w:tc>
          <w:tcPr>
            <w:tcW w:w="3686" w:type="dxa"/>
            <w:vAlign w:val="center"/>
          </w:tcPr>
          <w:p>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118" w:type="dxa"/>
            <w:vAlign w:val="center"/>
          </w:tcPr>
          <w:p>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《国务院办公厅关于推进公共资源配置领域政府信息公开的意见》（国办发〔2017〕97号）、《企业国有资产交易监督管理办法》(国资委、财政部令 第32号)</w:t>
            </w:r>
          </w:p>
        </w:tc>
        <w:tc>
          <w:tcPr>
            <w:tcW w:w="1559" w:type="dxa"/>
            <w:vAlign w:val="center"/>
          </w:tcPr>
          <w:p>
            <w:pPr>
              <w:rPr>
                <w:rFonts w:ascii="仿宋_GB2312" w:eastAsia="仿宋_GB2312"/>
                <w:sz w:val="18"/>
                <w:szCs w:val="18"/>
              </w:rPr>
            </w:pPr>
            <w:r>
              <w:rPr>
                <w:rFonts w:hint="eastAsia" w:ascii="仿宋_GB2312" w:eastAsia="仿宋_GB2312"/>
                <w:sz w:val="18"/>
                <w:szCs w:val="18"/>
              </w:rPr>
              <w:t>不少于5个工作日</w:t>
            </w:r>
          </w:p>
        </w:tc>
        <w:tc>
          <w:tcPr>
            <w:tcW w:w="993"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559" w:type="dxa"/>
            <w:vAlign w:val="center"/>
          </w:tcPr>
          <w:p>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pPr>
              <w:rPr>
                <w:rFonts w:ascii="仿宋_GB2312" w:eastAsia="仿宋_GB2312"/>
                <w:sz w:val="18"/>
                <w:szCs w:val="18"/>
              </w:rPr>
            </w:pPr>
            <w:r>
              <w:rPr>
                <w:rFonts w:hint="eastAsia" w:ascii="仿宋_GB2312" w:eastAsia="仿宋_GB2312"/>
                <w:sz w:val="18"/>
                <w:szCs w:val="18"/>
              </w:rPr>
              <w:t>　</w:t>
            </w:r>
          </w:p>
        </w:tc>
        <w:tc>
          <w:tcPr>
            <w:tcW w:w="425"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pPr>
        <w:jc w:val="center"/>
        <w:rPr>
          <w:rFonts w:ascii="Times New Roman" w:hAnsi="Times New Roman" w:eastAsia="方正小标宋_GBK"/>
          <w:sz w:val="28"/>
          <w:szCs w:val="28"/>
        </w:rPr>
      </w:pPr>
    </w:p>
    <w:p>
      <w:pPr>
        <w:spacing w:line="240" w:lineRule="exact"/>
        <w:jc w:val="center"/>
        <w:rPr>
          <w:rFonts w:ascii="Times New Roman" w:hAnsi="Times New Roman" w:eastAsia="方正小标宋_GBK"/>
          <w:sz w:val="28"/>
          <w:szCs w:val="28"/>
        </w:rPr>
      </w:pPr>
    </w:p>
    <w:p>
      <w:pPr>
        <w:spacing w:line="240" w:lineRule="exact"/>
        <w:jc w:val="center"/>
        <w:rPr>
          <w:rFonts w:ascii="Times New Roman" w:hAnsi="Times New Roman" w:eastAsia="方正小标宋_GBK"/>
          <w:sz w:val="28"/>
          <w:szCs w:val="28"/>
        </w:rPr>
      </w:pPr>
    </w:p>
    <w:p>
      <w:pPr>
        <w:spacing w:line="240" w:lineRule="exact"/>
        <w:jc w:val="center"/>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F05F52"/>
    <w:rsid w:val="00EE2C82"/>
    <w:rsid w:val="00F05F52"/>
    <w:rsid w:val="10317FAD"/>
    <w:rsid w:val="7CBF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autoRedefine/>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Calibri" w:hAnsi="Calibri" w:eastAsia="宋体" w:cs="Times New Roman"/>
      <w:b/>
      <w:bCs/>
      <w:kern w:val="44"/>
      <w:sz w:val="44"/>
      <w:szCs w:val="44"/>
    </w:rPr>
  </w:style>
  <w:style w:type="paragraph" w:customStyle="1" w:styleId="6">
    <w:name w:val="Default"/>
    <w:next w:val="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1575</Words>
  <Characters>8983</Characters>
  <Lines>74</Lines>
  <Paragraphs>21</Paragraphs>
  <TotalTime>2</TotalTime>
  <ScaleCrop>false</ScaleCrop>
  <LinksUpToDate>false</LinksUpToDate>
  <CharactersWithSpaces>10537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2021-11-08T01:44:00Z</dcterms:created>
  <dc:creator>NTKO</dc:creator>
  <cp:lastModifiedBy>此生随梦追</cp:lastModifiedBy>
  <dcterms:modified xsi:type="dcterms:W3CDTF">2024-05-06T02:56:21Z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A88204A3CB1940278A72121160894188</vt:lpwstr>
  </property>
</Properties>
</file>