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spacing w:val="20"/>
          <w:sz w:val="52"/>
          <w:szCs w:val="52"/>
        </w:rPr>
      </w:pPr>
      <w:bookmarkStart w:id="1" w:name="_GoBack"/>
      <w:bookmarkEnd w:id="1"/>
      <w:r>
        <w:rPr>
          <w:rFonts w:hint="eastAsia" w:ascii="方正小标宋_GBK" w:hAnsi="宋体" w:eastAsia="方正小标宋_GBK"/>
          <w:spacing w:val="20"/>
          <w:sz w:val="52"/>
          <w:szCs w:val="52"/>
        </w:rPr>
        <w:t>江底乡基层政务公开标准目录汇编</w:t>
      </w:r>
    </w:p>
    <w:p>
      <w:pPr>
        <w:jc w:val="center"/>
        <w:rPr>
          <w:rFonts w:ascii="方正小标宋_GBK" w:hAnsi="宋体" w:eastAsia="方正小标宋_GBK"/>
          <w:spacing w:val="20"/>
          <w:sz w:val="52"/>
          <w:szCs w:val="52"/>
        </w:rPr>
      </w:pPr>
    </w:p>
    <w:p>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pPr>
        <w:pStyle w:val="6"/>
        <w:rPr>
          <w:rFonts w:ascii="黑体" w:hAnsi="Times New Roman" w:eastAsia="黑体"/>
          <w:sz w:val="30"/>
          <w:szCs w:val="30"/>
        </w:rPr>
      </w:pPr>
      <w:r>
        <w:fldChar w:fldCharType="begin"/>
      </w:r>
      <w:r>
        <w:instrText xml:space="preserve"> HYPERLINK \l "_Toc24724721" </w:instrText>
      </w:r>
      <w:r>
        <w:fldChar w:fldCharType="separate"/>
      </w:r>
      <w:r>
        <w:rPr>
          <w:rStyle w:val="9"/>
          <w:rFonts w:hint="eastAsia" w:ascii="黑体" w:hAnsi="方正小标宋_GBK" w:eastAsia="黑体"/>
          <w:color w:val="auto"/>
          <w:sz w:val="30"/>
          <w:szCs w:val="30"/>
          <w:u w:val="none"/>
        </w:rPr>
        <w:t>（十八）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pPr>
        <w:jc w:val="left"/>
        <w:rPr>
          <w:rFonts w:ascii="方正小标宋_GBK" w:hAnsi="方正小标宋_GBK" w:eastAsia="方正小标宋_GBK"/>
          <w:bCs/>
          <w:sz w:val="30"/>
        </w:rPr>
      </w:pPr>
    </w:p>
    <w:p>
      <w:pPr>
        <w:jc w:val="left"/>
        <w:rPr>
          <w:rFonts w:ascii="方正小标宋_GBK" w:hAnsi="方正小标宋_GBK" w:eastAsia="方正小标宋_GBK"/>
          <w:sz w:val="30"/>
        </w:rPr>
      </w:pPr>
    </w:p>
    <w:p>
      <w:pPr>
        <w:jc w:val="left"/>
        <w:rPr>
          <w:rFonts w:ascii="方正小标宋_GBK" w:hAnsi="方正小标宋_GBK" w:eastAsia="方正小标宋_GBK"/>
          <w:sz w:val="30"/>
        </w:rPr>
      </w:pPr>
    </w:p>
    <w:p>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315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1968"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江底乡人民政府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江底乡人民政府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pPr>
              <w:spacing w:line="240" w:lineRule="exact"/>
              <w:rPr>
                <w:rFonts w:ascii="Times New Roman" w:hAnsi="Times New Roman" w:eastAsia="仿宋_GB2312"/>
                <w:sz w:val="18"/>
                <w:szCs w:val="18"/>
              </w:rPr>
            </w:pPr>
          </w:p>
        </w:tc>
        <w:tc>
          <w:tcPr>
            <w:tcW w:w="887"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江底乡人民政府</w:t>
            </w:r>
          </w:p>
        </w:tc>
        <w:tc>
          <w:tcPr>
            <w:tcW w:w="1968" w:type="dxa"/>
            <w:vAlign w:val="center"/>
          </w:tcPr>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r>
              <w:rPr>
                <w:rFonts w:hint="eastAsia" w:ascii="仿宋_GB2312" w:hAnsi="Times New Roman" w:eastAsia="仿宋_GB2312"/>
                <w:sz w:val="18"/>
                <w:szCs w:val="18"/>
              </w:rPr>
              <w:t>同上</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江底乡人民政府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
    <w:p>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pPr>
              <w:widowControl/>
              <w:spacing w:line="240" w:lineRule="exact"/>
              <w:jc w:val="left"/>
              <w:rPr>
                <w:rFonts w:ascii="仿宋_GB2312" w:hAnsi="Times New Roman" w:eastAsia="仿宋_GB2312"/>
                <w:color w:val="000000"/>
                <w:kern w:val="0"/>
                <w:szCs w:val="21"/>
              </w:rPr>
            </w:pPr>
          </w:p>
        </w:tc>
        <w:tc>
          <w:tcPr>
            <w:tcW w:w="709"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pPr>
              <w:widowControl/>
              <w:spacing w:line="240" w:lineRule="exact"/>
              <w:jc w:val="left"/>
              <w:rPr>
                <w:rFonts w:ascii="黑体" w:hAnsi="宋体" w:eastAsia="黑体" w:cs="宋体"/>
                <w:kern w:val="0"/>
                <w:szCs w:val="21"/>
              </w:rPr>
            </w:pPr>
          </w:p>
        </w:tc>
        <w:tc>
          <w:tcPr>
            <w:tcW w:w="3260" w:type="dxa"/>
            <w:vMerge w:val="continue"/>
            <w:vAlign w:val="center"/>
          </w:tcPr>
          <w:p>
            <w:pPr>
              <w:widowControl/>
              <w:spacing w:line="240" w:lineRule="exact"/>
              <w:jc w:val="left"/>
              <w:rPr>
                <w:rFonts w:ascii="黑体" w:hAnsi="宋体" w:eastAsia="黑体" w:cs="宋体"/>
                <w:kern w:val="0"/>
                <w:szCs w:val="21"/>
              </w:rPr>
            </w:pPr>
          </w:p>
        </w:tc>
        <w:tc>
          <w:tcPr>
            <w:tcW w:w="1276" w:type="dxa"/>
            <w:vMerge w:val="continue"/>
            <w:vAlign w:val="center"/>
          </w:tcPr>
          <w:p>
            <w:pPr>
              <w:widowControl/>
              <w:spacing w:line="240" w:lineRule="exact"/>
              <w:jc w:val="left"/>
              <w:rPr>
                <w:rFonts w:ascii="黑体" w:hAnsi="宋体" w:eastAsia="黑体" w:cs="宋体"/>
                <w:kern w:val="0"/>
                <w:szCs w:val="21"/>
              </w:rPr>
            </w:pPr>
          </w:p>
        </w:tc>
        <w:tc>
          <w:tcPr>
            <w:tcW w:w="1417" w:type="dxa"/>
            <w:vMerge w:val="continue"/>
            <w:vAlign w:val="center"/>
          </w:tcPr>
          <w:p>
            <w:pPr>
              <w:widowControl/>
              <w:spacing w:line="240" w:lineRule="exact"/>
              <w:jc w:val="left"/>
              <w:rPr>
                <w:rFonts w:ascii="黑体" w:hAnsi="宋体" w:eastAsia="黑体" w:cs="宋体"/>
                <w:kern w:val="0"/>
                <w:szCs w:val="21"/>
              </w:rPr>
            </w:pPr>
          </w:p>
        </w:tc>
        <w:tc>
          <w:tcPr>
            <w:tcW w:w="1418" w:type="dxa"/>
            <w:vMerge w:val="continue"/>
            <w:vAlign w:val="center"/>
          </w:tcPr>
          <w:p>
            <w:pPr>
              <w:widowControl/>
              <w:spacing w:line="240" w:lineRule="exact"/>
              <w:jc w:val="left"/>
              <w:rPr>
                <w:rFonts w:ascii="黑体" w:hAnsi="宋体" w:eastAsia="黑体" w:cs="宋体"/>
                <w:kern w:val="0"/>
                <w:szCs w:val="21"/>
              </w:rPr>
            </w:pP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 xml:space="preserve">） </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pPr>
              <w:spacing w:line="240" w:lineRule="exact"/>
              <w:jc w:val="center"/>
              <w:rPr>
                <w:rFonts w:ascii="仿宋_GB2312" w:hAnsi="宋体" w:eastAsia="仿宋_GB2312"/>
                <w:sz w:val="18"/>
                <w:szCs w:val="18"/>
              </w:rPr>
            </w:pP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rPr>
                <w:rFonts w:ascii="仿宋_GB2312" w:hAnsi="宋体" w:eastAsia="仿宋_GB2312"/>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pPr>
              <w:spacing w:line="240" w:lineRule="exact"/>
              <w:rPr>
                <w:rFonts w:hint="eastAsia" w:ascii="Wingdings 2" w:hAnsi="Wingdings 2" w:cs="宋体"/>
                <w:sz w:val="18"/>
                <w:szCs w:val="18"/>
              </w:rPr>
            </w:pPr>
          </w:p>
        </w:tc>
        <w:tc>
          <w:tcPr>
            <w:tcW w:w="567"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jc w:val="center"/>
              <w:rPr>
                <w:rFonts w:ascii="宋体" w:hAnsi="宋体" w:cs="宋体"/>
                <w:sz w:val="18"/>
                <w:szCs w:val="18"/>
              </w:rPr>
            </w:pPr>
            <w:r>
              <w:rPr>
                <w:rFonts w:hint="eastAsia"/>
                <w:sz w:val="18"/>
                <w:szCs w:val="18"/>
              </w:rPr>
              <w:t>　</w:t>
            </w:r>
          </w:p>
        </w:tc>
        <w:tc>
          <w:tcPr>
            <w:tcW w:w="425"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rPr>
                <w:rFonts w:ascii="宋体" w:hAnsi="宋体" w:cs="宋体"/>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pPr>
              <w:spacing w:line="240" w:lineRule="exact"/>
              <w:rPr>
                <w:rFonts w:ascii="仿宋_GB2312" w:eastAsia="仿宋_GB2312"/>
                <w:sz w:val="18"/>
                <w:szCs w:val="18"/>
              </w:rPr>
            </w:pPr>
          </w:p>
          <w:p>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pPr>
              <w:rPr>
                <w:rFonts w:ascii="仿宋_GB2312" w:eastAsia="仿宋_GB2312"/>
                <w:sz w:val="18"/>
                <w:szCs w:val="18"/>
              </w:rPr>
            </w:pPr>
          </w:p>
        </w:tc>
        <w:tc>
          <w:tcPr>
            <w:tcW w:w="567" w:type="dxa"/>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pPr>
        <w:jc w:val="center"/>
        <w:rPr>
          <w:rFonts w:ascii="方正小标宋_GBK" w:hAnsi="方正小标宋_GBK" w:eastAsia="方正小标宋_GBK"/>
          <w:sz w:val="30"/>
        </w:rPr>
      </w:pPr>
    </w:p>
    <w:p>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pPr>
              <w:widowControl/>
              <w:jc w:val="left"/>
              <w:rPr>
                <w:rFonts w:ascii="黑体" w:hAnsi="Times New Roman" w:eastAsia="黑体" w:cs="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pPr>
              <w:widowControl/>
              <w:jc w:val="left"/>
              <w:rPr>
                <w:rFonts w:ascii="黑体" w:hAnsi="宋体" w:eastAsia="黑体" w:cs="宋体"/>
                <w:color w:val="000000"/>
                <w:kern w:val="0"/>
                <w:sz w:val="22"/>
              </w:rPr>
            </w:pPr>
          </w:p>
        </w:tc>
        <w:tc>
          <w:tcPr>
            <w:tcW w:w="3827"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rPr>
                <w:rFonts w:ascii="黑体" w:hAnsi="宋体" w:eastAsia="黑体" w:cs="宋体"/>
                <w:color w:val="000000"/>
                <w:kern w:val="0"/>
                <w:sz w:val="22"/>
              </w:rPr>
            </w:pPr>
          </w:p>
        </w:tc>
        <w:tc>
          <w:tcPr>
            <w:tcW w:w="1934" w:type="dxa"/>
            <w:vMerge w:val="continue"/>
            <w:vAlign w:val="center"/>
          </w:tcPr>
          <w:p>
            <w:pPr>
              <w:widowControl/>
              <w:jc w:val="left"/>
              <w:rPr>
                <w:rFonts w:ascii="黑体" w:hAnsi="宋体" w:eastAsia="黑体" w:cs="宋体"/>
                <w:kern w:val="0"/>
                <w:sz w:val="22"/>
              </w:rPr>
            </w:pPr>
          </w:p>
        </w:tc>
        <w:tc>
          <w:tcPr>
            <w:tcW w:w="61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江底</w:t>
            </w:r>
            <w:r>
              <w:rPr>
                <w:rFonts w:hint="eastAsia" w:ascii="仿宋_GB2312" w:hAnsi="仿宋" w:eastAsia="仿宋_GB2312" w:cs="Times New Roman"/>
                <w:sz w:val="18"/>
                <w:szCs w:val="18"/>
              </w:rPr>
              <w:t>乡中心校</w:t>
            </w:r>
          </w:p>
        </w:tc>
        <w:tc>
          <w:tcPr>
            <w:tcW w:w="1934" w:type="dxa"/>
            <w:vAlign w:val="center"/>
          </w:tcPr>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江底</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江底</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江底</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pPr>
              <w:widowControl/>
              <w:spacing w:line="240" w:lineRule="atLeast"/>
              <w:jc w:val="left"/>
              <w:rPr>
                <w:rFonts w:ascii="Times New Roman" w:hAnsi="Times New Roman" w:eastAsia="宋体" w:cs="Times New Roman"/>
                <w:color w:val="000000"/>
                <w:kern w:val="0"/>
                <w:sz w:val="22"/>
              </w:rPr>
            </w:pPr>
          </w:p>
        </w:tc>
        <w:tc>
          <w:tcPr>
            <w:tcW w:w="113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pPr>
              <w:widowControl/>
              <w:spacing w:line="240" w:lineRule="atLeast"/>
              <w:rPr>
                <w:rFonts w:ascii="黑体" w:hAnsi="宋体" w:eastAsia="黑体" w:cs="宋体"/>
                <w:color w:val="000000"/>
                <w:kern w:val="0"/>
                <w:sz w:val="22"/>
              </w:rPr>
            </w:pPr>
          </w:p>
        </w:tc>
        <w:tc>
          <w:tcPr>
            <w:tcW w:w="2552" w:type="dxa"/>
            <w:vMerge w:val="continue"/>
            <w:vAlign w:val="center"/>
          </w:tcPr>
          <w:p>
            <w:pPr>
              <w:widowControl/>
              <w:spacing w:line="240" w:lineRule="atLeast"/>
              <w:jc w:val="left"/>
              <w:rPr>
                <w:rFonts w:ascii="黑体" w:hAnsi="宋体" w:eastAsia="黑体" w:cs="宋体"/>
                <w:color w:val="000000"/>
                <w:kern w:val="0"/>
                <w:sz w:val="22"/>
              </w:rPr>
            </w:pPr>
          </w:p>
        </w:tc>
        <w:tc>
          <w:tcPr>
            <w:tcW w:w="2268" w:type="dxa"/>
            <w:vMerge w:val="continue"/>
            <w:vAlign w:val="center"/>
          </w:tcPr>
          <w:p>
            <w:pPr>
              <w:widowControl/>
              <w:spacing w:line="240" w:lineRule="atLeast"/>
              <w:jc w:val="left"/>
              <w:rPr>
                <w:rFonts w:ascii="黑体" w:hAnsi="宋体" w:eastAsia="黑体" w:cs="宋体"/>
                <w:color w:val="000000"/>
                <w:kern w:val="0"/>
                <w:sz w:val="22"/>
              </w:rPr>
            </w:pPr>
          </w:p>
        </w:tc>
        <w:tc>
          <w:tcPr>
            <w:tcW w:w="709" w:type="dxa"/>
            <w:vMerge w:val="continue"/>
            <w:vAlign w:val="center"/>
          </w:tcPr>
          <w:p>
            <w:pPr>
              <w:widowControl/>
              <w:spacing w:line="240" w:lineRule="atLeast"/>
              <w:jc w:val="left"/>
              <w:rPr>
                <w:rFonts w:ascii="黑体" w:hAnsi="宋体" w:eastAsia="黑体" w:cs="宋体"/>
                <w:color w:val="000000"/>
                <w:kern w:val="0"/>
                <w:sz w:val="22"/>
              </w:rPr>
            </w:pPr>
          </w:p>
        </w:tc>
        <w:tc>
          <w:tcPr>
            <w:tcW w:w="1275" w:type="dxa"/>
            <w:vMerge w:val="continue"/>
            <w:vAlign w:val="center"/>
          </w:tcPr>
          <w:p>
            <w:pPr>
              <w:widowControl/>
              <w:spacing w:line="240" w:lineRule="atLeast"/>
              <w:jc w:val="left"/>
              <w:rPr>
                <w:rFonts w:ascii="黑体" w:hAnsi="宋体" w:eastAsia="黑体" w:cs="宋体"/>
                <w:kern w:val="0"/>
                <w:sz w:val="22"/>
              </w:rPr>
            </w:pP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《户口登记条例》、《收养法》、《中国公民收养子女登记办法》（民政部第14号</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）、《国籍法》、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《户口登记条例》、《中华人民共和国政府信息公开条例》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《中国公民民族成份登记管理办法》（国家民委 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2号）、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p/>
    <w:p/>
    <w:p/>
    <w:p/>
    <w:p/>
    <w:p/>
    <w:p/>
    <w:p/>
    <w:p/>
    <w:p/>
    <w:p>
      <w:pPr>
        <w:pStyle w:val="2"/>
        <w:spacing w:before="0" w:after="0"/>
        <w:jc w:val="center"/>
        <w:rPr>
          <w:rFonts w:ascii="方正小标宋_GBK" w:hAnsi="方正小标宋_GBK" w:eastAsia="方正小标宋_GBK"/>
          <w:b w:val="0"/>
          <w:bCs w:val="0"/>
          <w:color w:val="000000" w:themeColor="text1"/>
          <w:sz w:val="30"/>
        </w:rPr>
      </w:pPr>
      <w:r>
        <w:rPr>
          <w:rFonts w:hint="eastAsia" w:ascii="方正小标宋_GBK" w:hAnsi="方正小标宋_GBK" w:eastAsia="方正小标宋_GBK"/>
          <w:b w:val="0"/>
          <w:bCs w:val="0"/>
          <w:color w:val="000000" w:themeColor="text1"/>
          <w:sz w:val="30"/>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restart"/>
            <w:vAlign w:val="center"/>
          </w:tcPr>
          <w:p>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440"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2534"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2410"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417"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75"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pPr>
              <w:widowControl/>
              <w:jc w:val="left"/>
              <w:rPr>
                <w:rFonts w:ascii="Times New Roman" w:hAnsi="Times New Roman"/>
                <w:color w:val="000000" w:themeColor="text1"/>
                <w:kern w:val="0"/>
                <w:sz w:val="22"/>
              </w:rPr>
            </w:pP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一级事项</w:t>
            </w: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二级事项</w:t>
            </w:r>
          </w:p>
        </w:tc>
        <w:tc>
          <w:tcPr>
            <w:tcW w:w="2534" w:type="dxa"/>
            <w:vMerge w:val="continue"/>
            <w:vAlign w:val="center"/>
          </w:tcPr>
          <w:p>
            <w:pPr>
              <w:widowControl/>
              <w:jc w:val="left"/>
              <w:rPr>
                <w:rFonts w:ascii="黑体" w:hAnsi="宋体" w:eastAsia="黑体" w:cs="宋体"/>
                <w:color w:val="000000" w:themeColor="text1"/>
                <w:kern w:val="0"/>
                <w:sz w:val="22"/>
              </w:rPr>
            </w:pPr>
          </w:p>
        </w:tc>
        <w:tc>
          <w:tcPr>
            <w:tcW w:w="2410"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1417"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567"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全社会</w:t>
            </w:r>
          </w:p>
        </w:tc>
        <w:tc>
          <w:tcPr>
            <w:tcW w:w="70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特定群众</w:t>
            </w:r>
          </w:p>
        </w:tc>
        <w:tc>
          <w:tcPr>
            <w:tcW w:w="425"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主动</w:t>
            </w:r>
          </w:p>
        </w:tc>
        <w:tc>
          <w:tcPr>
            <w:tcW w:w="851"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依申请公开</w:t>
            </w:r>
          </w:p>
        </w:tc>
        <w:tc>
          <w:tcPr>
            <w:tcW w:w="567"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县级</w:t>
            </w:r>
          </w:p>
        </w:tc>
        <w:tc>
          <w:tcPr>
            <w:tcW w:w="708"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综合业务</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《社会救助暂行办法》（国令第649号）                 </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各地配套政策法规文件</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2</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监督</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检查</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社会救助信访通讯地址</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社会救助投诉举报电话</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3</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《国务院关于进一步加强和改进最低生活保障工作的意见》（国发〔2012〕45号）、《最低生活保障审核审批办法（试行）》、各地配套政策法规文件</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4</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办理事项、办理条件、最低生活保障标准、申请材料、办理流程、办理时间、地点、联系方式</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5</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初审对象名单及相关信息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rPr>
            </w:pP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6</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低保对象名单及相关信息</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7</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8</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办理事项、办理条件、救助供养标准、申请材料、办理流程、办理时间、地点、联系方式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9</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初审对象名单及相关信息、终止供养名单</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rPr>
            </w:pP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10</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特困人员名单及相关信息</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11</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《国务院关于全面建立临时救助制度的通知》（国发〔2014〕47号）、《民政部 财政部关于进一步加强和改进临时救助工作的意见》、各地配套政策法规文件</w:t>
            </w:r>
          </w:p>
        </w:tc>
        <w:tc>
          <w:tcPr>
            <w:tcW w:w="2410" w:type="dxa"/>
            <w:vAlign w:val="center"/>
          </w:tcPr>
          <w:p>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12</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办理事项、办理条件、救助标准、申请材料、办理流程、办理时间、地点、联系方式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13</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审批</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支出型临时救助对象名单、救助金额、救助事由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bl>
    <w:p>
      <w:pPr>
        <w:pStyle w:val="2"/>
        <w:spacing w:before="0" w:after="0"/>
        <w:jc w:val="center"/>
        <w:rPr>
          <w:rFonts w:ascii="方正小标宋_GBK" w:hAnsi="方正小标宋_GBK" w:eastAsia="方正小标宋_GBK"/>
          <w:b w:val="0"/>
          <w:bCs w:val="0"/>
          <w:color w:val="000000" w:themeColor="text1"/>
          <w:sz w:val="30"/>
        </w:rPr>
      </w:pPr>
      <w:bookmarkStart w:id="0" w:name="_Toc24724709"/>
      <w:r>
        <w:rPr>
          <w:rFonts w:hint="eastAsia" w:ascii="方正小标宋_GBK" w:hAnsi="方正小标宋_GBK" w:eastAsia="方正小标宋_GBK"/>
          <w:b w:val="0"/>
          <w:bCs w:val="0"/>
          <w:color w:val="000000" w:themeColor="text1"/>
          <w:sz w:val="30"/>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Merge w:val="restart"/>
            <w:vAlign w:val="center"/>
          </w:tcPr>
          <w:p>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799"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3543"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1843"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276"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134"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55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57"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66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pPr>
              <w:widowControl/>
              <w:jc w:val="left"/>
              <w:rPr>
                <w:rFonts w:ascii="黑体" w:hAnsi="宋体" w:eastAsia="黑体" w:cs="宋体"/>
                <w:color w:val="000000"/>
                <w:kern w:val="0"/>
                <w:sz w:val="22"/>
              </w:rPr>
            </w:pPr>
          </w:p>
        </w:tc>
        <w:tc>
          <w:tcPr>
            <w:tcW w:w="1843"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559" w:type="dxa"/>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江底</w:t>
            </w:r>
            <w:r>
              <w:rPr>
                <w:rFonts w:hint="eastAsia" w:ascii="仿宋_GB2312" w:hAnsi="宋体" w:eastAsia="仿宋_GB2312"/>
                <w:color w:val="000000" w:themeColor="text1"/>
                <w:sz w:val="18"/>
                <w:szCs w:val="18"/>
              </w:rPr>
              <w:t>乡政府（街道办事处）</w:t>
            </w:r>
          </w:p>
        </w:tc>
        <w:tc>
          <w:tcPr>
            <w:tcW w:w="155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p/>
    <w:p/>
    <w:p/>
    <w:p/>
    <w:p/>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38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pPr>
              <w:widowControl/>
              <w:jc w:val="left"/>
              <w:rPr>
                <w:rFonts w:ascii="Times New Roman" w:hAnsi="Times New Roman"/>
                <w:color w:val="000000"/>
                <w:kern w:val="0"/>
                <w:sz w:val="22"/>
              </w:rPr>
            </w:pPr>
          </w:p>
        </w:tc>
        <w:tc>
          <w:tcPr>
            <w:tcW w:w="10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568"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2410" w:type="dxa"/>
            <w:vMerge w:val="continue"/>
            <w:vAlign w:val="center"/>
          </w:tcPr>
          <w:p>
            <w:pPr>
              <w:widowControl/>
              <w:jc w:val="left"/>
              <w:rPr>
                <w:rFonts w:ascii="黑体" w:hAnsi="宋体" w:eastAsia="黑体" w:cs="宋体"/>
                <w:kern w:val="0"/>
                <w:sz w:val="22"/>
              </w:rPr>
            </w:pPr>
          </w:p>
        </w:tc>
        <w:tc>
          <w:tcPr>
            <w:tcW w:w="69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rPr>
                <w:rFonts w:ascii="方正小标宋简体" w:hAnsi="等线" w:eastAsia="方正小标宋简体" w:cs="宋体"/>
                <w:kern w:val="0"/>
                <w:sz w:val="20"/>
                <w:szCs w:val="20"/>
              </w:rPr>
            </w:pPr>
          </w:p>
          <w:p>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45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4.1单位参保证明察询打印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w:t>
            </w:r>
          </w:p>
          <w:p>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pPr>
              <w:widowControl/>
              <w:jc w:val="left"/>
              <w:rPr>
                <w:rFonts w:ascii="Times New Roman" w:hAnsi="Times New Roman"/>
                <w:color w:val="000000"/>
                <w:kern w:val="0"/>
                <w:sz w:val="22"/>
              </w:rPr>
            </w:pPr>
          </w:p>
        </w:tc>
        <w:tc>
          <w:tcPr>
            <w:tcW w:w="56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56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spacing w:line="240" w:lineRule="exact"/>
              <w:jc w:val="center"/>
              <w:rPr>
                <w:rFonts w:ascii="仿宋_GB2312" w:hAnsi="宋体" w:eastAsia="仿宋_GB2312"/>
                <w:color w:val="000000"/>
                <w:sz w:val="18"/>
                <w:szCs w:val="18"/>
              </w:rPr>
            </w:pP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spacing w:line="240" w:lineRule="exact"/>
              <w:jc w:val="center"/>
              <w:rPr>
                <w:rFonts w:ascii="仿宋_GB2312" w:hAnsi="宋体" w:eastAsia="仿宋_GB2312"/>
                <w:color w:val="000000"/>
                <w:sz w:val="18"/>
                <w:szCs w:val="18"/>
              </w:rPr>
            </w:pPr>
          </w:p>
        </w:tc>
        <w:tc>
          <w:tcPr>
            <w:tcW w:w="426"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jc w:val="left"/>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spacing w:line="240" w:lineRule="exact"/>
              <w:jc w:val="center"/>
              <w:rPr>
                <w:rFonts w:ascii="仿宋_GB2312" w:hAnsi="宋体" w:eastAsia="仿宋_GB2312"/>
                <w:color w:val="000000"/>
                <w:sz w:val="18"/>
                <w:szCs w:val="18"/>
              </w:rPr>
            </w:pPr>
          </w:p>
        </w:tc>
        <w:tc>
          <w:tcPr>
            <w:tcW w:w="850" w:type="dxa"/>
            <w:vMerge w:val="continue"/>
            <w:vAlign w:val="center"/>
          </w:tcPr>
          <w:p>
            <w:pPr>
              <w:widowControl/>
              <w:spacing w:line="240" w:lineRule="exact"/>
              <w:jc w:val="center"/>
              <w:rPr>
                <w:rFonts w:ascii="仿宋_GB2312" w:hAnsi="宋体" w:eastAsia="仿宋_GB2312"/>
                <w:color w:val="000000"/>
                <w:sz w:val="18"/>
                <w:szCs w:val="18"/>
              </w:rPr>
            </w:pPr>
          </w:p>
        </w:tc>
        <w:tc>
          <w:tcPr>
            <w:tcW w:w="426" w:type="dxa"/>
            <w:vMerge w:val="continue"/>
            <w:vAlign w:val="center"/>
          </w:tcPr>
          <w:p>
            <w:pPr>
              <w:widowControl/>
              <w:spacing w:line="240" w:lineRule="exact"/>
              <w:jc w:val="center"/>
              <w:rPr>
                <w:rFonts w:ascii="仿宋_GB2312" w:hAnsi="宋体" w:eastAsia="仿宋_GB2312"/>
                <w:color w:val="000000"/>
                <w:sz w:val="18"/>
                <w:szCs w:val="18"/>
              </w:rPr>
            </w:pPr>
          </w:p>
        </w:tc>
        <w:tc>
          <w:tcPr>
            <w:tcW w:w="685" w:type="dxa"/>
            <w:vMerge w:val="continue"/>
            <w:vAlign w:val="center"/>
          </w:tcPr>
          <w:p>
            <w:pPr>
              <w:widowControl/>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8"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pPr>
              <w:widowControl/>
              <w:rPr>
                <w:rFonts w:ascii="仿宋_GB2312" w:hAnsi="宋体" w:eastAsia="仿宋_GB2312"/>
                <w:color w:val="000000"/>
                <w:sz w:val="18"/>
                <w:szCs w:val="18"/>
              </w:rPr>
            </w:pP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pPr>
              <w:widowControl/>
              <w:spacing w:line="300" w:lineRule="exact"/>
              <w:jc w:val="center"/>
              <w:rPr>
                <w:rFonts w:ascii="仿宋_GB2312" w:hAnsi="宋体" w:eastAsia="仿宋_GB2312"/>
                <w:color w:val="000000"/>
                <w:sz w:val="18"/>
                <w:szCs w:val="18"/>
              </w:rPr>
            </w:pP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p>
            <w:pPr>
              <w:widowControl/>
              <w:spacing w:line="260" w:lineRule="exact"/>
              <w:jc w:val="left"/>
              <w:rPr>
                <w:rFonts w:ascii="仿宋_GB2312" w:hAnsi="宋体" w:eastAsia="仿宋_GB2312"/>
                <w:color w:val="000000"/>
                <w:sz w:val="18"/>
                <w:szCs w:val="18"/>
              </w:rPr>
            </w:pPr>
          </w:p>
        </w:tc>
        <w:tc>
          <w:tcPr>
            <w:tcW w:w="2126"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《土地管理法》、《征收土地公告办法》（国土资源部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r>
              <w:rPr>
                <w:rFonts w:hint="eastAsia" w:ascii="仿宋_GB2312" w:hAnsi="宋体" w:eastAsia="仿宋_GB2312"/>
                <w:color w:val="000000"/>
                <w:sz w:val="18"/>
                <w:szCs w:val="18"/>
              </w:rPr>
              <w:t>）</w:t>
            </w:r>
          </w:p>
        </w:tc>
        <w:tc>
          <w:tcPr>
            <w:tcW w:w="2126"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tc>
        <w:tc>
          <w:tcPr>
            <w:tcW w:w="2126" w:type="dxa"/>
            <w:vAlign w:val="center"/>
          </w:tcPr>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pPr>
              <w:widowControl/>
              <w:spacing w:line="320" w:lineRule="exact"/>
              <w:rPr>
                <w:rFonts w:ascii="仿宋_GB2312" w:hAnsi="宋体" w:eastAsia="仿宋_GB2312"/>
                <w:color w:val="000000"/>
                <w:sz w:val="18"/>
                <w:szCs w:val="18"/>
              </w:rPr>
            </w:pP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p>
            <w:pPr>
              <w:widowControl/>
              <w:spacing w:line="320" w:lineRule="exact"/>
              <w:rPr>
                <w:rFonts w:ascii="仿宋_GB2312" w:hAnsi="宋体" w:eastAsia="仿宋_GB2312"/>
                <w:color w:val="000000"/>
                <w:sz w:val="18"/>
                <w:szCs w:val="18"/>
              </w:rPr>
            </w:pP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pPr>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pPr>
              <w:widowControl/>
              <w:jc w:val="left"/>
              <w:rPr>
                <w:rFonts w:ascii="Times New Roman" w:hAnsi="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3731" w:type="dxa"/>
            <w:vMerge w:val="continue"/>
            <w:vAlign w:val="center"/>
          </w:tcPr>
          <w:p>
            <w:pPr>
              <w:widowControl/>
              <w:jc w:val="left"/>
              <w:rPr>
                <w:rFonts w:ascii="黑体" w:hAnsi="宋体" w:eastAsia="黑体" w:cs="宋体"/>
                <w:color w:val="000000"/>
                <w:kern w:val="0"/>
                <w:sz w:val="22"/>
              </w:rPr>
            </w:pPr>
          </w:p>
        </w:tc>
        <w:tc>
          <w:tcPr>
            <w:tcW w:w="992" w:type="dxa"/>
            <w:vMerge w:val="continue"/>
            <w:vAlign w:val="center"/>
          </w:tcPr>
          <w:p>
            <w:pPr>
              <w:widowControl/>
              <w:jc w:val="left"/>
              <w:rPr>
                <w:rFonts w:ascii="黑体" w:hAnsi="宋体" w:eastAsia="黑体" w:cs="宋体"/>
                <w:color w:val="000000"/>
                <w:kern w:val="0"/>
                <w:sz w:val="22"/>
              </w:rPr>
            </w:pPr>
          </w:p>
        </w:tc>
        <w:tc>
          <w:tcPr>
            <w:tcW w:w="664" w:type="dxa"/>
            <w:vMerge w:val="continue"/>
            <w:vAlign w:val="center"/>
          </w:tcPr>
          <w:p>
            <w:pPr>
              <w:widowControl/>
              <w:jc w:val="left"/>
              <w:rPr>
                <w:rFonts w:ascii="黑体" w:hAnsi="宋体" w:eastAsia="黑体" w:cs="宋体"/>
                <w:color w:val="000000"/>
                <w:kern w:val="0"/>
                <w:sz w:val="22"/>
              </w:rPr>
            </w:pPr>
          </w:p>
        </w:tc>
        <w:tc>
          <w:tcPr>
            <w:tcW w:w="1321"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pPr>
              <w:spacing w:line="240" w:lineRule="exact"/>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jc w:val="left"/>
              <w:rPr>
                <w:rFonts w:ascii="Times New Roman" w:hAnsi="Times New Roman"/>
                <w:color w:val="000000"/>
                <w:kern w:val="0"/>
                <w:sz w:val="22"/>
              </w:rPr>
            </w:pPr>
          </w:p>
        </w:tc>
        <w:tc>
          <w:tcPr>
            <w:tcW w:w="69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pPr>
              <w:widowControl/>
              <w:jc w:val="left"/>
              <w:rPr>
                <w:rFonts w:ascii="黑体" w:hAnsi="宋体" w:eastAsia="黑体" w:cs="宋体"/>
                <w:color w:val="000000"/>
                <w:kern w:val="0"/>
                <w:sz w:val="22"/>
              </w:rPr>
            </w:pPr>
          </w:p>
        </w:tc>
        <w:tc>
          <w:tcPr>
            <w:tcW w:w="2693"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760" w:type="dxa"/>
            <w:vMerge w:val="continue"/>
            <w:vAlign w:val="center"/>
          </w:tcPr>
          <w:p>
            <w:pPr>
              <w:widowControl/>
              <w:jc w:val="left"/>
              <w:rPr>
                <w:rFonts w:ascii="黑体" w:hAnsi="宋体" w:eastAsia="黑体" w:cs="宋体"/>
                <w:color w:val="000000"/>
                <w:kern w:val="0"/>
                <w:sz w:val="22"/>
              </w:rPr>
            </w:pPr>
          </w:p>
        </w:tc>
        <w:tc>
          <w:tcPr>
            <w:tcW w:w="1984"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2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3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pPr>
              <w:widowControl/>
              <w:rPr>
                <w:rFonts w:ascii="仿宋_GB2312" w:hAnsi="宋体" w:eastAsia="仿宋_GB2312"/>
                <w:color w:val="000000"/>
                <w:sz w:val="18"/>
                <w:szCs w:val="18"/>
              </w:rPr>
            </w:pP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760" w:type="dxa"/>
            <w:vMerge w:val="continue"/>
            <w:vAlign w:val="center"/>
          </w:tcPr>
          <w:p>
            <w:pPr>
              <w:widowControl/>
              <w:rPr>
                <w:rFonts w:ascii="仿宋_GB2312" w:hAnsi="宋体" w:eastAsia="仿宋_GB2312"/>
                <w:color w:val="000000"/>
                <w:sz w:val="18"/>
                <w:szCs w:val="18"/>
              </w:rPr>
            </w:pPr>
          </w:p>
        </w:tc>
        <w:tc>
          <w:tcPr>
            <w:tcW w:w="1984" w:type="dxa"/>
            <w:vMerge w:val="continue"/>
            <w:vAlign w:val="center"/>
          </w:tcPr>
          <w:p>
            <w:pPr>
              <w:widowControl/>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25"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3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Times New Roman" w:eastAsia="仿宋_GB2312"/>
                <w:sz w:val="18"/>
                <w:szCs w:val="18"/>
              </w:rPr>
              <w:t>泗水</w:t>
            </w:r>
            <w:r>
              <w:rPr>
                <w:rFonts w:hint="eastAsia" w:ascii="仿宋_GB2312" w:hAnsi="宋体" w:eastAsia="仿宋_GB2312"/>
                <w:color w:val="000000"/>
                <w:sz w:val="18"/>
                <w:szCs w:val="18"/>
              </w:rPr>
              <w:t>乡人民政府、村委会</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pPr>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pPr>
              <w:rPr>
                <w:rFonts w:ascii="仿宋_GB2312" w:hAnsi="宋体"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385"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pPr>
              <w:widowControl/>
              <w:jc w:val="center"/>
              <w:rPr>
                <w:rFonts w:ascii="Times New Roman" w:hAnsi="Times New Roman"/>
                <w:kern w:val="0"/>
                <w:sz w:val="22"/>
              </w:rPr>
            </w:pPr>
          </w:p>
        </w:tc>
        <w:tc>
          <w:tcPr>
            <w:tcW w:w="85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pPr>
              <w:widowControl/>
              <w:jc w:val="left"/>
              <w:rPr>
                <w:rFonts w:ascii="黑体" w:hAnsi="宋体" w:eastAsia="黑体" w:cs="宋体"/>
                <w:kern w:val="0"/>
                <w:sz w:val="22"/>
              </w:rPr>
            </w:pPr>
          </w:p>
        </w:tc>
        <w:tc>
          <w:tcPr>
            <w:tcW w:w="3260" w:type="dxa"/>
            <w:vMerge w:val="continue"/>
            <w:vAlign w:val="center"/>
          </w:tcPr>
          <w:p>
            <w:pPr>
              <w:widowControl/>
              <w:jc w:val="left"/>
              <w:rPr>
                <w:rFonts w:ascii="黑体" w:hAnsi="宋体" w:eastAsia="黑体" w:cs="宋体"/>
                <w:kern w:val="0"/>
                <w:sz w:val="22"/>
              </w:rPr>
            </w:pPr>
          </w:p>
        </w:tc>
        <w:tc>
          <w:tcPr>
            <w:tcW w:w="1276" w:type="dxa"/>
            <w:vMerge w:val="continue"/>
            <w:vAlign w:val="center"/>
          </w:tcPr>
          <w:p>
            <w:pPr>
              <w:widowControl/>
              <w:jc w:val="left"/>
              <w:rPr>
                <w:rFonts w:ascii="黑体" w:hAnsi="宋体" w:eastAsia="黑体" w:cs="宋体"/>
                <w:kern w:val="0"/>
                <w:sz w:val="22"/>
              </w:rPr>
            </w:pPr>
          </w:p>
        </w:tc>
        <w:tc>
          <w:tcPr>
            <w:tcW w:w="701" w:type="dxa"/>
            <w:vMerge w:val="continue"/>
            <w:vAlign w:val="center"/>
          </w:tcPr>
          <w:p>
            <w:pPr>
              <w:widowControl/>
              <w:jc w:val="left"/>
              <w:rPr>
                <w:rFonts w:ascii="黑体" w:hAnsi="宋体" w:eastAsia="黑体" w:cs="宋体"/>
                <w:kern w:val="0"/>
                <w:sz w:val="22"/>
              </w:rPr>
            </w:pPr>
          </w:p>
        </w:tc>
        <w:tc>
          <w:tcPr>
            <w:tcW w:w="141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pPr>
              <w:spacing w:line="240" w:lineRule="exact"/>
              <w:jc w:val="center"/>
              <w:rPr>
                <w:rFonts w:ascii="仿宋_GB2312" w:eastAsia="仿宋_GB2312"/>
                <w:sz w:val="18"/>
                <w:szCs w:val="18"/>
              </w:rPr>
            </w:pPr>
          </w:p>
        </w:tc>
        <w:tc>
          <w:tcPr>
            <w:tcW w:w="21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申请条件、</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■政府公报</w:t>
            </w:r>
          </w:p>
          <w:p>
            <w:pPr>
              <w:rPr>
                <w:rFonts w:ascii="仿宋_GB2312" w:hAnsi="Calibri" w:eastAsia="仿宋_GB2312" w:cs="Times New Roman"/>
                <w:sz w:val="18"/>
                <w:szCs w:val="18"/>
              </w:rPr>
            </w:pPr>
            <w:r>
              <w:rPr>
                <w:rFonts w:hint="eastAsia" w:ascii="仿宋_GB2312" w:hAnsi="Calibri" w:eastAsia="仿宋_GB2312" w:cs="Times New Roman"/>
                <w:sz w:val="18"/>
                <w:szCs w:val="18"/>
              </w:rPr>
              <w:t>■政府网站</w:t>
            </w:r>
          </w:p>
          <w:p>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pPr>
              <w:spacing w:line="240" w:lineRule="exact"/>
              <w:jc w:val="center"/>
              <w:rPr>
                <w:rFonts w:ascii="仿宋_GB2312" w:eastAsia="仿宋_GB2312"/>
                <w:sz w:val="18"/>
                <w:szCs w:val="18"/>
              </w:rPr>
            </w:pPr>
          </w:p>
        </w:tc>
        <w:tc>
          <w:tcPr>
            <w:tcW w:w="4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r>
    </w:tbl>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83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《非物质文化遗产法》、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90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pPr>
              <w:widowControl/>
              <w:spacing w:line="240" w:lineRule="exact"/>
              <w:jc w:val="left"/>
              <w:rPr>
                <w:rFonts w:ascii="黑体" w:hAnsi="黑体" w:eastAsia="黑体" w:cstheme="majorEastAsia"/>
                <w:kern w:val="0"/>
                <w:szCs w:val="21"/>
              </w:rPr>
            </w:pPr>
          </w:p>
        </w:tc>
        <w:tc>
          <w:tcPr>
            <w:tcW w:w="664"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、《突发事件应对法》、《关于全面加强政务公开工作的意见》</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国家市场监督管理总局令第20号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spacing w:line="240" w:lineRule="exact"/>
              <w:jc w:val="left"/>
              <w:rPr>
                <w:rFonts w:ascii="Times New Roman" w:hAnsi="Times New Roman"/>
                <w:color w:val="000000"/>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pPr>
              <w:widowControl/>
              <w:spacing w:line="240" w:lineRule="exact"/>
              <w:jc w:val="left"/>
              <w:rPr>
                <w:rFonts w:ascii="黑体" w:hAnsi="宋体" w:eastAsia="黑体" w:cs="宋体"/>
                <w:color w:val="000000"/>
                <w:kern w:val="0"/>
                <w:sz w:val="22"/>
              </w:rPr>
            </w:pPr>
          </w:p>
        </w:tc>
        <w:tc>
          <w:tcPr>
            <w:tcW w:w="1933" w:type="dxa"/>
            <w:vMerge w:val="continue"/>
            <w:vAlign w:val="center"/>
          </w:tcPr>
          <w:p>
            <w:pPr>
              <w:widowControl/>
              <w:spacing w:line="240" w:lineRule="exact"/>
              <w:jc w:val="left"/>
              <w:rPr>
                <w:rFonts w:ascii="黑体" w:hAnsi="宋体" w:eastAsia="黑体" w:cs="宋体"/>
                <w:color w:val="000000"/>
                <w:kern w:val="0"/>
                <w:sz w:val="22"/>
              </w:rPr>
            </w:pPr>
          </w:p>
        </w:tc>
        <w:tc>
          <w:tcPr>
            <w:tcW w:w="1701" w:type="dxa"/>
            <w:vMerge w:val="continue"/>
            <w:vAlign w:val="center"/>
          </w:tcPr>
          <w:p>
            <w:pPr>
              <w:widowControl/>
              <w:spacing w:line="240" w:lineRule="exact"/>
              <w:jc w:val="left"/>
              <w:rPr>
                <w:rFonts w:ascii="黑体" w:hAnsi="宋体" w:eastAsia="黑体" w:cs="宋体"/>
                <w:color w:val="000000"/>
                <w:kern w:val="0"/>
                <w:sz w:val="22"/>
              </w:rPr>
            </w:pPr>
          </w:p>
        </w:tc>
        <w:tc>
          <w:tcPr>
            <w:tcW w:w="1276" w:type="dxa"/>
            <w:vMerge w:val="continue"/>
            <w:vAlign w:val="center"/>
          </w:tcPr>
          <w:p>
            <w:pPr>
              <w:widowControl/>
              <w:spacing w:line="240" w:lineRule="exact"/>
              <w:jc w:val="left"/>
              <w:rPr>
                <w:rFonts w:ascii="黑体" w:hAnsi="宋体" w:eastAsia="黑体" w:cs="宋体"/>
                <w:color w:val="000000"/>
                <w:kern w:val="0"/>
                <w:sz w:val="22"/>
              </w:rPr>
            </w:pPr>
          </w:p>
        </w:tc>
        <w:tc>
          <w:tcPr>
            <w:tcW w:w="2126" w:type="dxa"/>
            <w:vMerge w:val="continue"/>
            <w:vAlign w:val="center"/>
          </w:tcPr>
          <w:p>
            <w:pPr>
              <w:widowControl/>
              <w:spacing w:line="240" w:lineRule="exact"/>
              <w:jc w:val="left"/>
              <w:rPr>
                <w:rFonts w:ascii="黑体" w:hAnsi="宋体" w:eastAsia="黑体" w:cs="宋体"/>
                <w:kern w:val="0"/>
                <w:sz w:val="22"/>
              </w:rPr>
            </w:pP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江底</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pPr>
        <w:spacing w:line="240" w:lineRule="exact"/>
        <w:rPr>
          <w:rFonts w:ascii="仿宋_GB2312" w:eastAsia="仿宋_GB2312"/>
          <w:sz w:val="18"/>
          <w:szCs w:val="18"/>
        </w:rPr>
      </w:pPr>
    </w:p>
    <w:p>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sdtPr>
    <w:sdtEndPr>
      <w:rPr>
        <w:sz w:val="30"/>
        <w:szCs w:val="30"/>
      </w:rPr>
    </w:sdtEndPr>
    <w:sdtContent>
      <w:p>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84</w:t>
        </w:r>
        <w:r>
          <w:rPr>
            <w:sz w:val="30"/>
            <w:szCs w:val="30"/>
          </w:rPr>
          <w:fldChar w:fldCharType="end"/>
        </w:r>
      </w:p>
    </w:sdtContent>
  </w:sdt>
  <w:p>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A76B90"/>
    <w:rsid w:val="00041C83"/>
    <w:rsid w:val="000C5E68"/>
    <w:rsid w:val="000D636A"/>
    <w:rsid w:val="00123EEC"/>
    <w:rsid w:val="00136A34"/>
    <w:rsid w:val="00150843"/>
    <w:rsid w:val="00272B2A"/>
    <w:rsid w:val="0029689F"/>
    <w:rsid w:val="002A447D"/>
    <w:rsid w:val="002A5AEC"/>
    <w:rsid w:val="00302B78"/>
    <w:rsid w:val="003F265C"/>
    <w:rsid w:val="00407960"/>
    <w:rsid w:val="004B27FD"/>
    <w:rsid w:val="004F397A"/>
    <w:rsid w:val="00517BC8"/>
    <w:rsid w:val="00527631"/>
    <w:rsid w:val="005303FE"/>
    <w:rsid w:val="005829B4"/>
    <w:rsid w:val="005838CB"/>
    <w:rsid w:val="00611AAE"/>
    <w:rsid w:val="0062185E"/>
    <w:rsid w:val="00676CED"/>
    <w:rsid w:val="006D2AE3"/>
    <w:rsid w:val="00703999"/>
    <w:rsid w:val="007B3168"/>
    <w:rsid w:val="007E22C6"/>
    <w:rsid w:val="00845B97"/>
    <w:rsid w:val="00847BDD"/>
    <w:rsid w:val="008C370A"/>
    <w:rsid w:val="008C4A81"/>
    <w:rsid w:val="008D72B2"/>
    <w:rsid w:val="009B27BD"/>
    <w:rsid w:val="00A73E89"/>
    <w:rsid w:val="00A76B90"/>
    <w:rsid w:val="00A94B26"/>
    <w:rsid w:val="00B7381D"/>
    <w:rsid w:val="00B83259"/>
    <w:rsid w:val="00BF4ECC"/>
    <w:rsid w:val="00C64214"/>
    <w:rsid w:val="00C67795"/>
    <w:rsid w:val="00C924CC"/>
    <w:rsid w:val="00D15A5D"/>
    <w:rsid w:val="00D34226"/>
    <w:rsid w:val="00D34B8D"/>
    <w:rsid w:val="00DF213B"/>
    <w:rsid w:val="00E01092"/>
    <w:rsid w:val="00EA13FA"/>
    <w:rsid w:val="00F55995"/>
    <w:rsid w:val="315B596C"/>
    <w:rsid w:val="50CD343C"/>
    <w:rsid w:val="56606C2C"/>
    <w:rsid w:val="5FFB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semiHidden/>
    <w:unhideWhenUsed/>
    <w:uiPriority w:val="99"/>
    <w:pPr>
      <w:ind w:left="100" w:leftChars="2500"/>
    </w:pPr>
    <w:rPr>
      <w:rFonts w:ascii="Calibri" w:hAnsi="Calibri" w:eastAsia="宋体" w:cs="Times New Roman"/>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No Spacing"/>
    <w:link w:val="13"/>
    <w:autoRedefine/>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8"/>
    <w:link w:val="12"/>
    <w:autoRedefine/>
    <w:uiPriority w:val="1"/>
    <w:rPr>
      <w:kern w:val="0"/>
      <w:sz w:val="22"/>
    </w:rPr>
  </w:style>
  <w:style w:type="character" w:customStyle="1" w:styleId="14">
    <w:name w:val="标题 1 字符1"/>
    <w:basedOn w:val="8"/>
    <w:link w:val="2"/>
    <w:autoRedefine/>
    <w:qFormat/>
    <w:uiPriority w:val="0"/>
    <w:rPr>
      <w:rFonts w:ascii="Calibri" w:hAnsi="Calibri" w:eastAsia="宋体" w:cs="Times New Roman"/>
      <w:b/>
      <w:bCs/>
      <w:kern w:val="44"/>
      <w:sz w:val="44"/>
      <w:szCs w:val="44"/>
    </w:rPr>
  </w:style>
  <w:style w:type="paragraph" w:customStyle="1" w:styleId="15">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日期 字符"/>
    <w:basedOn w:val="8"/>
    <w:link w:val="3"/>
    <w:autoRedefine/>
    <w:semiHidden/>
    <w:uiPriority w:val="99"/>
    <w:rPr>
      <w:rFonts w:ascii="Calibri" w:hAnsi="Calibri" w:eastAsia="宋体" w:cs="Times New Roman"/>
    </w:rPr>
  </w:style>
  <w:style w:type="paragraph" w:styleId="17">
    <w:name w:val="List Paragraph"/>
    <w:basedOn w:val="1"/>
    <w:autoRedefine/>
    <w:qFormat/>
    <w:uiPriority w:val="0"/>
    <w:pPr>
      <w:ind w:firstLine="420" w:firstLineChars="200"/>
    </w:pPr>
    <w:rPr>
      <w:rFonts w:ascii="等线" w:hAnsi="等线" w:eastAsia="等线" w:cs="Times New Roman"/>
    </w:rPr>
  </w:style>
  <w:style w:type="character" w:customStyle="1" w:styleId="18">
    <w:name w:val="标题 1 字符"/>
    <w:autoRedefine/>
    <w:qFormat/>
    <w:uiPriority w:val="0"/>
    <w:rPr>
      <w:rFonts w:ascii="Calibri" w:hAnsi="Calibri" w:eastAsia="宋体" w:cs="Times New Roman"/>
      <w:b/>
      <w:bCs/>
      <w:kern w:val="44"/>
      <w:sz w:val="44"/>
      <w:szCs w:val="44"/>
    </w:rPr>
  </w:style>
  <w:style w:type="paragraph" w:customStyle="1" w:styleId="19">
    <w:name w:val="列出段落1"/>
    <w:basedOn w:val="1"/>
    <w:autoRedefine/>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002CF-3E99-4F4A-A5EA-6B57A0E56056}">
  <ds:schemaRefs/>
</ds:datastoreItem>
</file>

<file path=docProps/app.xml><?xml version="1.0" encoding="utf-8"?>
<Properties xmlns="http://schemas.openxmlformats.org/officeDocument/2006/extended-properties" xmlns:vt="http://schemas.openxmlformats.org/officeDocument/2006/docPropsVTypes">
  <Template>Normal</Template>
  <Pages>86</Pages>
  <Words>13781</Words>
  <Characters>78557</Characters>
  <Lines>654</Lines>
  <Paragraphs>184</Paragraphs>
  <TotalTime>2</TotalTime>
  <ScaleCrop>false</ScaleCrop>
  <LinksUpToDate>false</LinksUpToDate>
  <CharactersWithSpaces>92154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2020-12-11T10:51:00Z</dcterms:created>
  <dc:creator>NTKO</dc:creator>
  <cp:lastModifiedBy>此生随梦追</cp:lastModifiedBy>
  <dcterms:modified xsi:type="dcterms:W3CDTF">2024-05-06T07:50:42Z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245DBBBC03D241C2A07D72E11F93D951_12</vt:lpwstr>
  </property>
</Properties>
</file>