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spacing w:val="20"/>
          <w:sz w:val="52"/>
          <w:szCs w:val="52"/>
        </w:rPr>
      </w:pPr>
      <w:bookmarkStart w:id="1" w:name="_GoBack"/>
      <w:bookmarkEnd w:id="1"/>
      <w:r>
        <w:rPr>
          <w:rFonts w:hint="eastAsia" w:ascii="方正小标宋_GBK" w:hAnsi="宋体" w:eastAsia="方正小标宋_GBK"/>
          <w:spacing w:val="20"/>
          <w:sz w:val="52"/>
          <w:szCs w:val="52"/>
        </w:rPr>
        <w:t>伟江乡基层政务公开标准目录汇编</w:t>
      </w:r>
    </w:p>
    <w:p>
      <w:pPr>
        <w:jc w:val="center"/>
        <w:rPr>
          <w:rFonts w:ascii="方正小标宋_GBK" w:hAnsi="宋体" w:eastAsia="方正小标宋_GBK"/>
          <w:spacing w:val="20"/>
          <w:sz w:val="52"/>
          <w:szCs w:val="52"/>
        </w:rPr>
      </w:pPr>
    </w:p>
    <w:p>
      <w:pPr>
        <w:pStyle w:val="6"/>
      </w:pPr>
      <w:r>
        <w:rPr>
          <w:rFonts w:hint="eastAsia" w:ascii="黑体" w:hAnsi="方正小标宋_GBK" w:eastAsia="黑体"/>
          <w:sz w:val="30"/>
          <w:szCs w:val="30"/>
        </w:rPr>
        <w:fldChar w:fldCharType="begin"/>
      </w:r>
      <w:r>
        <w:rPr>
          <w:rStyle w:val="9"/>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9"/>
          <w:rFonts w:hint="eastAsia" w:ascii="黑体" w:hAnsi="方正小标宋_GBK" w:eastAsia="黑体"/>
          <w:color w:val="auto"/>
          <w:sz w:val="30"/>
          <w:szCs w:val="30"/>
          <w:u w:val="none"/>
        </w:rPr>
        <w:t>（一）重大建设项目领域基层政务公开标准目录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"_Toc24724705" </w:instrText>
      </w:r>
      <w:r>
        <w:fldChar w:fldCharType="separate"/>
      </w:r>
      <w:r>
        <w:rPr>
          <w:rStyle w:val="9"/>
          <w:rFonts w:hint="eastAsia" w:ascii="黑体" w:hAnsi="方正小标宋_GBK" w:eastAsia="黑体"/>
          <w:color w:val="auto"/>
          <w:sz w:val="30"/>
          <w:szCs w:val="30"/>
          <w:u w:val="none"/>
        </w:rPr>
        <w:t>（二）公共资源交易领域基层政务公开标准目录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4</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"_Toc24724706" </w:instrText>
      </w:r>
      <w:r>
        <w:fldChar w:fldCharType="separate"/>
      </w:r>
      <w:r>
        <w:rPr>
          <w:rStyle w:val="9"/>
          <w:rFonts w:hint="eastAsia" w:ascii="黑体" w:hAnsi="方正小标宋_GBK" w:eastAsia="黑体"/>
          <w:color w:val="auto"/>
          <w:sz w:val="30"/>
          <w:szCs w:val="30"/>
          <w:u w:val="none"/>
        </w:rPr>
        <w:t>（三）义务教育领域基层政务公开标准目录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14</w:t>
      </w:r>
      <w:r>
        <w:rPr>
          <w:rStyle w:val="9"/>
          <w:rFonts w:hint="eastAsia" w:hAnsi="方正小标宋_GBK"/>
          <w:color w:val="auto"/>
          <w:sz w:val="30"/>
          <w:szCs w:val="30"/>
          <w:u w:val="none"/>
        </w:rPr>
        <w:fldChar w:fldCharType="end"/>
      </w:r>
    </w:p>
    <w:p>
      <w:pPr>
        <w:pStyle w:val="6"/>
        <w:jc w:val="left"/>
        <w:rPr>
          <w:rStyle w:val="9"/>
          <w:rFonts w:hAnsi="方正小标宋_GBK"/>
          <w:color w:val="auto"/>
          <w:sz w:val="30"/>
          <w:szCs w:val="30"/>
          <w:u w:val="none"/>
        </w:rPr>
      </w:pPr>
      <w:r>
        <w:fldChar w:fldCharType="begin"/>
      </w:r>
      <w:r>
        <w:instrText xml:space="preserve"> HYPERLINK \l "_Toc24724707" </w:instrText>
      </w:r>
      <w:r>
        <w:fldChar w:fldCharType="separate"/>
      </w:r>
      <w:r>
        <w:rPr>
          <w:rStyle w:val="9"/>
          <w:rFonts w:hint="eastAsia" w:ascii="黑体" w:hAnsi="方正小标宋_GBK" w:eastAsia="黑体"/>
          <w:color w:val="auto"/>
          <w:sz w:val="30"/>
          <w:szCs w:val="30"/>
          <w:u w:val="none"/>
        </w:rPr>
        <w:t>（四）户籍管理领域基层政务公开标准目录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15</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"_Toc24724708" </w:instrText>
      </w:r>
      <w:r>
        <w:fldChar w:fldCharType="separate"/>
      </w:r>
      <w:r>
        <w:rPr>
          <w:rStyle w:val="9"/>
          <w:rFonts w:hint="eastAsia" w:ascii="黑体" w:hAnsi="方正小标宋_GBK" w:eastAsia="黑体"/>
          <w:color w:val="auto"/>
          <w:sz w:val="30"/>
          <w:szCs w:val="30"/>
          <w:u w:val="none"/>
        </w:rPr>
        <w:t>（五）社会救助领域基层政务公开标准目录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18</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"_Toc24724709" </w:instrText>
      </w:r>
      <w:r>
        <w:fldChar w:fldCharType="separate"/>
      </w:r>
      <w:r>
        <w:rPr>
          <w:rStyle w:val="9"/>
          <w:rFonts w:hint="eastAsia" w:ascii="黑体" w:hAnsi="方正小标宋_GBK" w:eastAsia="黑体"/>
          <w:color w:val="auto"/>
          <w:sz w:val="30"/>
          <w:szCs w:val="30"/>
          <w:u w:val="none"/>
        </w:rPr>
        <w:t>（六）养老服务领域基层政务公开标准目录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21</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"_Toc24724710" </w:instrText>
      </w:r>
      <w:r>
        <w:fldChar w:fldCharType="separate"/>
      </w:r>
      <w:r>
        <w:rPr>
          <w:rStyle w:val="9"/>
          <w:rFonts w:hint="eastAsia" w:ascii="黑体" w:hAnsi="方正小标宋_GBK" w:eastAsia="黑体"/>
          <w:color w:val="auto"/>
          <w:sz w:val="30"/>
          <w:szCs w:val="30"/>
          <w:u w:val="none"/>
        </w:rPr>
        <w:t>（七）公共法律服务领域基层政务公开标准目录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fldChar w:fldCharType="end"/>
      </w:r>
      <w:r>
        <w:rPr>
          <w:rStyle w:val="9"/>
          <w:rFonts w:hint="eastAsia" w:hAnsi="方正小标宋_GBK"/>
          <w:color w:val="auto"/>
          <w:sz w:val="30"/>
          <w:szCs w:val="30"/>
          <w:u w:val="none"/>
        </w:rPr>
        <w:t>22</w:t>
      </w:r>
    </w:p>
    <w:p>
      <w:pPr>
        <w:pStyle w:val="6"/>
        <w:rPr>
          <w:rStyle w:val="9"/>
          <w:rFonts w:hAnsi="方正小标宋_GBK"/>
          <w:color w:val="auto"/>
          <w:sz w:val="30"/>
          <w:szCs w:val="30"/>
          <w:u w:val="none"/>
        </w:rPr>
      </w:pPr>
      <w:r>
        <w:fldChar w:fldCharType="begin"/>
      </w:r>
      <w:r>
        <w:instrText xml:space="preserve"> HYPERLINK \l "_Toc24724711" </w:instrText>
      </w:r>
      <w:r>
        <w:fldChar w:fldCharType="separate"/>
      </w:r>
      <w:r>
        <w:rPr>
          <w:rStyle w:val="9"/>
          <w:rFonts w:hint="eastAsia" w:ascii="黑体" w:hAnsi="方正小标宋_GBK" w:eastAsia="黑体"/>
          <w:color w:val="auto"/>
          <w:sz w:val="30"/>
          <w:szCs w:val="30"/>
          <w:u w:val="none"/>
        </w:rPr>
        <w:t>（八）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就业领域基层政务公开标准目录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24</w:t>
      </w:r>
    </w:p>
    <w:p>
      <w:pPr>
        <w:pStyle w:val="6"/>
        <w:rPr>
          <w:rStyle w:val="9"/>
          <w:rFonts w:hAnsi="方正小标宋_GBK"/>
          <w:color w:val="auto"/>
          <w:sz w:val="30"/>
          <w:szCs w:val="30"/>
          <w:u w:val="none"/>
        </w:rPr>
      </w:pPr>
      <w:r>
        <w:fldChar w:fldCharType="begin"/>
      </w:r>
      <w:r>
        <w:instrText xml:space="preserve"> HYPERLINK \l "_Toc24724712" </w:instrText>
      </w:r>
      <w:r>
        <w:fldChar w:fldCharType="separate"/>
      </w:r>
      <w:r>
        <w:rPr>
          <w:rStyle w:val="9"/>
          <w:rFonts w:hint="eastAsia" w:ascii="黑体" w:hAnsi="方正小标宋_GBK" w:eastAsia="黑体"/>
          <w:color w:val="auto"/>
          <w:sz w:val="30"/>
          <w:szCs w:val="30"/>
          <w:u w:val="none"/>
        </w:rPr>
        <w:t>（九）</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社会保险领域基层政务公开标准目录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33</w:t>
      </w:r>
    </w:p>
    <w:p>
      <w:pPr>
        <w:pStyle w:val="6"/>
        <w:rPr>
          <w:rStyle w:val="9"/>
          <w:rFonts w:hAnsi="方正小标宋_GBK"/>
          <w:color w:val="auto"/>
          <w:sz w:val="30"/>
          <w:szCs w:val="30"/>
          <w:u w:val="none"/>
        </w:rPr>
      </w:pPr>
      <w:r>
        <w:fldChar w:fldCharType="begin"/>
      </w:r>
      <w:r>
        <w:instrText xml:space="preserve"> HYPERLINK \l "_Toc24724713" </w:instrText>
      </w:r>
      <w:r>
        <w:fldChar w:fldCharType="separate"/>
      </w:r>
      <w:r>
        <w:rPr>
          <w:rStyle w:val="9"/>
          <w:rFonts w:hint="eastAsia" w:ascii="黑体" w:hAnsi="方正小标宋_GBK" w:eastAsia="黑体"/>
          <w:color w:val="auto"/>
          <w:sz w:val="30"/>
          <w:szCs w:val="30"/>
          <w:u w:val="none"/>
        </w:rPr>
        <w:t>（十）</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农村集体土地征收基层政务公开标准目录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59</w:t>
      </w:r>
    </w:p>
    <w:p>
      <w:pPr>
        <w:pStyle w:val="6"/>
        <w:rPr>
          <w:rStyle w:val="9"/>
          <w:rFonts w:hAnsi="方正小标宋_GBK"/>
          <w:color w:val="auto"/>
          <w:sz w:val="30"/>
          <w:szCs w:val="30"/>
          <w:u w:val="none"/>
        </w:rPr>
      </w:pPr>
      <w:r>
        <w:fldChar w:fldCharType="begin"/>
      </w:r>
      <w:r>
        <w:instrText xml:space="preserve"> HYPERLINK \l "_Toc24724714" </w:instrText>
      </w:r>
      <w:r>
        <w:fldChar w:fldCharType="separate"/>
      </w:r>
      <w:r>
        <w:rPr>
          <w:rStyle w:val="9"/>
          <w:rFonts w:hint="eastAsia" w:ascii="黑体" w:hAnsi="方正小标宋_GBK" w:eastAsia="黑体"/>
          <w:color w:val="auto"/>
          <w:sz w:val="30"/>
          <w:szCs w:val="30"/>
          <w:u w:val="none"/>
        </w:rPr>
        <w:t>（十一）</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保障性住房领域基层政务公开标准目录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63</w:t>
      </w:r>
    </w:p>
    <w:p>
      <w:pPr>
        <w:pStyle w:val="6"/>
        <w:rPr>
          <w:rStyle w:val="9"/>
          <w:rFonts w:hAnsi="方正小标宋_GBK"/>
          <w:color w:val="auto"/>
          <w:sz w:val="30"/>
          <w:szCs w:val="30"/>
          <w:u w:val="none"/>
        </w:rPr>
      </w:pPr>
      <w:r>
        <w:fldChar w:fldCharType="begin"/>
      </w:r>
      <w:r>
        <w:instrText xml:space="preserve"> HYPERLINK \l "_Toc24724715" </w:instrText>
      </w:r>
      <w:r>
        <w:fldChar w:fldCharType="separate"/>
      </w:r>
      <w:r>
        <w:rPr>
          <w:rStyle w:val="9"/>
          <w:rFonts w:hint="eastAsia" w:ascii="黑体" w:hAnsi="方正小标宋_GBK" w:eastAsia="黑体"/>
          <w:color w:val="auto"/>
          <w:sz w:val="30"/>
          <w:szCs w:val="30"/>
          <w:u w:val="none"/>
        </w:rPr>
        <w:t>（十二）</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农村危房改造领域基层政务公开标准目录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68</w:t>
      </w:r>
    </w:p>
    <w:p>
      <w:pPr>
        <w:pStyle w:val="6"/>
        <w:rPr>
          <w:rStyle w:val="9"/>
          <w:rFonts w:hAnsi="方正小标宋_GBK"/>
          <w:color w:val="auto"/>
          <w:sz w:val="30"/>
          <w:szCs w:val="30"/>
          <w:u w:val="none"/>
        </w:rPr>
      </w:pPr>
      <w:r>
        <w:fldChar w:fldCharType="begin"/>
      </w:r>
      <w:r>
        <w:instrText xml:space="preserve"> HYPERLINK \l "_Toc24724716" </w:instrText>
      </w:r>
      <w:r>
        <w:fldChar w:fldCharType="separate"/>
      </w:r>
      <w:r>
        <w:rPr>
          <w:rStyle w:val="9"/>
          <w:rFonts w:hint="eastAsia" w:ascii="黑体" w:hAnsi="方正小标宋_GBK" w:eastAsia="黑体"/>
          <w:color w:val="auto"/>
          <w:sz w:val="30"/>
          <w:szCs w:val="30"/>
          <w:u w:val="none"/>
        </w:rPr>
        <w:t>（十三）</w:t>
      </w:r>
      <w:r>
        <w:rPr>
          <w:rStyle w:val="9"/>
          <w:rFonts w:hint="eastAsia" w:ascii="黑体" w:hAnsi="方正小标宋_GBK" w:eastAsia="黑体"/>
          <w:color w:val="auto"/>
          <w:sz w:val="30"/>
          <w:szCs w:val="30"/>
          <w:u w:val="none"/>
        </w:rPr>
        <w:fldChar w:fldCharType="end"/>
      </w:r>
      <w:r>
        <w:rPr>
          <w:rStyle w:val="9"/>
          <w:rFonts w:hint="eastAsia" w:ascii="黑体" w:hAnsi="黑体" w:eastAsia="黑体"/>
          <w:color w:val="auto"/>
          <w:sz w:val="30"/>
          <w:szCs w:val="30"/>
          <w:u w:val="none"/>
        </w:rPr>
        <w:t>市政服务</w:t>
      </w:r>
      <w:r>
        <w:rPr>
          <w:rStyle w:val="9"/>
          <w:rFonts w:hint="eastAsia" w:ascii="黑体" w:hAnsi="方正小标宋_GBK" w:eastAsia="黑体"/>
          <w:color w:val="auto"/>
          <w:sz w:val="30"/>
          <w:szCs w:val="30"/>
          <w:u w:val="none"/>
        </w:rPr>
        <w:t>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71</w:t>
      </w:r>
    </w:p>
    <w:p>
      <w:pPr>
        <w:pStyle w:val="6"/>
        <w:rPr>
          <w:rStyle w:val="9"/>
          <w:rFonts w:hAnsi="方正小标宋_GBK"/>
          <w:color w:val="auto"/>
          <w:sz w:val="30"/>
          <w:szCs w:val="30"/>
          <w:u w:val="none"/>
        </w:rPr>
      </w:pPr>
      <w:r>
        <w:fldChar w:fldCharType="begin"/>
      </w:r>
      <w:r>
        <w:instrText xml:space="preserve"> HYPERLINK \l "_Toc24724717" </w:instrText>
      </w:r>
      <w:r>
        <w:fldChar w:fldCharType="separate"/>
      </w:r>
      <w:r>
        <w:rPr>
          <w:rStyle w:val="9"/>
          <w:rFonts w:hint="eastAsia" w:ascii="黑体" w:hAnsi="方正小标宋_GBK" w:eastAsia="黑体"/>
          <w:color w:val="auto"/>
          <w:sz w:val="30"/>
          <w:szCs w:val="30"/>
          <w:u w:val="none"/>
        </w:rPr>
        <w:t>（十四）</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公共文化服务领域基层政务公开标准目录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72</w:t>
      </w:r>
    </w:p>
    <w:p>
      <w:pPr>
        <w:pStyle w:val="6"/>
        <w:rPr>
          <w:rStyle w:val="9"/>
          <w:rFonts w:hAnsi="方正小标宋_GBK"/>
          <w:color w:val="auto"/>
          <w:sz w:val="30"/>
          <w:szCs w:val="30"/>
          <w:u w:val="none"/>
        </w:rPr>
      </w:pPr>
      <w:r>
        <w:fldChar w:fldCharType="begin"/>
      </w:r>
      <w:r>
        <w:instrText xml:space="preserve"> HYPERLINK \l "_Toc24724718" </w:instrText>
      </w:r>
      <w:r>
        <w:fldChar w:fldCharType="separate"/>
      </w:r>
      <w:r>
        <w:rPr>
          <w:rStyle w:val="9"/>
          <w:rFonts w:hint="eastAsia" w:ascii="黑体" w:hAnsi="方正小标宋_GBK" w:eastAsia="黑体"/>
          <w:color w:val="auto"/>
          <w:sz w:val="30"/>
          <w:szCs w:val="30"/>
          <w:u w:val="none"/>
        </w:rPr>
        <w:t>（十五）</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安全生产领域基层政务公开标准目录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74</w:t>
      </w:r>
    </w:p>
    <w:p>
      <w:pPr>
        <w:pStyle w:val="6"/>
        <w:rPr>
          <w:rStyle w:val="9"/>
          <w:rFonts w:hAnsi="方正小标宋_GBK"/>
          <w:color w:val="auto"/>
          <w:sz w:val="30"/>
          <w:szCs w:val="30"/>
          <w:u w:val="none"/>
        </w:rPr>
      </w:pPr>
      <w:r>
        <w:fldChar w:fldCharType="begin"/>
      </w:r>
      <w:r>
        <w:instrText xml:space="preserve"> HYPERLINK \l "_Toc24724719" </w:instrText>
      </w:r>
      <w:r>
        <w:fldChar w:fldCharType="separate"/>
      </w:r>
      <w:r>
        <w:rPr>
          <w:rStyle w:val="9"/>
          <w:rFonts w:hint="eastAsia" w:ascii="黑体" w:hAnsi="方正小标宋_GBK" w:eastAsia="黑体"/>
          <w:color w:val="auto"/>
          <w:sz w:val="30"/>
          <w:szCs w:val="30"/>
          <w:u w:val="none"/>
        </w:rPr>
        <w:t>（十六）</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救灾生产领域基层政务公开标准目录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77</w:t>
      </w:r>
    </w:p>
    <w:p>
      <w:pPr>
        <w:pStyle w:val="6"/>
        <w:rPr>
          <w:rStyle w:val="9"/>
          <w:rFonts w:hAnsi="方正小标宋_GBK"/>
          <w:color w:val="auto"/>
          <w:sz w:val="30"/>
          <w:szCs w:val="30"/>
          <w:u w:val="none"/>
        </w:rPr>
      </w:pPr>
      <w:r>
        <w:fldChar w:fldCharType="begin"/>
      </w:r>
      <w:r>
        <w:instrText xml:space="preserve"> HYPERLINK \l "_Toc24724720" </w:instrText>
      </w:r>
      <w:r>
        <w:fldChar w:fldCharType="separate"/>
      </w:r>
      <w:r>
        <w:rPr>
          <w:rStyle w:val="9"/>
          <w:rFonts w:hint="eastAsia" w:ascii="黑体" w:hAnsi="方正小标宋_GBK" w:eastAsia="黑体"/>
          <w:color w:val="auto"/>
          <w:sz w:val="30"/>
          <w:szCs w:val="30"/>
          <w:u w:val="none"/>
        </w:rPr>
        <w:t>（十七）</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食品药品监管领域基层政务公开标准目录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80</w:t>
      </w:r>
    </w:p>
    <w:p>
      <w:pPr>
        <w:pStyle w:val="6"/>
        <w:rPr>
          <w:rFonts w:ascii="黑体" w:hAnsi="Times New Roman" w:eastAsia="黑体"/>
          <w:sz w:val="30"/>
          <w:szCs w:val="30"/>
        </w:rPr>
      </w:pPr>
      <w:r>
        <w:fldChar w:fldCharType="begin"/>
      </w:r>
      <w:r>
        <w:instrText xml:space="preserve">HYPERLINK \l "_Toc24724721"</w:instrText>
      </w:r>
      <w:r>
        <w:fldChar w:fldCharType="separate"/>
      </w:r>
      <w:r>
        <w:rPr>
          <w:rStyle w:val="9"/>
          <w:rFonts w:hint="eastAsia" w:ascii="黑体" w:hAnsi="方正小标宋_GBK" w:eastAsia="黑体"/>
          <w:color w:val="auto"/>
          <w:sz w:val="30"/>
          <w:szCs w:val="30"/>
          <w:u w:val="none"/>
        </w:rPr>
        <w:t>（十八）</w:t>
      </w:r>
      <w:r>
        <w:fldChar w:fldCharType="end"/>
      </w:r>
      <w:r>
        <w:rPr>
          <w:rStyle w:val="9"/>
          <w:rFonts w:hint="eastAsia" w:ascii="黑体" w:hAnsi="方正小标宋_GBK" w:eastAsia="黑体"/>
          <w:color w:val="auto"/>
          <w:sz w:val="30"/>
          <w:szCs w:val="30"/>
          <w:u w:val="none"/>
        </w:rPr>
        <w:t>扶贫领域基层政务公开标准目录</w:t>
      </w:r>
      <w:r>
        <w:rPr>
          <w:rStyle w:val="9"/>
          <w:rFonts w:hint="eastAsia" w:hAnsi="方正小标宋_GBK"/>
          <w:color w:val="auto"/>
          <w:sz w:val="30"/>
          <w:szCs w:val="30"/>
          <w:u w:val="none"/>
        </w:rPr>
        <w:tab/>
      </w:r>
      <w:r>
        <w:rPr>
          <w:rFonts w:hint="eastAsia" w:ascii="黑体" w:eastAsia="黑体"/>
          <w:sz w:val="30"/>
          <w:szCs w:val="30"/>
        </w:rPr>
        <w:t>82</w:t>
      </w:r>
    </w:p>
    <w:p>
      <w:pPr>
        <w:spacing w:line="700" w:lineRule="exact"/>
        <w:rPr>
          <w:rStyle w:val="9"/>
          <w:rFonts w:ascii="黑体" w:hAnsi="方正小标宋_GBK" w:eastAsia="黑体"/>
          <w:sz w:val="30"/>
          <w:szCs w:val="30"/>
        </w:rPr>
      </w:pPr>
      <w:r>
        <w:rPr>
          <w:rFonts w:hint="eastAsia" w:ascii="黑体" w:hAnsi="方正小标宋_GBK" w:eastAsia="黑体"/>
          <w:sz w:val="30"/>
          <w:szCs w:val="30"/>
        </w:rPr>
        <w:fldChar w:fldCharType="end"/>
      </w:r>
    </w:p>
    <w:p>
      <w:pPr>
        <w:jc w:val="left"/>
        <w:rPr>
          <w:rFonts w:ascii="方正小标宋_GBK" w:hAnsi="方正小标宋_GBK" w:eastAsia="方正小标宋_GBK"/>
          <w:bCs/>
          <w:sz w:val="30"/>
        </w:rPr>
      </w:pPr>
    </w:p>
    <w:p>
      <w:pPr>
        <w:jc w:val="left"/>
        <w:rPr>
          <w:rFonts w:ascii="方正小标宋_GBK" w:hAnsi="方正小标宋_GBK" w:eastAsia="方正小标宋_GBK"/>
          <w:sz w:val="30"/>
        </w:rPr>
      </w:pPr>
    </w:p>
    <w:p>
      <w:pPr>
        <w:jc w:val="left"/>
        <w:rPr>
          <w:rFonts w:ascii="方正小标宋_GBK" w:hAnsi="方正小标宋_GBK" w:eastAsia="方正小标宋_GBK"/>
          <w:sz w:val="30"/>
        </w:rPr>
      </w:pPr>
    </w:p>
    <w:p>
      <w:pPr>
        <w:jc w:val="center"/>
        <w:rPr>
          <w:rFonts w:ascii="方正小标宋_GBK" w:hAnsi="方正小标宋_GBK" w:eastAsia="方正小标宋_GBK"/>
          <w:bCs/>
          <w:sz w:val="30"/>
        </w:rPr>
      </w:pPr>
      <w:r>
        <w:rPr>
          <w:rFonts w:hint="eastAsia" w:ascii="方正小标宋_GBK" w:hAnsi="方正小标宋_GBK" w:eastAsia="方正小标宋_GBK"/>
          <w:sz w:val="30"/>
        </w:rPr>
        <w:t>（</w:t>
      </w:r>
      <w:r>
        <w:rPr>
          <w:rFonts w:hint="eastAsia" w:ascii="方正小标宋_GBK" w:hAnsi="方正小标宋_GBK" w:eastAsia="方正小标宋_GBK"/>
          <w:bCs/>
          <w:sz w:val="30"/>
        </w:rPr>
        <w:t>一）</w:t>
      </w:r>
      <w:r>
        <w:rPr>
          <w:rFonts w:ascii="方正小标宋_GBK" w:hAnsi="方正小标宋_GBK" w:eastAsia="方正小标宋_GBK"/>
          <w:bCs/>
          <w:sz w:val="30"/>
        </w:rPr>
        <w:t>重大建设项目</w:t>
      </w:r>
      <w:r>
        <w:rPr>
          <w:rFonts w:hint="eastAsia" w:ascii="方正小标宋_GBK" w:hAnsi="方正小标宋_GBK" w:eastAsia="方正小标宋_GBK"/>
          <w:bCs/>
          <w:sz w:val="30"/>
        </w:rPr>
        <w:t>领域基层政务公开标准目录</w:t>
      </w:r>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155"/>
        <w:gridCol w:w="1559"/>
        <w:gridCol w:w="1418"/>
        <w:gridCol w:w="1968"/>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5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6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85" w:type="dxa"/>
            <w:vMerge w:val="continue"/>
            <w:vAlign w:val="center"/>
          </w:tcPr>
          <w:p>
            <w:pPr>
              <w:widowControl/>
              <w:jc w:val="left"/>
              <w:rPr>
                <w:rFonts w:ascii="Times New Roman" w:hAnsi="Times New Roman"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3155" w:type="dxa"/>
            <w:vMerge w:val="continue"/>
            <w:vAlign w:val="center"/>
          </w:tcPr>
          <w:p>
            <w:pPr>
              <w:widowControl/>
              <w:jc w:val="left"/>
              <w:rPr>
                <w:rFonts w:ascii="黑体" w:hAnsi="宋体" w:eastAsia="黑体" w:cs="宋体"/>
                <w:color w:val="000000"/>
                <w:kern w:val="0"/>
                <w:sz w:val="22"/>
              </w:rPr>
            </w:pPr>
          </w:p>
        </w:tc>
        <w:tc>
          <w:tcPr>
            <w:tcW w:w="1559"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1968"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3155"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伟江乡人民政府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3155" w:type="dxa"/>
          </w:tcPr>
          <w:p>
            <w:pPr>
              <w:spacing w:line="240" w:lineRule="exact"/>
              <w:rPr>
                <w:rFonts w:eastAsia="仿宋_GB2312"/>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伟江乡人民政府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900" w:type="dxa"/>
            <w:vMerge w:val="continue"/>
            <w:vAlign w:val="center"/>
          </w:tcPr>
          <w:p>
            <w:pPr>
              <w:spacing w:line="240" w:lineRule="exact"/>
              <w:rPr>
                <w:rFonts w:ascii="Times New Roman" w:hAnsi="Times New Roman" w:eastAsia="仿宋_GB2312"/>
                <w:sz w:val="18"/>
                <w:szCs w:val="18"/>
              </w:rPr>
            </w:pPr>
          </w:p>
        </w:tc>
        <w:tc>
          <w:tcPr>
            <w:tcW w:w="887"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咨询监督</w:t>
            </w:r>
          </w:p>
        </w:tc>
        <w:tc>
          <w:tcPr>
            <w:tcW w:w="2173"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咨询电话、监督投诉电话等</w:t>
            </w:r>
          </w:p>
        </w:tc>
        <w:tc>
          <w:tcPr>
            <w:tcW w:w="3155" w:type="dxa"/>
          </w:tcPr>
          <w:p>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实时公开</w:t>
            </w:r>
          </w:p>
        </w:tc>
        <w:tc>
          <w:tcPr>
            <w:tcW w:w="1418" w:type="dxa"/>
            <w:vAlign w:val="center"/>
          </w:tcPr>
          <w:p>
            <w:pPr>
              <w:spacing w:line="240" w:lineRule="exact"/>
              <w:rPr>
                <w:rFonts w:ascii="Times New Roman" w:hAnsi="Times New Roman" w:eastAsia="仿宋_GB2312"/>
                <w:sz w:val="18"/>
                <w:szCs w:val="18"/>
              </w:rPr>
            </w:pPr>
            <w:r>
              <w:rPr>
                <w:rFonts w:hint="eastAsia" w:ascii="仿宋_GB2312" w:hAnsi="Times New Roman" w:eastAsia="仿宋_GB2312"/>
                <w:sz w:val="18"/>
                <w:szCs w:val="18"/>
              </w:rPr>
              <w:t>伟江乡人民政府</w:t>
            </w:r>
          </w:p>
        </w:tc>
        <w:tc>
          <w:tcPr>
            <w:tcW w:w="1968" w:type="dxa"/>
            <w:vAlign w:val="center"/>
          </w:tcPr>
          <w:p>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政府网站</w:t>
            </w:r>
          </w:p>
          <w:p>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3155" w:type="dxa"/>
          </w:tcPr>
          <w:p>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r>
              <w:rPr>
                <w:rFonts w:hint="eastAsia" w:ascii="仿宋_GB2312" w:hAnsi="Times New Roman" w:eastAsia="仿宋_GB2312"/>
                <w:sz w:val="18"/>
                <w:szCs w:val="18"/>
              </w:rPr>
              <w:t>同上</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伟江乡人民政府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
    <w:p>
      <w:pPr>
        <w:jc w:val="center"/>
        <w:rPr>
          <w:rFonts w:ascii="方正小标宋_GBK" w:eastAsia="方正小标宋_GBK"/>
          <w:sz w:val="30"/>
          <w:szCs w:val="30"/>
        </w:rPr>
      </w:pPr>
      <w:r>
        <w:rPr>
          <w:rFonts w:hint="eastAsia" w:ascii="方正小标宋_GBK" w:eastAsia="方正小标宋_GBK"/>
          <w:sz w:val="30"/>
          <w:szCs w:val="30"/>
        </w:rPr>
        <w:t>（二）公共资源交易领域基层政务公开标准目录</w:t>
      </w:r>
    </w:p>
    <w:tbl>
      <w:tblPr>
        <w:tblStyle w:val="7"/>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544"/>
        <w:gridCol w:w="3260"/>
        <w:gridCol w:w="1276"/>
        <w:gridCol w:w="1417"/>
        <w:gridCol w:w="1418"/>
        <w:gridCol w:w="567"/>
        <w:gridCol w:w="567"/>
        <w:gridCol w:w="425"/>
        <w:gridCol w:w="567"/>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544"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260"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276"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1417"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418"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pPr>
              <w:widowControl/>
              <w:spacing w:line="240" w:lineRule="exact"/>
              <w:jc w:val="left"/>
              <w:rPr>
                <w:rFonts w:ascii="仿宋_GB2312" w:hAnsi="Times New Roman" w:eastAsia="仿宋_GB2312"/>
                <w:color w:val="000000"/>
                <w:kern w:val="0"/>
                <w:szCs w:val="21"/>
              </w:rPr>
            </w:pPr>
          </w:p>
        </w:tc>
        <w:tc>
          <w:tcPr>
            <w:tcW w:w="709"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544" w:type="dxa"/>
            <w:vMerge w:val="continue"/>
            <w:vAlign w:val="center"/>
          </w:tcPr>
          <w:p>
            <w:pPr>
              <w:widowControl/>
              <w:spacing w:line="240" w:lineRule="exact"/>
              <w:jc w:val="left"/>
              <w:rPr>
                <w:rFonts w:ascii="黑体" w:hAnsi="宋体" w:eastAsia="黑体" w:cs="宋体"/>
                <w:kern w:val="0"/>
                <w:szCs w:val="21"/>
              </w:rPr>
            </w:pPr>
          </w:p>
        </w:tc>
        <w:tc>
          <w:tcPr>
            <w:tcW w:w="3260" w:type="dxa"/>
            <w:vMerge w:val="continue"/>
            <w:vAlign w:val="center"/>
          </w:tcPr>
          <w:p>
            <w:pPr>
              <w:widowControl/>
              <w:spacing w:line="240" w:lineRule="exact"/>
              <w:jc w:val="left"/>
              <w:rPr>
                <w:rFonts w:ascii="黑体" w:hAnsi="宋体" w:eastAsia="黑体" w:cs="宋体"/>
                <w:kern w:val="0"/>
                <w:szCs w:val="21"/>
              </w:rPr>
            </w:pPr>
          </w:p>
        </w:tc>
        <w:tc>
          <w:tcPr>
            <w:tcW w:w="1276" w:type="dxa"/>
            <w:vMerge w:val="continue"/>
            <w:vAlign w:val="center"/>
          </w:tcPr>
          <w:p>
            <w:pPr>
              <w:widowControl/>
              <w:spacing w:line="240" w:lineRule="exact"/>
              <w:jc w:val="left"/>
              <w:rPr>
                <w:rFonts w:ascii="黑体" w:hAnsi="宋体" w:eastAsia="黑体" w:cs="宋体"/>
                <w:kern w:val="0"/>
                <w:szCs w:val="21"/>
              </w:rPr>
            </w:pPr>
          </w:p>
        </w:tc>
        <w:tc>
          <w:tcPr>
            <w:tcW w:w="1417" w:type="dxa"/>
            <w:vMerge w:val="continue"/>
            <w:vAlign w:val="center"/>
          </w:tcPr>
          <w:p>
            <w:pPr>
              <w:widowControl/>
              <w:spacing w:line="240" w:lineRule="exact"/>
              <w:jc w:val="left"/>
              <w:rPr>
                <w:rFonts w:ascii="黑体" w:hAnsi="宋体" w:eastAsia="黑体" w:cs="宋体"/>
                <w:kern w:val="0"/>
                <w:szCs w:val="21"/>
              </w:rPr>
            </w:pPr>
          </w:p>
        </w:tc>
        <w:tc>
          <w:tcPr>
            <w:tcW w:w="1418" w:type="dxa"/>
            <w:vMerge w:val="continue"/>
            <w:vAlign w:val="center"/>
          </w:tcPr>
          <w:p>
            <w:pPr>
              <w:widowControl/>
              <w:spacing w:line="240" w:lineRule="exact"/>
              <w:jc w:val="left"/>
              <w:rPr>
                <w:rFonts w:ascii="黑体" w:hAnsi="宋体" w:eastAsia="黑体" w:cs="宋体"/>
                <w:kern w:val="0"/>
                <w:szCs w:val="21"/>
              </w:rPr>
            </w:pP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《招标投标法实施条例》（国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260" w:type="dxa"/>
            <w:vMerge w:val="continue"/>
            <w:vAlign w:val="center"/>
          </w:tcPr>
          <w:p>
            <w:pPr>
              <w:spacing w:line="240" w:lineRule="exact"/>
              <w:rPr>
                <w:rFonts w:ascii="Times New Roman" w:hAnsi="Times New Roman" w:eastAsia="仿宋_GB2312"/>
                <w:sz w:val="18"/>
                <w:szCs w:val="18"/>
              </w:rPr>
            </w:pPr>
          </w:p>
        </w:tc>
        <w:tc>
          <w:tcPr>
            <w:tcW w:w="127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0" w:hRule="atLeast"/>
        </w:trPr>
        <w:tc>
          <w:tcPr>
            <w:tcW w:w="32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54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pPr>
              <w:spacing w:line="240" w:lineRule="exact"/>
              <w:jc w:val="center"/>
              <w:rPr>
                <w:rFonts w:ascii="仿宋_GB2312" w:hAnsi="宋体" w:eastAsia="仿宋_GB2312"/>
                <w:sz w:val="18"/>
                <w:szCs w:val="18"/>
              </w:rPr>
            </w:pP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54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260"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rPr>
                <w:rFonts w:ascii="仿宋_GB2312" w:hAnsi="宋体" w:eastAsia="仿宋_GB2312"/>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544"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260" w:type="dxa"/>
            <w:vMerge w:val="continue"/>
            <w:vAlign w:val="center"/>
          </w:tcPr>
          <w:p>
            <w:pPr>
              <w:spacing w:line="240" w:lineRule="exact"/>
              <w:rPr>
                <w:rFonts w:ascii="Times New Roman" w:hAnsi="Times New Roman" w:eastAsia="仿宋_GB2312"/>
                <w:sz w:val="18"/>
                <w:szCs w:val="18"/>
              </w:rPr>
            </w:pP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continue"/>
            <w:vAlign w:val="center"/>
          </w:tcPr>
          <w:p>
            <w:pPr>
              <w:spacing w:line="240" w:lineRule="exact"/>
              <w:rPr>
                <w:rFonts w:ascii="Wingdings 2" w:hAnsi="Wingdings 2" w:cs="宋体"/>
                <w:sz w:val="18"/>
                <w:szCs w:val="18"/>
              </w:rPr>
            </w:pPr>
          </w:p>
        </w:tc>
        <w:tc>
          <w:tcPr>
            <w:tcW w:w="567"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jc w:val="center"/>
              <w:rPr>
                <w:rFonts w:ascii="宋体" w:hAnsi="宋体" w:cs="宋体"/>
                <w:sz w:val="18"/>
                <w:szCs w:val="18"/>
              </w:rPr>
            </w:pPr>
            <w:r>
              <w:rPr>
                <w:rFonts w:hint="eastAsia"/>
                <w:sz w:val="18"/>
                <w:szCs w:val="18"/>
              </w:rPr>
              <w:t>　</w:t>
            </w:r>
          </w:p>
        </w:tc>
        <w:tc>
          <w:tcPr>
            <w:tcW w:w="425"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rPr>
                <w:rFonts w:ascii="宋体" w:hAnsi="宋体" w:cs="宋体"/>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采购文件</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9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采购合同</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终止公告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pPr>
              <w:spacing w:line="240" w:lineRule="exact"/>
              <w:rPr>
                <w:rFonts w:ascii="仿宋_GB2312" w:eastAsia="仿宋_GB2312"/>
                <w:sz w:val="18"/>
                <w:szCs w:val="18"/>
              </w:rPr>
            </w:pPr>
          </w:p>
          <w:p>
            <w:pPr>
              <w:spacing w:line="240" w:lineRule="exact"/>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国有企业资产转让信息披露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2" w:hRule="atLeast"/>
        </w:trPr>
        <w:tc>
          <w:tcPr>
            <w:tcW w:w="326" w:type="dxa"/>
            <w:vAlign w:val="center"/>
          </w:tcPr>
          <w:p>
            <w:pPr>
              <w:jc w:val="center"/>
              <w:rPr>
                <w:rFonts w:ascii="仿宋_GB2312" w:eastAsia="仿宋_GB2312"/>
                <w:sz w:val="18"/>
                <w:szCs w:val="18"/>
              </w:rPr>
            </w:pPr>
            <w:r>
              <w:rPr>
                <w:rFonts w:hint="eastAsia" w:ascii="仿宋_GB2312" w:eastAsia="仿宋_GB2312"/>
                <w:sz w:val="18"/>
                <w:szCs w:val="18"/>
              </w:rPr>
              <w:t>31</w:t>
            </w:r>
          </w:p>
        </w:tc>
        <w:tc>
          <w:tcPr>
            <w:tcW w:w="709" w:type="dxa"/>
            <w:vAlign w:val="center"/>
          </w:tcPr>
          <w:p>
            <w:pPr>
              <w:rPr>
                <w:rFonts w:ascii="仿宋_GB2312" w:eastAsia="仿宋_GB2312"/>
                <w:sz w:val="18"/>
                <w:szCs w:val="18"/>
              </w:rPr>
            </w:pPr>
          </w:p>
        </w:tc>
        <w:tc>
          <w:tcPr>
            <w:tcW w:w="567" w:type="dxa"/>
            <w:vAlign w:val="center"/>
          </w:tcPr>
          <w:p>
            <w:pPr>
              <w:rPr>
                <w:rFonts w:ascii="仿宋_GB2312" w:eastAsia="仿宋_GB2312"/>
                <w:sz w:val="18"/>
                <w:szCs w:val="18"/>
              </w:rPr>
            </w:pPr>
            <w:r>
              <w:rPr>
                <w:rFonts w:hint="eastAsia" w:ascii="仿宋_GB2312" w:eastAsia="仿宋_GB2312"/>
                <w:sz w:val="18"/>
                <w:szCs w:val="18"/>
              </w:rPr>
              <w:t>国有企业资产转让成交公告</w:t>
            </w:r>
          </w:p>
        </w:tc>
        <w:tc>
          <w:tcPr>
            <w:tcW w:w="3544" w:type="dxa"/>
            <w:vAlign w:val="center"/>
          </w:tcPr>
          <w:p>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260" w:type="dxa"/>
            <w:vAlign w:val="center"/>
          </w:tcPr>
          <w:p>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rPr>
                <w:rFonts w:ascii="仿宋_GB2312" w:eastAsia="仿宋_GB2312"/>
                <w:sz w:val="18"/>
                <w:szCs w:val="18"/>
              </w:rPr>
            </w:pPr>
            <w:r>
              <w:rPr>
                <w:rFonts w:hint="eastAsia" w:ascii="仿宋_GB2312" w:eastAsia="仿宋_GB2312"/>
                <w:sz w:val="18"/>
                <w:szCs w:val="18"/>
              </w:rPr>
              <w:t>不少于5个工作日</w:t>
            </w:r>
          </w:p>
        </w:tc>
        <w:tc>
          <w:tcPr>
            <w:tcW w:w="1417"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pPr>
        <w:jc w:val="center"/>
        <w:rPr>
          <w:rFonts w:ascii="方正小标宋_GBK" w:hAnsi="方正小标宋_GBK" w:eastAsia="方正小标宋_GBK"/>
          <w:sz w:val="30"/>
        </w:rPr>
      </w:pPr>
    </w:p>
    <w:p>
      <w:pPr>
        <w:jc w:val="center"/>
        <w:rPr>
          <w:rFonts w:ascii="方正小标宋_GBK" w:hAnsi="方正小标宋_GBK" w:eastAsia="方正小标宋_GBK"/>
          <w:sz w:val="30"/>
        </w:rPr>
      </w:pPr>
      <w:r>
        <w:rPr>
          <w:rFonts w:hint="eastAsia" w:ascii="方正小标宋_GBK" w:hAnsi="方正小标宋_GBK" w:eastAsia="方正小标宋_GBK"/>
          <w:sz w:val="30"/>
        </w:rPr>
        <w:t>（三）教育领域</w:t>
      </w:r>
      <w:r>
        <w:rPr>
          <w:rFonts w:hint="eastAsia" w:ascii="方正小标宋_GBK" w:hAnsi="方正小标宋_GBK" w:eastAsia="方正小标宋_GBK" w:cs="Times New Roman"/>
          <w:sz w:val="30"/>
        </w:rPr>
        <w:t>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
        <w:gridCol w:w="710"/>
        <w:gridCol w:w="658"/>
        <w:gridCol w:w="2126"/>
        <w:gridCol w:w="3827"/>
        <w:gridCol w:w="1134"/>
        <w:gridCol w:w="1185"/>
        <w:gridCol w:w="1934"/>
        <w:gridCol w:w="618"/>
        <w:gridCol w:w="567"/>
        <w:gridCol w:w="425"/>
        <w:gridCol w:w="709"/>
        <w:gridCol w:w="567"/>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36" w:type="dxa"/>
            <w:vMerge w:val="restart"/>
            <w:vAlign w:val="center"/>
          </w:tcPr>
          <w:p>
            <w:pPr>
              <w:widowControl/>
              <w:jc w:val="center"/>
              <w:rPr>
                <w:rFonts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82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8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4" w:hRule="atLeast"/>
          <w:tblHeader/>
        </w:trPr>
        <w:tc>
          <w:tcPr>
            <w:tcW w:w="436" w:type="dxa"/>
            <w:vMerge w:val="continue"/>
            <w:vAlign w:val="center"/>
          </w:tcPr>
          <w:p>
            <w:pPr>
              <w:widowControl/>
              <w:jc w:val="left"/>
              <w:rPr>
                <w:rFonts w:ascii="黑体" w:hAnsi="Times New Roman" w:eastAsia="黑体" w:cs="Times New Roman"/>
                <w:color w:val="000000"/>
                <w:kern w:val="0"/>
                <w:sz w:val="22"/>
              </w:rPr>
            </w:pP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5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26" w:type="dxa"/>
            <w:vMerge w:val="continue"/>
            <w:vAlign w:val="center"/>
          </w:tcPr>
          <w:p>
            <w:pPr>
              <w:widowControl/>
              <w:jc w:val="left"/>
              <w:rPr>
                <w:rFonts w:ascii="黑体" w:hAnsi="宋体" w:eastAsia="黑体" w:cs="宋体"/>
                <w:color w:val="000000"/>
                <w:kern w:val="0"/>
                <w:sz w:val="22"/>
              </w:rPr>
            </w:pPr>
          </w:p>
        </w:tc>
        <w:tc>
          <w:tcPr>
            <w:tcW w:w="3827"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rPr>
                <w:rFonts w:ascii="黑体" w:hAnsi="宋体" w:eastAsia="黑体" w:cs="宋体"/>
                <w:color w:val="000000"/>
                <w:kern w:val="0"/>
                <w:sz w:val="22"/>
              </w:rPr>
            </w:pPr>
          </w:p>
        </w:tc>
        <w:tc>
          <w:tcPr>
            <w:tcW w:w="1934" w:type="dxa"/>
            <w:vMerge w:val="continue"/>
            <w:vAlign w:val="center"/>
          </w:tcPr>
          <w:p>
            <w:pPr>
              <w:widowControl/>
              <w:jc w:val="left"/>
              <w:rPr>
                <w:rFonts w:ascii="黑体" w:hAnsi="宋体" w:eastAsia="黑体" w:cs="宋体"/>
                <w:kern w:val="0"/>
                <w:sz w:val="22"/>
              </w:rPr>
            </w:pPr>
          </w:p>
        </w:tc>
        <w:tc>
          <w:tcPr>
            <w:tcW w:w="61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6" w:hRule="atLeast"/>
        </w:trPr>
        <w:tc>
          <w:tcPr>
            <w:tcW w:w="436"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10" w:type="dxa"/>
            <w:vAlign w:val="center"/>
          </w:tcPr>
          <w:p>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658"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2126" w:type="dxa"/>
            <w:vAlign w:val="center"/>
          </w:tcPr>
          <w:p>
            <w:pPr>
              <w:jc w:val="left"/>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财务管理及监督办法、年度经费预决算信息、收费项目及收费标准</w:t>
            </w:r>
          </w:p>
        </w:tc>
        <w:tc>
          <w:tcPr>
            <w:tcW w:w="3827" w:type="dxa"/>
            <w:vAlign w:val="center"/>
          </w:tcPr>
          <w:p>
            <w:pP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《中华人民共和国政府信息公开条例》</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伟江</w:t>
            </w:r>
            <w:r>
              <w:rPr>
                <w:rFonts w:hint="eastAsia" w:ascii="仿宋_GB2312" w:hAnsi="仿宋" w:eastAsia="仿宋_GB2312" w:cs="Times New Roman"/>
                <w:sz w:val="18"/>
                <w:szCs w:val="18"/>
              </w:rPr>
              <w:t>乡中心校</w:t>
            </w:r>
          </w:p>
        </w:tc>
        <w:tc>
          <w:tcPr>
            <w:tcW w:w="1934" w:type="dxa"/>
            <w:vAlign w:val="center"/>
          </w:tcPr>
          <w:p>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■公开查阅点  </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10" w:type="dxa"/>
            <w:vAlign w:val="center"/>
          </w:tcPr>
          <w:p>
            <w:pPr>
              <w:jc w:val="center"/>
              <w:rPr>
                <w:rFonts w:ascii="仿宋_GB2312" w:hAnsi="宋体" w:eastAsia="仿宋_GB2312" w:cs="宋体"/>
                <w:sz w:val="18"/>
                <w:szCs w:val="18"/>
              </w:rPr>
            </w:pPr>
            <w:r>
              <w:rPr>
                <w:rFonts w:hint="eastAsia" w:ascii="仿宋_GB2312" w:hAnsi="宋体" w:eastAsia="仿宋_GB2312" w:cs="Times New Roman"/>
                <w:sz w:val="18"/>
                <w:szCs w:val="18"/>
              </w:rPr>
              <w:t>招生管理</w:t>
            </w:r>
          </w:p>
        </w:tc>
        <w:tc>
          <w:tcPr>
            <w:tcW w:w="658"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学校介绍</w:t>
            </w:r>
          </w:p>
        </w:tc>
        <w:tc>
          <w:tcPr>
            <w:tcW w:w="2126"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办学性质、办学地点、办学规模、办学基本条件、联系方式等</w:t>
            </w:r>
          </w:p>
        </w:tc>
        <w:tc>
          <w:tcPr>
            <w:tcW w:w="3827" w:type="dxa"/>
            <w:vAlign w:val="center"/>
          </w:tcPr>
          <w:p>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《中华人民共和国政府信息公开条例》</w:t>
            </w:r>
            <w:r>
              <w:rPr>
                <w:rFonts w:ascii="Times New Roman" w:hAnsi="Times New Roman" w:eastAsia="仿宋_GB2312" w:cs="Times New Roman"/>
                <w:sz w:val="18"/>
                <w:szCs w:val="18"/>
              </w:rPr>
              <w:t>、《教育部关于进一步做好小学升入初中免试就近入学工作的实施意见》（教基一〔2014〕1号）、《教育部关于推进中小学信息公开工作的意见》(教办〔2010〕15号)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伟江</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■两微一端             ■公开查阅点    </w:t>
            </w:r>
          </w:p>
        </w:tc>
        <w:tc>
          <w:tcPr>
            <w:tcW w:w="618"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67"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425"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709"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567"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84"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5" w:hRule="atLeast"/>
        </w:trPr>
        <w:tc>
          <w:tcPr>
            <w:tcW w:w="436"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710" w:type="dxa"/>
            <w:vAlign w:val="center"/>
          </w:tcPr>
          <w:p>
            <w:pPr>
              <w:rPr>
                <w:rFonts w:ascii="仿宋_GB2312" w:hAnsi="宋体" w:eastAsia="仿宋_GB2312" w:cs="宋体"/>
                <w:sz w:val="18"/>
                <w:szCs w:val="18"/>
              </w:rPr>
            </w:pPr>
            <w:r>
              <w:rPr>
                <w:rFonts w:hint="eastAsia" w:ascii="仿宋_GB2312" w:hAnsi="宋体" w:eastAsia="仿宋_GB2312"/>
                <w:sz w:val="18"/>
                <w:szCs w:val="18"/>
              </w:rPr>
              <w:t>学生管理</w:t>
            </w:r>
          </w:p>
        </w:tc>
        <w:tc>
          <w:tcPr>
            <w:tcW w:w="658"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义务教育学生资助政策</w:t>
            </w:r>
          </w:p>
        </w:tc>
        <w:tc>
          <w:tcPr>
            <w:tcW w:w="2126"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统一城乡义务教育“两免一补”政策</w:t>
            </w:r>
          </w:p>
        </w:tc>
        <w:tc>
          <w:tcPr>
            <w:tcW w:w="3827" w:type="dxa"/>
            <w:vAlign w:val="center"/>
          </w:tcPr>
          <w:p>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、《国务院关于进一步完善城乡义务教育经费保障机制的通知》(国发〔2015〕67号)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伟江</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■两微一端</w:t>
            </w:r>
          </w:p>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■公开查阅点</w:t>
            </w:r>
          </w:p>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■社区/企事业单位/村公示栏（电子屏）</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7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658" w:type="dxa"/>
            <w:vAlign w:val="center"/>
          </w:tcPr>
          <w:p>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教师职称评审</w:t>
            </w:r>
          </w:p>
        </w:tc>
        <w:tc>
          <w:tcPr>
            <w:tcW w:w="2126"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评审政策、评审通知、学校拟推荐人选名单、评审结果</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、最终结果</w:t>
            </w:r>
          </w:p>
        </w:tc>
        <w:tc>
          <w:tcPr>
            <w:tcW w:w="3827" w:type="dxa"/>
            <w:vAlign w:val="center"/>
          </w:tcPr>
          <w:p>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、《人力资源社会保障部教育部关于印发深化中小学教师职称制度改革的指导意见的通知》（人社部发〔2015〕79号）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信息形成（变更）3个工作日内，公示时间不少于7个工作日</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伟江</w:t>
            </w:r>
            <w:r>
              <w:rPr>
                <w:rFonts w:hint="eastAsia" w:ascii="仿宋_GB2312" w:hAnsi="仿宋" w:eastAsia="仿宋_GB2312" w:cs="Times New Roman"/>
                <w:sz w:val="18"/>
                <w:szCs w:val="18"/>
              </w:rPr>
              <w:t>乡中心校</w:t>
            </w:r>
          </w:p>
        </w:tc>
        <w:tc>
          <w:tcPr>
            <w:tcW w:w="19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教师</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bl>
    <w:p>
      <w:pPr>
        <w:pStyle w:val="2"/>
        <w:spacing w:before="0" w:after="0"/>
        <w:ind w:firstLine="3900" w:firstLineChars="1300"/>
        <w:jc w:val="left"/>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（四）户籍管理领域基层政务公开标准目录</w:t>
      </w:r>
    </w:p>
    <w:tbl>
      <w:tblPr>
        <w:tblStyle w:val="7"/>
        <w:tblW w:w="157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135"/>
        <w:gridCol w:w="1134"/>
        <w:gridCol w:w="2693"/>
        <w:gridCol w:w="2552"/>
        <w:gridCol w:w="2268"/>
        <w:gridCol w:w="709"/>
        <w:gridCol w:w="1275"/>
        <w:gridCol w:w="567"/>
        <w:gridCol w:w="567"/>
        <w:gridCol w:w="426"/>
        <w:gridCol w:w="850"/>
        <w:gridCol w:w="425"/>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restart"/>
            <w:vAlign w:val="center"/>
          </w:tcPr>
          <w:p>
            <w:pPr>
              <w:widowControl/>
              <w:spacing w:line="240" w:lineRule="atLeast"/>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序号</w:t>
            </w:r>
          </w:p>
        </w:tc>
        <w:tc>
          <w:tcPr>
            <w:tcW w:w="2269"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693" w:type="dxa"/>
            <w:vMerge w:val="restart"/>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268"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09"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75" w:type="dxa"/>
            <w:vMerge w:val="restart"/>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5"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continue"/>
            <w:vAlign w:val="center"/>
          </w:tcPr>
          <w:p>
            <w:pPr>
              <w:widowControl/>
              <w:spacing w:line="240" w:lineRule="atLeast"/>
              <w:jc w:val="left"/>
              <w:rPr>
                <w:rFonts w:ascii="Times New Roman" w:hAnsi="Times New Roman" w:eastAsia="宋体" w:cs="Times New Roman"/>
                <w:color w:val="000000"/>
                <w:kern w:val="0"/>
                <w:sz w:val="22"/>
              </w:rPr>
            </w:pPr>
          </w:p>
        </w:tc>
        <w:tc>
          <w:tcPr>
            <w:tcW w:w="1135"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693" w:type="dxa"/>
            <w:vMerge w:val="continue"/>
            <w:vAlign w:val="center"/>
          </w:tcPr>
          <w:p>
            <w:pPr>
              <w:widowControl/>
              <w:spacing w:line="240" w:lineRule="atLeast"/>
              <w:rPr>
                <w:rFonts w:ascii="黑体" w:hAnsi="宋体" w:eastAsia="黑体" w:cs="宋体"/>
                <w:color w:val="000000"/>
                <w:kern w:val="0"/>
                <w:sz w:val="22"/>
              </w:rPr>
            </w:pPr>
          </w:p>
        </w:tc>
        <w:tc>
          <w:tcPr>
            <w:tcW w:w="2552" w:type="dxa"/>
            <w:vMerge w:val="continue"/>
            <w:vAlign w:val="center"/>
          </w:tcPr>
          <w:p>
            <w:pPr>
              <w:widowControl/>
              <w:spacing w:line="240" w:lineRule="atLeast"/>
              <w:jc w:val="left"/>
              <w:rPr>
                <w:rFonts w:ascii="黑体" w:hAnsi="宋体" w:eastAsia="黑体" w:cs="宋体"/>
                <w:color w:val="000000"/>
                <w:kern w:val="0"/>
                <w:sz w:val="22"/>
              </w:rPr>
            </w:pPr>
          </w:p>
        </w:tc>
        <w:tc>
          <w:tcPr>
            <w:tcW w:w="2268" w:type="dxa"/>
            <w:vMerge w:val="continue"/>
            <w:vAlign w:val="center"/>
          </w:tcPr>
          <w:p>
            <w:pPr>
              <w:widowControl/>
              <w:spacing w:line="240" w:lineRule="atLeast"/>
              <w:jc w:val="left"/>
              <w:rPr>
                <w:rFonts w:ascii="黑体" w:hAnsi="宋体" w:eastAsia="黑体" w:cs="宋体"/>
                <w:color w:val="000000"/>
                <w:kern w:val="0"/>
                <w:sz w:val="22"/>
              </w:rPr>
            </w:pPr>
          </w:p>
        </w:tc>
        <w:tc>
          <w:tcPr>
            <w:tcW w:w="709" w:type="dxa"/>
            <w:vMerge w:val="continue"/>
            <w:vAlign w:val="center"/>
          </w:tcPr>
          <w:p>
            <w:pPr>
              <w:widowControl/>
              <w:spacing w:line="240" w:lineRule="atLeast"/>
              <w:jc w:val="left"/>
              <w:rPr>
                <w:rFonts w:ascii="黑体" w:hAnsi="宋体" w:eastAsia="黑体" w:cs="宋体"/>
                <w:color w:val="000000"/>
                <w:kern w:val="0"/>
                <w:sz w:val="22"/>
              </w:rPr>
            </w:pPr>
          </w:p>
        </w:tc>
        <w:tc>
          <w:tcPr>
            <w:tcW w:w="1275" w:type="dxa"/>
            <w:vMerge w:val="continue"/>
            <w:vAlign w:val="center"/>
          </w:tcPr>
          <w:p>
            <w:pPr>
              <w:widowControl/>
              <w:spacing w:line="240" w:lineRule="atLeast"/>
              <w:jc w:val="left"/>
              <w:rPr>
                <w:rFonts w:ascii="黑体" w:hAnsi="宋体" w:eastAsia="黑体" w:cs="宋体"/>
                <w:kern w:val="0"/>
                <w:sz w:val="22"/>
              </w:rPr>
            </w:pPr>
          </w:p>
        </w:tc>
        <w:tc>
          <w:tcPr>
            <w:tcW w:w="567"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w:t>
            </w:r>
          </w:p>
        </w:tc>
        <w:tc>
          <w:tcPr>
            <w:tcW w:w="113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1134"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2</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收养、入籍等登记</w:t>
            </w:r>
          </w:p>
        </w:tc>
        <w:tc>
          <w:tcPr>
            <w:tcW w:w="1134"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《户口登记条例》、《收养法》、《中国公民收养子女登记办法》（民政部第14号</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）、《国籍法》、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3</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注销登记</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死亡注销</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4</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服现役注销</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5</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迁移登记</w:t>
            </w:r>
          </w:p>
        </w:tc>
        <w:tc>
          <w:tcPr>
            <w:tcW w:w="1134"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迁出、迁入登记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《户口登记条例》、《中华人民共和国政府信息公开条例》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7" w:hRule="atLeas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6</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姓名变更、更正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atLeas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7</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性别变更、更正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《关于公民手术变性后变更户口登记性别项目有关问题的批复》（公治[2008]478号）、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8</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民族成份变更、更正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《中国公民民族成份登记管理办法》（国家民委 公安部</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2号）、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9</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10</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11</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12</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居住证签注</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13</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14</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15</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16</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17</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临时居民身份证申领、换领、补领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《临时居民身份证管理办法》（公安部</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r>
              <w:rPr>
                <w:rFonts w:hint="eastAsia" w:ascii="仿宋_GB2312" w:hAnsi="宋体" w:eastAsia="仿宋_GB2312" w:cs="Times New Roman"/>
                <w:color w:val="000000"/>
                <w:sz w:val="18"/>
                <w:szCs w:val="18"/>
              </w:rPr>
              <w:br w:type="textWrapping"/>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18</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异地申请换、补领居民身份证</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《居民身份证法》、《公安部关于印发&lt;关于建立居民身份证异地受理挂失申报和丢失招领制度的意见&gt;的通知》（公通字〔2015〕34号）、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bl>
    <w:p/>
    <w:p/>
    <w:p/>
    <w:p/>
    <w:p/>
    <w:p/>
    <w:p/>
    <w:p/>
    <w:p/>
    <w:p/>
    <w:p/>
    <w:p>
      <w:pPr>
        <w:pStyle w:val="2"/>
        <w:spacing w:before="0" w:after="0"/>
        <w:jc w:val="center"/>
        <w:rPr>
          <w:rFonts w:ascii="方正小标宋_GBK" w:hAnsi="方正小标宋_GBK" w:eastAsia="方正小标宋_GBK"/>
          <w:b w:val="0"/>
          <w:bCs w:val="0"/>
          <w:color w:val="000000" w:themeColor="text1"/>
          <w:sz w:val="30"/>
        </w:rPr>
      </w:pPr>
      <w:r>
        <w:rPr>
          <w:rFonts w:hint="eastAsia" w:ascii="方正小标宋_GBK" w:hAnsi="方正小标宋_GBK" w:eastAsia="方正小标宋_GBK"/>
          <w:b w:val="0"/>
          <w:bCs w:val="0"/>
          <w:color w:val="000000" w:themeColor="text1"/>
          <w:sz w:val="30"/>
        </w:rPr>
        <w:t>（五）社会救助领域基层政务公开标准目录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720"/>
        <w:gridCol w:w="720"/>
        <w:gridCol w:w="2534"/>
        <w:gridCol w:w="2410"/>
        <w:gridCol w:w="1701"/>
        <w:gridCol w:w="1417"/>
        <w:gridCol w:w="1701"/>
        <w:gridCol w:w="567"/>
        <w:gridCol w:w="709"/>
        <w:gridCol w:w="425"/>
        <w:gridCol w:w="851"/>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restart"/>
            <w:vAlign w:val="center"/>
          </w:tcPr>
          <w:p>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440"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2534"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2410"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701"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417"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701"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75"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continue"/>
            <w:vAlign w:val="center"/>
          </w:tcPr>
          <w:p>
            <w:pPr>
              <w:widowControl/>
              <w:jc w:val="left"/>
              <w:rPr>
                <w:rFonts w:ascii="Times New Roman" w:hAnsi="Times New Roman"/>
                <w:color w:val="000000" w:themeColor="text1"/>
                <w:kern w:val="0"/>
                <w:sz w:val="22"/>
              </w:rPr>
            </w:pP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一级事项</w:t>
            </w:r>
          </w:p>
        </w:tc>
        <w:tc>
          <w:tcPr>
            <w:tcW w:w="720"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二级事项</w:t>
            </w:r>
          </w:p>
        </w:tc>
        <w:tc>
          <w:tcPr>
            <w:tcW w:w="2534" w:type="dxa"/>
            <w:vMerge w:val="continue"/>
            <w:vAlign w:val="center"/>
          </w:tcPr>
          <w:p>
            <w:pPr>
              <w:widowControl/>
              <w:jc w:val="left"/>
              <w:rPr>
                <w:rFonts w:ascii="黑体" w:hAnsi="宋体" w:eastAsia="黑体" w:cs="宋体"/>
                <w:color w:val="000000" w:themeColor="text1"/>
                <w:kern w:val="0"/>
                <w:sz w:val="22"/>
              </w:rPr>
            </w:pPr>
          </w:p>
        </w:tc>
        <w:tc>
          <w:tcPr>
            <w:tcW w:w="2410" w:type="dxa"/>
            <w:vMerge w:val="continue"/>
            <w:vAlign w:val="center"/>
          </w:tcPr>
          <w:p>
            <w:pPr>
              <w:widowControl/>
              <w:jc w:val="left"/>
              <w:rPr>
                <w:rFonts w:ascii="黑体" w:hAnsi="宋体" w:eastAsia="黑体" w:cs="宋体"/>
                <w:color w:val="000000" w:themeColor="text1"/>
                <w:kern w:val="0"/>
                <w:sz w:val="22"/>
              </w:rPr>
            </w:pPr>
          </w:p>
        </w:tc>
        <w:tc>
          <w:tcPr>
            <w:tcW w:w="1701" w:type="dxa"/>
            <w:vMerge w:val="continue"/>
            <w:vAlign w:val="center"/>
          </w:tcPr>
          <w:p>
            <w:pPr>
              <w:widowControl/>
              <w:jc w:val="left"/>
              <w:rPr>
                <w:rFonts w:ascii="黑体" w:hAnsi="宋体" w:eastAsia="黑体" w:cs="宋体"/>
                <w:color w:val="000000" w:themeColor="text1"/>
                <w:kern w:val="0"/>
                <w:sz w:val="22"/>
              </w:rPr>
            </w:pPr>
          </w:p>
        </w:tc>
        <w:tc>
          <w:tcPr>
            <w:tcW w:w="1417" w:type="dxa"/>
            <w:vMerge w:val="continue"/>
            <w:vAlign w:val="center"/>
          </w:tcPr>
          <w:p>
            <w:pPr>
              <w:widowControl/>
              <w:jc w:val="left"/>
              <w:rPr>
                <w:rFonts w:ascii="黑体" w:hAnsi="宋体" w:eastAsia="黑体" w:cs="宋体"/>
                <w:color w:val="000000" w:themeColor="text1"/>
                <w:kern w:val="0"/>
                <w:sz w:val="22"/>
              </w:rPr>
            </w:pPr>
          </w:p>
        </w:tc>
        <w:tc>
          <w:tcPr>
            <w:tcW w:w="1701" w:type="dxa"/>
            <w:vMerge w:val="continue"/>
            <w:vAlign w:val="center"/>
          </w:tcPr>
          <w:p>
            <w:pPr>
              <w:widowControl/>
              <w:jc w:val="left"/>
              <w:rPr>
                <w:rFonts w:ascii="黑体" w:hAnsi="宋体" w:eastAsia="黑体" w:cs="宋体"/>
                <w:color w:val="000000" w:themeColor="text1"/>
                <w:kern w:val="0"/>
                <w:sz w:val="22"/>
              </w:rPr>
            </w:pPr>
          </w:p>
        </w:tc>
        <w:tc>
          <w:tcPr>
            <w:tcW w:w="567"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全社会</w:t>
            </w:r>
          </w:p>
        </w:tc>
        <w:tc>
          <w:tcPr>
            <w:tcW w:w="709"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特定群众</w:t>
            </w:r>
          </w:p>
        </w:tc>
        <w:tc>
          <w:tcPr>
            <w:tcW w:w="425"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主动</w:t>
            </w:r>
          </w:p>
        </w:tc>
        <w:tc>
          <w:tcPr>
            <w:tcW w:w="851"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依申请公开</w:t>
            </w:r>
          </w:p>
        </w:tc>
        <w:tc>
          <w:tcPr>
            <w:tcW w:w="567"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县级</w:t>
            </w:r>
          </w:p>
        </w:tc>
        <w:tc>
          <w:tcPr>
            <w:tcW w:w="708"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综合业务</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《社会救助暂行办法》（国</w:t>
            </w:r>
            <w:r>
              <w:rPr>
                <w:rFonts w:hint="eastAsia" w:ascii="仿宋_GB2312" w:hAnsi="宋体" w:eastAsia="仿宋_GB2312"/>
                <w:color w:val="000000" w:themeColor="text1"/>
                <w:sz w:val="18"/>
                <w:szCs w:val="18"/>
                <w:lang w:eastAsia="zh-CN"/>
              </w:rPr>
              <w:t>令第</w:t>
            </w:r>
            <w:r>
              <w:rPr>
                <w:rFonts w:hint="eastAsia" w:ascii="仿宋_GB2312" w:hAnsi="宋体" w:eastAsia="仿宋_GB2312"/>
                <w:color w:val="000000" w:themeColor="text1"/>
                <w:sz w:val="18"/>
                <w:szCs w:val="18"/>
              </w:rPr>
              <w:t xml:space="preserve">649号）                 </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各地配套政策法规文件</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2</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监督</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检查</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社会救助信访通讯地址</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社会救助投诉举报电话</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3</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《国务院关于进一步加强和改进最低生活保障工作的意见》（国发〔2012〕45号）、《最低生活保障审核审批办法（试行）》、各地配套政策法规文件</w:t>
            </w:r>
          </w:p>
        </w:tc>
        <w:tc>
          <w:tcPr>
            <w:tcW w:w="241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4</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办理事项、办理条件、最低生活保障标准、申请材料、办理流程、办理时间、地点、联系方式</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5</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初审对象名单及相关信息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pPr>
              <w:rPr>
                <w:rFonts w:ascii="仿宋_GB2312" w:hAnsi="宋体" w:eastAsia="仿宋_GB2312"/>
                <w:color w:val="000000" w:themeColor="text1"/>
                <w:sz w:val="18"/>
                <w:szCs w:val="18"/>
              </w:rPr>
            </w:pP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6</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低保对象名单及相关信息</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7</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410" w:type="dxa"/>
            <w:vAlign w:val="center"/>
          </w:tcPr>
          <w:p>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8</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办理事项、办理条件、救助供养标准、申请材料、办理流程、办理时间、地点、联系方式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9</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初审对象名单及相关信息、终止供养名单</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pPr>
              <w:rPr>
                <w:rFonts w:ascii="仿宋_GB2312" w:hAnsi="宋体" w:eastAsia="仿宋_GB2312"/>
                <w:color w:val="000000" w:themeColor="text1"/>
                <w:sz w:val="18"/>
                <w:szCs w:val="18"/>
              </w:rPr>
            </w:pP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10</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特困人员名单及相关信息</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11</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《国务院关于全面建立临时救助制度的通知》（国发〔2014〕47号）、《民政部 财政部关于进一步加强和改进临时救助工作的意见》、各地配套政策法规文件</w:t>
            </w:r>
          </w:p>
        </w:tc>
        <w:tc>
          <w:tcPr>
            <w:tcW w:w="2410" w:type="dxa"/>
            <w:vAlign w:val="center"/>
          </w:tcPr>
          <w:p>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12</w:t>
            </w:r>
          </w:p>
        </w:tc>
        <w:tc>
          <w:tcPr>
            <w:tcW w:w="720" w:type="dxa"/>
            <w:vMerge w:val="restart"/>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办理事项、办理条件、救助标准、申请材料、办理流程、办理时间、地点、联系方式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13</w:t>
            </w:r>
          </w:p>
        </w:tc>
        <w:tc>
          <w:tcPr>
            <w:tcW w:w="720" w:type="dxa"/>
            <w:vMerge w:val="continue"/>
            <w:vAlign w:val="center"/>
          </w:tcPr>
          <w:p>
            <w:pPr>
              <w:rPr>
                <w:rFonts w:ascii="仿宋_GB2312" w:hAnsi="宋体" w:eastAsia="仿宋_GB2312"/>
                <w:color w:val="000000" w:themeColor="text1"/>
                <w:sz w:val="18"/>
                <w:szCs w:val="18"/>
              </w:rPr>
            </w:pPr>
          </w:p>
        </w:tc>
        <w:tc>
          <w:tcPr>
            <w:tcW w:w="720"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审批</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支出型临时救助对象名单、救助金额、救助事由 </w:t>
            </w:r>
          </w:p>
        </w:tc>
        <w:tc>
          <w:tcPr>
            <w:tcW w:w="2410" w:type="dxa"/>
            <w:vAlign w:val="center"/>
          </w:tcPr>
          <w:p>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70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bl>
    <w:p>
      <w:pPr>
        <w:pStyle w:val="2"/>
        <w:spacing w:before="0" w:after="0"/>
        <w:jc w:val="center"/>
        <w:rPr>
          <w:rFonts w:ascii="方正小标宋_GBK" w:hAnsi="方正小标宋_GBK" w:eastAsia="方正小标宋_GBK"/>
          <w:b w:val="0"/>
          <w:bCs w:val="0"/>
          <w:color w:val="000000" w:themeColor="text1"/>
          <w:sz w:val="30"/>
        </w:rPr>
      </w:pPr>
      <w:bookmarkStart w:id="0" w:name="_Toc24724709"/>
      <w:r>
        <w:rPr>
          <w:rFonts w:hint="eastAsia" w:ascii="方正小标宋_GBK" w:hAnsi="方正小标宋_GBK" w:eastAsia="方正小标宋_GBK"/>
          <w:b w:val="0"/>
          <w:bCs w:val="0"/>
          <w:color w:val="000000" w:themeColor="text1"/>
          <w:sz w:val="30"/>
        </w:rPr>
        <w:t>（六）养老服务领域基层政务公开标准目录</w:t>
      </w:r>
      <w:bookmarkEnd w:id="0"/>
    </w:p>
    <w:tbl>
      <w:tblPr>
        <w:tblStyle w:val="7"/>
        <w:tblW w:w="15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665"/>
        <w:gridCol w:w="1134"/>
        <w:gridCol w:w="3543"/>
        <w:gridCol w:w="1843"/>
        <w:gridCol w:w="1276"/>
        <w:gridCol w:w="1134"/>
        <w:gridCol w:w="1559"/>
        <w:gridCol w:w="567"/>
        <w:gridCol w:w="709"/>
        <w:gridCol w:w="425"/>
        <w:gridCol w:w="851"/>
        <w:gridCol w:w="514"/>
        <w:gridCol w:w="74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Merge w:val="restart"/>
            <w:vAlign w:val="center"/>
          </w:tcPr>
          <w:p>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799"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3543"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1843"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276"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134" w:type="dxa"/>
            <w:vMerge w:val="restart"/>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559" w:type="dxa"/>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57" w:type="dxa"/>
            <w:gridSpan w:val="2"/>
            <w:vAlign w:val="center"/>
          </w:tcPr>
          <w:p>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66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3" w:type="dxa"/>
            <w:vMerge w:val="continue"/>
            <w:vAlign w:val="center"/>
          </w:tcPr>
          <w:p>
            <w:pPr>
              <w:widowControl/>
              <w:jc w:val="left"/>
              <w:rPr>
                <w:rFonts w:ascii="黑体" w:hAnsi="宋体" w:eastAsia="黑体" w:cs="宋体"/>
                <w:color w:val="000000"/>
                <w:kern w:val="0"/>
                <w:sz w:val="22"/>
              </w:rPr>
            </w:pPr>
          </w:p>
        </w:tc>
        <w:tc>
          <w:tcPr>
            <w:tcW w:w="1843"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1559" w:type="dxa"/>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66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1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5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高龄津贴补贴依据；各项老年人补贴对象；各项老年人补贴内容和标准；各项老年人补贴方式；补贴申请材料清单及格式；办理流程、办理部门、办理时限、办理时间、地点、咨询电话</w:t>
            </w:r>
          </w:p>
        </w:tc>
        <w:tc>
          <w:tcPr>
            <w:tcW w:w="18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34"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伟江</w:t>
            </w:r>
            <w:r>
              <w:rPr>
                <w:rFonts w:hint="eastAsia" w:ascii="仿宋_GB2312" w:hAnsi="宋体" w:eastAsia="仿宋_GB2312"/>
                <w:color w:val="000000" w:themeColor="text1"/>
                <w:sz w:val="18"/>
                <w:szCs w:val="18"/>
              </w:rPr>
              <w:t>乡政府（街道办事处）</w:t>
            </w:r>
          </w:p>
        </w:tc>
        <w:tc>
          <w:tcPr>
            <w:tcW w:w="155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p>
    <w:p/>
    <w:p/>
    <w:p/>
    <w:p/>
    <w:p/>
    <w:p/>
    <w:p/>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w:t>
      </w:r>
      <w:r>
        <w:rPr>
          <w:rFonts w:ascii="方正小标宋_GBK" w:hAnsi="方正小标宋_GBK" w:eastAsia="方正小标宋_GBK"/>
          <w:b w:val="0"/>
          <w:bCs w:val="0"/>
          <w:sz w:val="30"/>
        </w:rPr>
        <w:t>）</w:t>
      </w:r>
      <w:r>
        <w:rPr>
          <w:rFonts w:hint="eastAsia" w:ascii="方正小标宋_GBK" w:hAnsi="方正小标宋_GBK" w:eastAsia="方正小标宋_GBK"/>
          <w:b w:val="0"/>
          <w:bCs w:val="0"/>
          <w:sz w:val="30"/>
        </w:rPr>
        <w:t>公共法律服务领域基层政务公开标准目录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055"/>
        <w:gridCol w:w="1356"/>
        <w:gridCol w:w="1843"/>
        <w:gridCol w:w="2568"/>
        <w:gridCol w:w="1276"/>
        <w:gridCol w:w="1134"/>
        <w:gridCol w:w="2410"/>
        <w:gridCol w:w="691"/>
        <w:gridCol w:w="567"/>
        <w:gridCol w:w="426"/>
        <w:gridCol w:w="850"/>
        <w:gridCol w:w="425"/>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4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6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pPr>
              <w:widowControl/>
              <w:jc w:val="left"/>
              <w:rPr>
                <w:rFonts w:ascii="Times New Roman" w:hAnsi="Times New Roman"/>
                <w:color w:val="000000"/>
                <w:kern w:val="0"/>
                <w:sz w:val="22"/>
              </w:rPr>
            </w:pPr>
          </w:p>
        </w:tc>
        <w:tc>
          <w:tcPr>
            <w:tcW w:w="105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568"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2410" w:type="dxa"/>
            <w:vMerge w:val="continue"/>
            <w:vAlign w:val="center"/>
          </w:tcPr>
          <w:p>
            <w:pPr>
              <w:widowControl/>
              <w:jc w:val="left"/>
              <w:rPr>
                <w:rFonts w:ascii="黑体" w:hAnsi="宋体" w:eastAsia="黑体" w:cs="宋体"/>
                <w:kern w:val="0"/>
                <w:sz w:val="22"/>
              </w:rPr>
            </w:pPr>
          </w:p>
        </w:tc>
        <w:tc>
          <w:tcPr>
            <w:tcW w:w="69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55"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843"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2568" w:type="dxa"/>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55"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691" w:type="dxa"/>
            <w:vAlign w:val="center"/>
          </w:tcPr>
          <w:p>
            <w:pPr>
              <w:spacing w:line="240" w:lineRule="exact"/>
              <w:jc w:val="center"/>
              <w:rPr>
                <w:rFonts w:ascii="仿宋_GB2312" w:hAnsi="宋体" w:eastAsia="仿宋_GB2312"/>
                <w:color w:val="000000"/>
                <w:sz w:val="18"/>
                <w:szCs w:val="18"/>
              </w:rPr>
            </w:pP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pPr>
              <w:spacing w:line="240" w:lineRule="exact"/>
              <w:jc w:val="center"/>
              <w:rPr>
                <w:rFonts w:ascii="仿宋_GB2312" w:hAnsi="宋体" w:eastAsia="仿宋_GB2312"/>
                <w:color w:val="000000"/>
                <w:sz w:val="18"/>
                <w:szCs w:val="18"/>
              </w:rPr>
            </w:pP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691" w:type="dxa"/>
            <w:vAlign w:val="center"/>
          </w:tcPr>
          <w:p>
            <w:pPr>
              <w:spacing w:line="240" w:lineRule="exact"/>
              <w:jc w:val="center"/>
              <w:rPr>
                <w:rFonts w:ascii="仿宋_GB2312" w:hAnsi="宋体" w:eastAsia="仿宋_GB2312"/>
                <w:color w:val="000000"/>
                <w:sz w:val="18"/>
                <w:szCs w:val="18"/>
              </w:rPr>
            </w:pP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pPr>
              <w:spacing w:line="240" w:lineRule="exact"/>
              <w:jc w:val="center"/>
              <w:rPr>
                <w:rFonts w:ascii="仿宋_GB2312" w:hAnsi="宋体" w:eastAsia="仿宋_GB2312"/>
                <w:color w:val="000000"/>
                <w:sz w:val="18"/>
                <w:szCs w:val="18"/>
              </w:rPr>
            </w:pP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105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5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40" w:lineRule="exact"/>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（八）就业领域基层政务公开标准目录</w:t>
      </w:r>
    </w:p>
    <w:tbl>
      <w:tblPr>
        <w:tblStyle w:val="7"/>
        <w:tblW w:w="15309" w:type="dxa"/>
        <w:tblInd w:w="-510" w:type="dxa"/>
        <w:tblLayout w:type="fixed"/>
        <w:tblCellMar>
          <w:top w:w="0" w:type="dxa"/>
          <w:left w:w="57" w:type="dxa"/>
          <w:bottom w:w="0" w:type="dxa"/>
          <w:right w:w="57" w:type="dxa"/>
        </w:tblCellMar>
      </w:tblPr>
      <w:tblGrid>
        <w:gridCol w:w="425"/>
        <w:gridCol w:w="568"/>
        <w:gridCol w:w="708"/>
        <w:gridCol w:w="1985"/>
        <w:gridCol w:w="5245"/>
        <w:gridCol w:w="1134"/>
        <w:gridCol w:w="708"/>
        <w:gridCol w:w="1418"/>
        <w:gridCol w:w="567"/>
        <w:gridCol w:w="567"/>
        <w:gridCol w:w="425"/>
        <w:gridCol w:w="618"/>
        <w:gridCol w:w="425"/>
        <w:gridCol w:w="516"/>
      </w:tblGrid>
      <w:tr>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（要素）</w:t>
            </w:r>
          </w:p>
        </w:tc>
        <w:tc>
          <w:tcPr>
            <w:tcW w:w="52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04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4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tblPrEx>
          <w:tblCellMar>
            <w:top w:w="0" w:type="dxa"/>
            <w:left w:w="57" w:type="dxa"/>
            <w:bottom w:w="0" w:type="dxa"/>
            <w:right w:w="57" w:type="dxa"/>
          </w:tblCellMar>
        </w:tblPrEx>
        <w:trPr>
          <w:trHeight w:val="561" w:hRule="atLeast"/>
          <w:tblHeader/>
        </w:trPr>
        <w:tc>
          <w:tcPr>
            <w:tcW w:w="42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2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全社会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61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乡、村级</w:t>
            </w:r>
          </w:p>
        </w:tc>
      </w:tr>
      <w:tr>
        <w:tblPrEx>
          <w:tblCellMar>
            <w:top w:w="0" w:type="dxa"/>
            <w:left w:w="57" w:type="dxa"/>
            <w:bottom w:w="0" w:type="dxa"/>
            <w:right w:w="57" w:type="dxa"/>
          </w:tblCellMar>
        </w:tblPrEx>
        <w:trPr>
          <w:trHeight w:val="179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1.就业信息服务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1.1就业政策法规咨询</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1.就业创业政策项目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3.政策申请条件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4.政策申请材料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9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1.2岗位信息发布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1.招聘单位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2.岗位要求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3.福利待遇</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4.招聘流程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5.应聘方式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4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1.3求职信息登记</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39"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1.4市场工资指导价位信息发布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1.市场工资指导价位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2.相关说明材料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2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1.5职业培训信息发布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1.培训项目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4.培训课时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5.授课地点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7.报名材料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8.报名地点（方式）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4"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2.职业介绍、职业指导和创业开业指导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2.1职业介绍</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2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2.2职业指导</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3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2.3创业开业指导</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3.公共就业服务专项活动</w:t>
            </w:r>
          </w:p>
        </w:tc>
        <w:tc>
          <w:tcPr>
            <w:tcW w:w="70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3.1公共就业服务专项活动</w:t>
            </w:r>
          </w:p>
        </w:tc>
        <w:tc>
          <w:tcPr>
            <w:tcW w:w="1985"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1.活动通知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3.参与方式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4.相关材料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nil"/>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06"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4.1失业登记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2.申请人权利和义务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82"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4.2就业登记</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4.3《就业创业证》申领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2.证件使用注意事项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8.证件送达方式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5.创业服务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5.1创业补贴申领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6.1就业困难人员认定</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9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6.2就业困难人员社会保险补贴申领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6.3公益性岗位补贴申领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6.4求职创业补贴申领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6.5吸纳贫困劳动力就业奖补申领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3.奖补标准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7.1高等学校等毕业生接收手续办理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7.2就业见习补贴申领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7.3求职创业补贴申领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7.4高校毕业生社保补贴申领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8.基本公共就业创业政府购买服务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8.1政府向社会购买基本公共就业创业服务成果</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2.购买项目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3.购买内容及评价标准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4.购买主体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5.承接主体条件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6.购买方式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8.购买流程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9.受理地点（方式）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10.受理结果告知方式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11.咨询电话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9.农民工创业就业奖补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9.1农民工创业奖补申领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5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9.2农民工创业带动就业奖补申领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40" w:lineRule="exact"/>
        <w:rPr>
          <w:rFonts w:ascii="仿宋_GB2312" w:hAnsi="宋体" w:eastAsia="仿宋_GB2312"/>
          <w:color w:val="000000"/>
          <w:sz w:val="18"/>
          <w:szCs w:val="18"/>
        </w:rPr>
      </w:pPr>
    </w:p>
    <w:tbl>
      <w:tblPr>
        <w:tblStyle w:val="7"/>
        <w:tblW w:w="15305" w:type="dxa"/>
        <w:tblInd w:w="-510" w:type="dxa"/>
        <w:tblLayout w:type="autofit"/>
        <w:tblCellMar>
          <w:top w:w="0" w:type="dxa"/>
          <w:left w:w="57" w:type="dxa"/>
          <w:bottom w:w="0" w:type="dxa"/>
          <w:right w:w="57" w:type="dxa"/>
        </w:tblCellMar>
      </w:tblPr>
      <w:tblGrid>
        <w:gridCol w:w="425"/>
        <w:gridCol w:w="568"/>
        <w:gridCol w:w="708"/>
        <w:gridCol w:w="1560"/>
        <w:gridCol w:w="5244"/>
        <w:gridCol w:w="993"/>
        <w:gridCol w:w="992"/>
        <w:gridCol w:w="1559"/>
        <w:gridCol w:w="567"/>
        <w:gridCol w:w="567"/>
        <w:gridCol w:w="567"/>
        <w:gridCol w:w="567"/>
        <w:gridCol w:w="529"/>
        <w:gridCol w:w="459"/>
      </w:tblGrid>
      <w:tr>
        <w:tblPrEx>
          <w:tblCellMar>
            <w:top w:w="0" w:type="dxa"/>
            <w:left w:w="57" w:type="dxa"/>
            <w:bottom w:w="0" w:type="dxa"/>
            <w:right w:w="57" w:type="dxa"/>
          </w:tblCellMar>
        </w:tblPrEx>
        <w:trPr>
          <w:trHeight w:val="882" w:hRule="atLeast"/>
        </w:trPr>
        <w:tc>
          <w:tcPr>
            <w:tcW w:w="15305" w:type="dxa"/>
            <w:gridSpan w:val="14"/>
            <w:tcBorders>
              <w:top w:val="nil"/>
              <w:left w:val="nil"/>
              <w:bottom w:val="single" w:color="auto" w:sz="4" w:space="0"/>
              <w:right w:val="nil"/>
            </w:tcBorders>
            <w:shd w:val="clear" w:color="auto" w:fill="auto"/>
            <w:vAlign w:val="center"/>
          </w:tcPr>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rPr>
                <w:rFonts w:ascii="方正小标宋简体" w:hAnsi="等线" w:eastAsia="方正小标宋简体" w:cs="宋体"/>
                <w:kern w:val="0"/>
                <w:sz w:val="20"/>
                <w:szCs w:val="20"/>
              </w:rPr>
            </w:pPr>
          </w:p>
          <w:p>
            <w:pPr>
              <w:widowControl/>
              <w:jc w:val="center"/>
              <w:rPr>
                <w:rFonts w:ascii="方正小标宋_GBK" w:hAnsi="等线" w:eastAsia="方正小标宋_GBK" w:cs="宋体"/>
                <w:kern w:val="0"/>
                <w:sz w:val="30"/>
                <w:szCs w:val="30"/>
              </w:rPr>
            </w:pPr>
            <w:r>
              <w:rPr>
                <w:rFonts w:hint="eastAsia" w:ascii="方正小标宋_GBK" w:hAnsi="等线" w:eastAsia="方正小标宋_GBK" w:cs="宋体"/>
                <w:kern w:val="0"/>
                <w:sz w:val="30"/>
                <w:szCs w:val="30"/>
              </w:rPr>
              <w:t>（九）社会保险领域基层政务公开标准目录</w:t>
            </w:r>
          </w:p>
        </w:tc>
      </w:tr>
      <w:tr>
        <w:tblPrEx>
          <w:tblCellMar>
            <w:top w:w="0" w:type="dxa"/>
            <w:left w:w="57" w:type="dxa"/>
            <w:bottom w:w="0" w:type="dxa"/>
            <w:right w:w="57" w:type="dxa"/>
          </w:tblCellMar>
        </w:tblPrEx>
        <w:trPr>
          <w:trHeight w:val="37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公开内容（要素）</w:t>
            </w:r>
          </w:p>
        </w:tc>
        <w:tc>
          <w:tcPr>
            <w:tcW w:w="52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8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tblPrEx>
          <w:tblCellMar>
            <w:top w:w="0" w:type="dxa"/>
            <w:left w:w="57" w:type="dxa"/>
            <w:bottom w:w="0" w:type="dxa"/>
            <w:right w:w="57" w:type="dxa"/>
          </w:tblCellMar>
        </w:tblPrEx>
        <w:trPr>
          <w:trHeight w:val="383"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68"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全 社会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52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乡级</w:t>
            </w:r>
          </w:p>
        </w:tc>
      </w:tr>
      <w:tr>
        <w:tblPrEx>
          <w:tblCellMar>
            <w:top w:w="0" w:type="dxa"/>
            <w:left w:w="57" w:type="dxa"/>
            <w:bottom w:w="0" w:type="dxa"/>
            <w:right w:w="57" w:type="dxa"/>
          </w:tblCellMar>
        </w:tblPrEx>
        <w:trPr>
          <w:trHeight w:val="9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1.1机关事业单位社会保险登记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3.《国务院关于机关事业单位工作人员养老保险制度改革的决定》（国发﹝2015﹞2号）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1.2工程建设项目办理工伤保险参保登记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1.3参保单位注销</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9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1.4职工参保登记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1.5城乡居民养老保险参保登记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2.1单位（项目）基本信息变更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30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2.2个人基本信息变更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2.3养老保险待遇发放账户维护申请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2.4工伤保险待遇发放账户维护申请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2.5失业保险待遇发放账户维护申请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3.1缴费人员增减申报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3.2社会保险缴费申报与变更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45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3.3社会保险费缓缴申请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56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3.4社会保险费欠费补缴申报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56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4.1单位参保证明查询打印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4.2个人权益记录查询打印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5.1职工正常退休(职)申请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5.2城乡居民养老保险待遇申领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1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5.3暂停养老保险待遇申请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5.4恢复养老保险待遇申请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5.5个人账户一次性待遇申领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5.6丧葬补助金、抚恤金申领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5.7居民养老保险注销登记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5.8遗属待遇申领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5.9病残津贴申领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5.10城镇职工基本养老保险关系转移接续申请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5.11机关事业单位养老保险关系转移接续申请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5.12城乡居民基本养老保险关系转移接续申请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5.13机关事业单位基本养老保险与城镇企业职工基本养老保险互转申请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5.14城镇职工基本养老保险与城乡居民基本养老保险制度衔接申请  </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5.15军地养老保险关系转移接续申请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5.16多重养老保险关系个人账户退费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6.1工伤事故备案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6.2用人单位办理工伤登记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6.3变更工伤登记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6.4协议医疗机构的确认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1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6.5协议康复机构的确认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6.6辅助器具配置协议机构的确认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6.7异地居住就医申请确认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6.8异地工伤就医报告</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6.9旧伤复发申请确认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6.10转诊转院申请确认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6.11工伤康复申请确认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6.12工伤康复治疗期延长申请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6.13辅助器具配置或更换申请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6.14辅助器具异地配置申请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0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6.15停工留薪期确认和延长确认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6.16工伤医疗（康复）费用申报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9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6.17住院伙食补助费申领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6.18统筹地区以外交通、食宿费申领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6.19一次性工伤医疗补助金申请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6.20辅助器具配置（更换）费用申报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6.21伤残待遇申领（一次性伤残补助金、伤残津贴和生活护理费）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6.22一次性工亡补助金（含生活困难，预支50%确认）、丧葬补助金申领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5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6.23供养亲属抚恤金申领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6.24工伤保险待遇变更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57</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7.1失业保险金申领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7.2丧葬补助金和抚恤金申领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7.3职业培训补贴申领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7.4职业介绍补贴申领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7.5农民合同制工人一次性生活补助申领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7.6代缴基本医疗保险费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7.7价格临时补贴申领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7.8失业保险关系转移接续</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7.9稳岗返还申领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7.10技能提升补贴申领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8.1企业年金方案备案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8.2企业年金方案重要条款变更备案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69</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8.3企业年金方案终止备案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9.1社会保障卡申领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71</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9.2社会保障卡启用（含社会保障卡银行账户激活）</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72</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9.3社会保障卡应用状态查询</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73</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9.4社会保障卡信息变更（非关键信息）</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74</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9.5社会保障卡密码修改与重置</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9.6社会保障卡挂失与解挂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9.7社会保障卡补换、换领、换发</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2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9.8社会保障卡注销</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（十）农村集体土地征收基层政务公开标准目录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7"/>
        <w:gridCol w:w="568"/>
        <w:gridCol w:w="709"/>
        <w:gridCol w:w="3118"/>
        <w:gridCol w:w="1418"/>
        <w:gridCol w:w="2126"/>
        <w:gridCol w:w="1417"/>
        <w:gridCol w:w="1560"/>
        <w:gridCol w:w="567"/>
        <w:gridCol w:w="1134"/>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27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w:t>
            </w:r>
          </w:p>
          <w:p>
            <w:pPr>
              <w:widowControl/>
              <w:jc w:val="center"/>
              <w:rPr>
                <w:rFonts w:ascii="黑体" w:hAnsi="宋体" w:eastAsia="黑体" w:cs="宋体"/>
                <w:kern w:val="0"/>
                <w:sz w:val="22"/>
              </w:rPr>
            </w:pPr>
            <w:r>
              <w:rPr>
                <w:rFonts w:hint="eastAsia" w:ascii="黑体" w:hAnsi="宋体" w:eastAsia="黑体" w:cs="宋体"/>
                <w:kern w:val="0"/>
                <w:sz w:val="22"/>
              </w:rPr>
              <w:t>载体</w:t>
            </w:r>
          </w:p>
        </w:tc>
        <w:tc>
          <w:tcPr>
            <w:tcW w:w="17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continue"/>
            <w:vAlign w:val="center"/>
          </w:tcPr>
          <w:p>
            <w:pPr>
              <w:widowControl/>
              <w:jc w:val="left"/>
              <w:rPr>
                <w:rFonts w:ascii="Times New Roman" w:hAnsi="Times New Roman"/>
                <w:color w:val="000000"/>
                <w:kern w:val="0"/>
                <w:sz w:val="22"/>
              </w:rPr>
            </w:pPr>
          </w:p>
        </w:tc>
        <w:tc>
          <w:tcPr>
            <w:tcW w:w="56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560"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11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0" w:hRule="atLeas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拟征收土地告知</w:t>
            </w:r>
          </w:p>
        </w:tc>
        <w:tc>
          <w:tcPr>
            <w:tcW w:w="3118" w:type="dxa"/>
            <w:vMerge w:val="restart"/>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418" w:type="dxa"/>
            <w:vMerge w:val="restart"/>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《国务院关于深化改革严格土地管理的决定》（国发〔2004〕28号）</w:t>
            </w: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在实地启动拟征收土地工作时，在村公示栏公开。</w:t>
            </w:r>
          </w:p>
        </w:tc>
        <w:tc>
          <w:tcPr>
            <w:tcW w:w="1417"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pPr>
              <w:widowControl/>
              <w:spacing w:line="240" w:lineRule="exact"/>
              <w:jc w:val="center"/>
              <w:rPr>
                <w:rFonts w:ascii="仿宋_GB2312" w:hAnsi="宋体" w:eastAsia="仿宋_GB2312"/>
                <w:color w:val="000000"/>
                <w:sz w:val="18"/>
                <w:szCs w:val="18"/>
              </w:rPr>
            </w:pPr>
          </w:p>
        </w:tc>
        <w:tc>
          <w:tcPr>
            <w:tcW w:w="113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spacing w:line="240" w:lineRule="exact"/>
              <w:jc w:val="center"/>
              <w:rPr>
                <w:rFonts w:ascii="仿宋_GB2312" w:hAnsi="宋体" w:eastAsia="仿宋_GB2312"/>
                <w:color w:val="000000"/>
                <w:sz w:val="18"/>
                <w:szCs w:val="18"/>
              </w:rPr>
            </w:pPr>
          </w:p>
        </w:tc>
        <w:tc>
          <w:tcPr>
            <w:tcW w:w="426"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widowControl/>
              <w:jc w:val="left"/>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spacing w:line="240" w:lineRule="exact"/>
              <w:jc w:val="center"/>
              <w:rPr>
                <w:rFonts w:ascii="仿宋_GB2312" w:hAnsi="宋体" w:eastAsia="仿宋_GB2312"/>
                <w:color w:val="000000"/>
                <w:sz w:val="18"/>
                <w:szCs w:val="18"/>
              </w:rPr>
            </w:pPr>
          </w:p>
        </w:tc>
        <w:tc>
          <w:tcPr>
            <w:tcW w:w="850" w:type="dxa"/>
            <w:vMerge w:val="continue"/>
            <w:vAlign w:val="center"/>
          </w:tcPr>
          <w:p>
            <w:pPr>
              <w:widowControl/>
              <w:spacing w:line="240" w:lineRule="exact"/>
              <w:jc w:val="center"/>
              <w:rPr>
                <w:rFonts w:ascii="仿宋_GB2312" w:hAnsi="宋体" w:eastAsia="仿宋_GB2312"/>
                <w:color w:val="000000"/>
                <w:sz w:val="18"/>
                <w:szCs w:val="18"/>
              </w:rPr>
            </w:pPr>
          </w:p>
        </w:tc>
        <w:tc>
          <w:tcPr>
            <w:tcW w:w="426" w:type="dxa"/>
            <w:vMerge w:val="continue"/>
            <w:vAlign w:val="center"/>
          </w:tcPr>
          <w:p>
            <w:pPr>
              <w:widowControl/>
              <w:spacing w:line="240" w:lineRule="exact"/>
              <w:jc w:val="center"/>
              <w:rPr>
                <w:rFonts w:ascii="仿宋_GB2312" w:hAnsi="宋体" w:eastAsia="仿宋_GB2312"/>
                <w:color w:val="000000"/>
                <w:sz w:val="18"/>
                <w:szCs w:val="18"/>
              </w:rPr>
            </w:pPr>
          </w:p>
        </w:tc>
        <w:tc>
          <w:tcPr>
            <w:tcW w:w="685" w:type="dxa"/>
            <w:vMerge w:val="continue"/>
            <w:vAlign w:val="center"/>
          </w:tcPr>
          <w:p>
            <w:pPr>
              <w:widowControl/>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8" w:hRule="atLeas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拟征收土地现状调查结果按规定确认后，调查结果予以公开。</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1.征收土地勘测调查表；</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2.地上附着物和青苗调查登记表；</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〔*土地勘测定界图件（涉及国家秘密的项目除外；图件应按有关法律法规规定予以技术处理）〕。</w:t>
            </w:r>
          </w:p>
          <w:p>
            <w:pPr>
              <w:widowControl/>
              <w:rPr>
                <w:rFonts w:ascii="仿宋_GB2312" w:hAnsi="宋体" w:eastAsia="仿宋_GB2312"/>
                <w:color w:val="000000"/>
                <w:sz w:val="18"/>
                <w:szCs w:val="18"/>
              </w:rPr>
            </w:pPr>
          </w:p>
        </w:tc>
        <w:tc>
          <w:tcPr>
            <w:tcW w:w="1418" w:type="dxa"/>
            <w:vMerge w:val="restart"/>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《土地管理法》、《国务院关于深化改革严格土地管理的决定》（国发〔2004〕28号）</w:t>
            </w: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拟征收土地现状调查结束后5个工作日内，在村公示栏公开。</w:t>
            </w:r>
          </w:p>
        </w:tc>
        <w:tc>
          <w:tcPr>
            <w:tcW w:w="1417"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r>
              <w:rPr>
                <w:rFonts w:hint="eastAsia" w:ascii="仿宋_GB2312" w:hAnsi="宋体" w:eastAsia="仿宋_GB2312"/>
                <w:color w:val="000000"/>
                <w:sz w:val="18"/>
                <w:szCs w:val="18"/>
              </w:rPr>
              <w:br w:type="textWrapping"/>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jc w:val="center"/>
              <w:rPr>
                <w:rFonts w:ascii="仿宋_GB2312" w:hAnsi="宋体" w:eastAsia="仿宋_GB2312"/>
                <w:color w:val="000000"/>
                <w:sz w:val="18"/>
                <w:szCs w:val="18"/>
              </w:rPr>
            </w:pPr>
          </w:p>
        </w:tc>
        <w:tc>
          <w:tcPr>
            <w:tcW w:w="426"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spacing w:line="320" w:lineRule="exact"/>
              <w:jc w:val="center"/>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jc w:val="center"/>
              <w:rPr>
                <w:rFonts w:ascii="仿宋_GB2312" w:hAnsi="宋体" w:eastAsia="仿宋_GB2312"/>
                <w:color w:val="000000"/>
                <w:sz w:val="18"/>
                <w:szCs w:val="18"/>
              </w:rPr>
            </w:pPr>
          </w:p>
        </w:tc>
        <w:tc>
          <w:tcPr>
            <w:tcW w:w="850" w:type="dxa"/>
            <w:vMerge w:val="continue"/>
            <w:vAlign w:val="center"/>
          </w:tcPr>
          <w:p>
            <w:pPr>
              <w:widowControl/>
              <w:jc w:val="center"/>
              <w:rPr>
                <w:rFonts w:ascii="仿宋_GB2312" w:hAnsi="宋体" w:eastAsia="仿宋_GB2312"/>
                <w:color w:val="000000"/>
                <w:sz w:val="18"/>
                <w:szCs w:val="18"/>
              </w:rPr>
            </w:pPr>
          </w:p>
        </w:tc>
        <w:tc>
          <w:tcPr>
            <w:tcW w:w="426" w:type="dxa"/>
            <w:vMerge w:val="continue"/>
            <w:vAlign w:val="center"/>
          </w:tcPr>
          <w:p>
            <w:pPr>
              <w:widowControl/>
              <w:jc w:val="center"/>
              <w:rPr>
                <w:rFonts w:ascii="仿宋_GB2312" w:hAnsi="宋体" w:eastAsia="仿宋_GB2312"/>
                <w:color w:val="000000"/>
                <w:sz w:val="18"/>
                <w:szCs w:val="18"/>
              </w:rPr>
            </w:pPr>
          </w:p>
        </w:tc>
        <w:tc>
          <w:tcPr>
            <w:tcW w:w="685" w:type="dxa"/>
            <w:vMerge w:val="continue"/>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拟征地听证</w:t>
            </w:r>
          </w:p>
        </w:tc>
        <w:tc>
          <w:tcPr>
            <w:tcW w:w="311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w:t>
            </w:r>
          </w:p>
          <w:p>
            <w:pPr>
              <w:rPr>
                <w:rFonts w:ascii="仿宋_GB2312" w:hAnsi="宋体" w:eastAsia="仿宋_GB2312"/>
                <w:color w:val="000000"/>
                <w:sz w:val="18"/>
                <w:szCs w:val="18"/>
              </w:rPr>
            </w:pPr>
            <w:r>
              <w:rPr>
                <w:rFonts w:hint="eastAsia" w:ascii="仿宋_GB2312" w:hAnsi="宋体" w:eastAsia="仿宋_GB2312"/>
                <w:color w:val="000000"/>
                <w:sz w:val="18"/>
                <w:szCs w:val="18"/>
              </w:rPr>
              <w:t>〔*听证笔录有关资料〕。</w:t>
            </w:r>
          </w:p>
        </w:tc>
        <w:tc>
          <w:tcPr>
            <w:tcW w:w="1418" w:type="dxa"/>
            <w:vMerge w:val="restart"/>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①《听证通知书》应在组织听证7个工作日前予以公开；②其他听证公开内容在拟征地听证工作结束后5个工作日内在村公示栏公开。</w:t>
            </w:r>
          </w:p>
        </w:tc>
        <w:tc>
          <w:tcPr>
            <w:tcW w:w="1417"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jc w:val="center"/>
              <w:rPr>
                <w:rFonts w:ascii="仿宋_GB2312" w:hAnsi="宋体" w:eastAsia="仿宋_GB2312"/>
                <w:color w:val="000000"/>
                <w:sz w:val="18"/>
                <w:szCs w:val="18"/>
              </w:rPr>
            </w:pPr>
          </w:p>
        </w:tc>
        <w:tc>
          <w:tcPr>
            <w:tcW w:w="426"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widowControl/>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spacing w:line="320" w:lineRule="exact"/>
              <w:jc w:val="center"/>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jc w:val="center"/>
              <w:rPr>
                <w:rFonts w:ascii="仿宋_GB2312" w:hAnsi="宋体" w:eastAsia="仿宋_GB2312"/>
                <w:color w:val="000000"/>
                <w:sz w:val="18"/>
                <w:szCs w:val="18"/>
              </w:rPr>
            </w:pPr>
          </w:p>
        </w:tc>
        <w:tc>
          <w:tcPr>
            <w:tcW w:w="850" w:type="dxa"/>
            <w:vMerge w:val="continue"/>
            <w:vAlign w:val="center"/>
          </w:tcPr>
          <w:p>
            <w:pPr>
              <w:widowControl/>
              <w:jc w:val="center"/>
              <w:rPr>
                <w:rFonts w:ascii="仿宋_GB2312" w:hAnsi="宋体" w:eastAsia="仿宋_GB2312"/>
                <w:color w:val="000000"/>
                <w:sz w:val="18"/>
                <w:szCs w:val="18"/>
              </w:rPr>
            </w:pPr>
          </w:p>
        </w:tc>
        <w:tc>
          <w:tcPr>
            <w:tcW w:w="426" w:type="dxa"/>
            <w:vMerge w:val="continue"/>
            <w:vAlign w:val="center"/>
          </w:tcPr>
          <w:p>
            <w:pPr>
              <w:widowControl/>
              <w:jc w:val="center"/>
              <w:rPr>
                <w:rFonts w:ascii="仿宋_GB2312" w:hAnsi="宋体" w:eastAsia="仿宋_GB2312"/>
                <w:color w:val="000000"/>
                <w:sz w:val="18"/>
                <w:szCs w:val="18"/>
              </w:rPr>
            </w:pPr>
          </w:p>
        </w:tc>
        <w:tc>
          <w:tcPr>
            <w:tcW w:w="685" w:type="dxa"/>
            <w:vMerge w:val="continue"/>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77"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pPr>
              <w:widowControl/>
              <w:spacing w:line="300" w:lineRule="exact"/>
              <w:jc w:val="center"/>
              <w:rPr>
                <w:rFonts w:ascii="仿宋_GB2312" w:hAnsi="宋体" w:eastAsia="仿宋_GB2312"/>
                <w:color w:val="000000"/>
                <w:sz w:val="18"/>
                <w:szCs w:val="18"/>
              </w:rPr>
            </w:pPr>
          </w:p>
        </w:tc>
        <w:tc>
          <w:tcPr>
            <w:tcW w:w="709"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征地批准文件</w:t>
            </w:r>
          </w:p>
        </w:tc>
        <w:tc>
          <w:tcPr>
            <w:tcW w:w="3118"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1.国务院批准用地批复文件（指用地由国务院批准）；</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2.省级人民政府批准用地批复文件（指用地由省级人民政府批准）；</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3.国务院批准城市用地后省级人民政府审核同意实施方案文件；</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4.地方人民政府转发用地批复文件；</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5.其他用地批准文件。</w:t>
            </w:r>
          </w:p>
        </w:tc>
        <w:tc>
          <w:tcPr>
            <w:tcW w:w="1418" w:type="dxa"/>
            <w:vAlign w:val="center"/>
          </w:tcPr>
          <w:p>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p>
            <w:pPr>
              <w:widowControl/>
              <w:spacing w:line="260" w:lineRule="exact"/>
              <w:jc w:val="left"/>
              <w:rPr>
                <w:rFonts w:ascii="仿宋_GB2312" w:hAnsi="宋体" w:eastAsia="仿宋_GB2312"/>
                <w:color w:val="000000"/>
                <w:sz w:val="18"/>
                <w:szCs w:val="18"/>
              </w:rPr>
            </w:pPr>
          </w:p>
        </w:tc>
        <w:tc>
          <w:tcPr>
            <w:tcW w:w="2126" w:type="dxa"/>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widowControl/>
              <w:spacing w:line="300" w:lineRule="exact"/>
              <w:jc w:val="center"/>
              <w:rPr>
                <w:rFonts w:ascii="仿宋_GB2312" w:hAnsi="宋体" w:eastAsia="仿宋_GB2312"/>
                <w:color w:val="000000"/>
                <w:sz w:val="18"/>
                <w:szCs w:val="18"/>
              </w:rPr>
            </w:pPr>
          </w:p>
        </w:tc>
        <w:tc>
          <w:tcPr>
            <w:tcW w:w="42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spacing w:line="300" w:lineRule="exact"/>
              <w:jc w:val="center"/>
              <w:rPr>
                <w:rFonts w:ascii="仿宋_GB2312" w:hAnsi="宋体" w:eastAsia="仿宋_GB2312"/>
                <w:color w:val="000000"/>
                <w:sz w:val="18"/>
                <w:szCs w:val="18"/>
              </w:rPr>
            </w:pPr>
          </w:p>
        </w:tc>
        <w:tc>
          <w:tcPr>
            <w:tcW w:w="426"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征收土地公告</w:t>
            </w:r>
          </w:p>
        </w:tc>
        <w:tc>
          <w:tcPr>
            <w:tcW w:w="3118"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根据用地批复文件，县（市、区）人民政府拟定征收土地公告并予以公开。</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1.征地批准机关、批准文号、批准时间和批准用途；</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2.被征收土地的所有权人、位置、地类、面积；</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3.征地补偿标准、农业人口安置方式、社会保障途径等；</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4.办理征地补偿登记的期限、地点和要求；</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5.救济途径。</w:t>
            </w:r>
          </w:p>
        </w:tc>
        <w:tc>
          <w:tcPr>
            <w:tcW w:w="1418"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《土地管理法》、《征收土地公告办法》（国土资源部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10号</w:t>
            </w:r>
            <w:r>
              <w:rPr>
                <w:rFonts w:hint="eastAsia" w:ascii="仿宋_GB2312" w:hAnsi="宋体" w:eastAsia="仿宋_GB2312"/>
                <w:color w:val="000000"/>
                <w:sz w:val="18"/>
                <w:szCs w:val="18"/>
              </w:rPr>
              <w:t>）</w:t>
            </w:r>
          </w:p>
        </w:tc>
        <w:tc>
          <w:tcPr>
            <w:tcW w:w="2126"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widowControl/>
              <w:spacing w:line="300" w:lineRule="exact"/>
              <w:jc w:val="center"/>
              <w:rPr>
                <w:rFonts w:ascii="仿宋_GB2312" w:hAnsi="宋体" w:eastAsia="仿宋_GB2312"/>
                <w:color w:val="000000"/>
                <w:sz w:val="18"/>
                <w:szCs w:val="18"/>
              </w:rPr>
            </w:pPr>
          </w:p>
        </w:tc>
        <w:tc>
          <w:tcPr>
            <w:tcW w:w="42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spacing w:line="300" w:lineRule="exact"/>
              <w:jc w:val="center"/>
              <w:rPr>
                <w:rFonts w:ascii="仿宋_GB2312" w:hAnsi="宋体" w:eastAsia="仿宋_GB2312"/>
                <w:color w:val="000000"/>
                <w:sz w:val="18"/>
                <w:szCs w:val="18"/>
              </w:rPr>
            </w:pPr>
          </w:p>
        </w:tc>
        <w:tc>
          <w:tcPr>
            <w:tcW w:w="426"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征地补偿登记</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征地补偿登记汇总表。</w:t>
            </w:r>
          </w:p>
          <w:p>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〔*征地补偿登记前置与征收土地现状调查合并进行的，在前置环节一并公开〕。</w:t>
            </w:r>
          </w:p>
        </w:tc>
        <w:tc>
          <w:tcPr>
            <w:tcW w:w="1418" w:type="dxa"/>
            <w:vAlign w:val="center"/>
          </w:tcPr>
          <w:p>
            <w:pPr>
              <w:widowControl/>
              <w:spacing w:line="32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tc>
        <w:tc>
          <w:tcPr>
            <w:tcW w:w="2126"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征地补偿登记结束后5个工作日内公开。公示结束后，转为依申请公开。</w:t>
            </w:r>
          </w:p>
        </w:tc>
        <w:tc>
          <w:tcPr>
            <w:tcW w:w="1417"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征地补偿安置方案公告</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征收土地公告期满后，县（市、区）自然资源主管部门和负责农村集体土地征收的有关部门拟定《征地补偿安置方案》并予以公开。</w:t>
            </w:r>
          </w:p>
          <w:p>
            <w:pPr>
              <w:rPr>
                <w:rFonts w:ascii="仿宋_GB2312" w:hAnsi="宋体" w:eastAsia="仿宋_GB2312"/>
                <w:color w:val="000000"/>
                <w:sz w:val="18"/>
                <w:szCs w:val="18"/>
              </w:rPr>
            </w:pPr>
            <w:r>
              <w:rPr>
                <w:rFonts w:hint="eastAsia" w:ascii="仿宋_GB2312" w:hAnsi="宋体" w:eastAsia="仿宋_GB2312"/>
                <w:color w:val="000000"/>
                <w:sz w:val="18"/>
                <w:szCs w:val="18"/>
              </w:rPr>
              <w:t>1.被征收土地的位置、地类、面积，地上附着物和青苗的种类、数量，需要安置的农业人口和数量；</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2.土地补偿费和安置补助费的标准、数额、支付对象和支付方式；</w:t>
            </w:r>
          </w:p>
          <w:p>
            <w:pPr>
              <w:rPr>
                <w:rFonts w:ascii="仿宋_GB2312" w:hAnsi="宋体" w:eastAsia="仿宋_GB2312"/>
                <w:color w:val="000000"/>
                <w:sz w:val="18"/>
                <w:szCs w:val="18"/>
              </w:rPr>
            </w:pPr>
            <w:r>
              <w:rPr>
                <w:rFonts w:hint="eastAsia" w:ascii="仿宋_GB2312" w:hAnsi="宋体" w:eastAsia="仿宋_GB2312"/>
                <w:color w:val="000000"/>
                <w:sz w:val="18"/>
                <w:szCs w:val="18"/>
              </w:rPr>
              <w:t>3.地上附着物和青苗的补偿标准与支付方式；</w:t>
            </w:r>
          </w:p>
          <w:p>
            <w:pPr>
              <w:rPr>
                <w:rFonts w:ascii="仿宋_GB2312" w:hAnsi="宋体" w:eastAsia="仿宋_GB2312"/>
                <w:color w:val="000000"/>
                <w:sz w:val="18"/>
                <w:szCs w:val="18"/>
              </w:rPr>
            </w:pPr>
            <w:r>
              <w:rPr>
                <w:rFonts w:hint="eastAsia" w:ascii="仿宋_GB2312" w:hAnsi="宋体" w:eastAsia="仿宋_GB2312"/>
                <w:color w:val="000000"/>
                <w:sz w:val="18"/>
                <w:szCs w:val="18"/>
              </w:rPr>
              <w:t>4.社会保障费用的筹集方法、缴费比例和办法；</w:t>
            </w:r>
          </w:p>
          <w:p>
            <w:pPr>
              <w:rPr>
                <w:rFonts w:ascii="仿宋_GB2312" w:hAnsi="宋体" w:eastAsia="仿宋_GB2312"/>
                <w:color w:val="000000"/>
                <w:sz w:val="18"/>
                <w:szCs w:val="18"/>
              </w:rPr>
            </w:pPr>
            <w:r>
              <w:rPr>
                <w:rFonts w:hint="eastAsia" w:ascii="仿宋_GB2312" w:hAnsi="宋体" w:eastAsia="仿宋_GB2312"/>
                <w:color w:val="000000"/>
                <w:sz w:val="18"/>
                <w:szCs w:val="18"/>
              </w:rPr>
              <w:t>5.农业人员安置具体途径；</w:t>
            </w:r>
          </w:p>
          <w:p>
            <w:pPr>
              <w:rPr>
                <w:rFonts w:ascii="仿宋_GB2312" w:hAnsi="宋体" w:eastAsia="仿宋_GB2312"/>
                <w:color w:val="000000"/>
                <w:sz w:val="18"/>
                <w:szCs w:val="18"/>
              </w:rPr>
            </w:pPr>
            <w:r>
              <w:rPr>
                <w:rFonts w:hint="eastAsia" w:ascii="仿宋_GB2312" w:hAnsi="宋体" w:eastAsia="仿宋_GB2312"/>
                <w:color w:val="000000"/>
                <w:sz w:val="18"/>
                <w:szCs w:val="18"/>
              </w:rPr>
              <w:t>6.其他有关征地补偿、安置的具体措施；</w:t>
            </w:r>
          </w:p>
          <w:p>
            <w:pPr>
              <w:rPr>
                <w:rFonts w:ascii="仿宋_GB2312" w:hAnsi="宋体" w:eastAsia="仿宋_GB2312"/>
                <w:color w:val="000000"/>
                <w:sz w:val="18"/>
                <w:szCs w:val="18"/>
              </w:rPr>
            </w:pPr>
            <w:r>
              <w:rPr>
                <w:rFonts w:hint="eastAsia" w:ascii="仿宋_GB2312" w:hAnsi="宋体" w:eastAsia="仿宋_GB2312"/>
                <w:color w:val="000000"/>
                <w:sz w:val="18"/>
                <w:szCs w:val="18"/>
              </w:rPr>
              <w:t>7.听证等救济途径；</w:t>
            </w:r>
          </w:p>
          <w:p>
            <w:pP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〔*征地补偿安置方案前置的，在前置环节一并公开〕。</w:t>
            </w:r>
          </w:p>
        </w:tc>
        <w:tc>
          <w:tcPr>
            <w:tcW w:w="1418" w:type="dxa"/>
            <w:vAlign w:val="center"/>
          </w:tcPr>
          <w:p>
            <w:pPr>
              <w:widowControl/>
              <w:spacing w:line="320" w:lineRule="exact"/>
              <w:rPr>
                <w:rFonts w:ascii="仿宋_GB2312" w:hAnsi="宋体" w:eastAsia="仿宋_GB2312"/>
                <w:color w:val="000000"/>
                <w:sz w:val="18"/>
                <w:szCs w:val="18"/>
              </w:rPr>
            </w:pPr>
            <w:r>
              <w:rPr>
                <w:rFonts w:ascii="仿宋_GB2312" w:hAnsi="宋体" w:eastAsia="仿宋_GB2312"/>
                <w:color w:val="000000"/>
                <w:sz w:val="18"/>
                <w:szCs w:val="18"/>
              </w:rPr>
              <w:t>《国土资源部办公厅关于进一步做好市县征地信息公开工作有关问题的通知》（国土资厅发〔2014〕29号）、《征收土地公告办法》（国土资源部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10号）。</w:t>
            </w:r>
          </w:p>
        </w:tc>
        <w:tc>
          <w:tcPr>
            <w:tcW w:w="2126" w:type="dxa"/>
            <w:vAlign w:val="center"/>
          </w:tcPr>
          <w:p>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拟定《征地补偿安置方案》后5个工作日内公开。</w:t>
            </w:r>
          </w:p>
          <w:p>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公示结束后，转为依申请公开。</w:t>
            </w:r>
          </w:p>
          <w:p>
            <w:pPr>
              <w:widowControl/>
              <w:spacing w:line="320" w:lineRule="exact"/>
              <w:rPr>
                <w:rFonts w:ascii="仿宋_GB2312" w:hAnsi="宋体" w:eastAsia="仿宋_GB2312"/>
                <w:color w:val="000000"/>
                <w:sz w:val="18"/>
                <w:szCs w:val="18"/>
              </w:rPr>
            </w:pPr>
          </w:p>
        </w:tc>
        <w:tc>
          <w:tcPr>
            <w:tcW w:w="1417"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征地补偿安置方案听证</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2.听证处理意见；〔*听证笔录有关资料〕。</w:t>
            </w:r>
          </w:p>
        </w:tc>
        <w:tc>
          <w:tcPr>
            <w:tcW w:w="1418"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①《听证通知书》应在组织听证7个工作日前予以公开；②其他听证公开内容在征地听证结束后5个工作日内公开。公示结束后，转为依申请公开。</w:t>
            </w:r>
          </w:p>
        </w:tc>
        <w:tc>
          <w:tcPr>
            <w:tcW w:w="1417"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w:t>
            </w:r>
          </w:p>
        </w:tc>
        <w:tc>
          <w:tcPr>
            <w:tcW w:w="3118"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征地补偿费用支付凭证。</w:t>
            </w:r>
          </w:p>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〔在被征地村公告栏张贴，予以公开，张贴之日起20个工作日后可依申请公开〕。</w:t>
            </w:r>
          </w:p>
        </w:tc>
        <w:tc>
          <w:tcPr>
            <w:tcW w:w="1418"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、《征收土地公告办法》（国土资源部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10号）</w:t>
            </w:r>
          </w:p>
          <w:p>
            <w:pPr>
              <w:widowControl/>
              <w:spacing w:line="320" w:lineRule="exact"/>
              <w:rPr>
                <w:rFonts w:ascii="仿宋_GB2312" w:hAnsi="宋体" w:eastAsia="仿宋_GB2312"/>
                <w:color w:val="000000"/>
                <w:sz w:val="18"/>
                <w:szCs w:val="18"/>
              </w:rPr>
            </w:pPr>
          </w:p>
        </w:tc>
        <w:tc>
          <w:tcPr>
            <w:tcW w:w="2126"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获得支付凭证后5个工作日内予以公开。公示结束后，转为依申请公开。</w:t>
            </w:r>
          </w:p>
        </w:tc>
        <w:tc>
          <w:tcPr>
            <w:tcW w:w="1417"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left"/>
        <w:rPr>
          <w:rFonts w:ascii="仿宋_GB2312" w:hAnsi="宋体" w:eastAsia="仿宋_GB2312"/>
          <w:color w:val="000000"/>
          <w:sz w:val="18"/>
          <w:szCs w:val="18"/>
        </w:rPr>
      </w:pPr>
      <w:r>
        <w:rPr>
          <w:rFonts w:hint="eastAsia" w:ascii="仿宋_GB2312" w:hAnsi="宋体" w:eastAsia="仿宋_GB2312"/>
          <w:color w:val="000000"/>
          <w:sz w:val="18"/>
          <w:szCs w:val="18"/>
        </w:rPr>
        <w:t>注：1.公开内容中标注为“*”标记的，为可选项，由各地根据实际情况确定。</w:t>
      </w:r>
    </w:p>
    <w:p>
      <w:pPr>
        <w:ind w:firstLine="360" w:firstLineChars="200"/>
        <w:jc w:val="left"/>
        <w:rPr>
          <w:rFonts w:ascii="仿宋_GB2312" w:hAnsi="宋体" w:eastAsia="仿宋_GB2312"/>
          <w:color w:val="000000"/>
          <w:sz w:val="18"/>
          <w:szCs w:val="18"/>
        </w:rPr>
      </w:pPr>
      <w:r>
        <w:rPr>
          <w:rFonts w:hint="eastAsia" w:ascii="仿宋_GB2312" w:hAnsi="宋体" w:eastAsia="仿宋_GB2312"/>
          <w:color w:val="000000"/>
          <w:sz w:val="18"/>
          <w:szCs w:val="18"/>
        </w:rPr>
        <w:t>2.公开渠道中标注为“■”标记的，为征地实施中的公开渠道；标注为“▲”标记的，为征地批准后的公开渠道。</w:t>
      </w:r>
    </w:p>
    <w:p>
      <w:pPr>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（十一）保障性住房领域基层政务公开标准目录</w:t>
      </w:r>
    </w:p>
    <w:tbl>
      <w:tblPr>
        <w:tblStyle w:val="7"/>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10"/>
        <w:gridCol w:w="1089"/>
        <w:gridCol w:w="3118"/>
        <w:gridCol w:w="3731"/>
        <w:gridCol w:w="992"/>
        <w:gridCol w:w="664"/>
        <w:gridCol w:w="1321"/>
        <w:gridCol w:w="567"/>
        <w:gridCol w:w="567"/>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2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9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7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9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6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425" w:type="dxa"/>
            <w:vMerge w:val="continue"/>
            <w:vAlign w:val="center"/>
          </w:tcPr>
          <w:p>
            <w:pPr>
              <w:widowControl/>
              <w:jc w:val="left"/>
              <w:rPr>
                <w:rFonts w:ascii="Times New Roman" w:hAnsi="Times New Roman"/>
                <w:color w:val="000000"/>
                <w:kern w:val="0"/>
                <w:sz w:val="22"/>
              </w:rPr>
            </w:pP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pPr>
              <w:widowControl/>
              <w:jc w:val="left"/>
              <w:rPr>
                <w:rFonts w:ascii="黑体" w:hAnsi="宋体" w:eastAsia="黑体" w:cs="宋体"/>
                <w:color w:val="000000"/>
                <w:kern w:val="0"/>
                <w:sz w:val="22"/>
              </w:rPr>
            </w:pPr>
          </w:p>
        </w:tc>
        <w:tc>
          <w:tcPr>
            <w:tcW w:w="3731" w:type="dxa"/>
            <w:vMerge w:val="continue"/>
            <w:vAlign w:val="center"/>
          </w:tcPr>
          <w:p>
            <w:pPr>
              <w:widowControl/>
              <w:jc w:val="left"/>
              <w:rPr>
                <w:rFonts w:ascii="黑体" w:hAnsi="宋体" w:eastAsia="黑体" w:cs="宋体"/>
                <w:color w:val="000000"/>
                <w:kern w:val="0"/>
                <w:sz w:val="22"/>
              </w:rPr>
            </w:pPr>
          </w:p>
        </w:tc>
        <w:tc>
          <w:tcPr>
            <w:tcW w:w="992" w:type="dxa"/>
            <w:vMerge w:val="continue"/>
            <w:vAlign w:val="center"/>
          </w:tcPr>
          <w:p>
            <w:pPr>
              <w:widowControl/>
              <w:jc w:val="left"/>
              <w:rPr>
                <w:rFonts w:ascii="黑体" w:hAnsi="宋体" w:eastAsia="黑体" w:cs="宋体"/>
                <w:color w:val="000000"/>
                <w:kern w:val="0"/>
                <w:sz w:val="22"/>
              </w:rPr>
            </w:pPr>
          </w:p>
        </w:tc>
        <w:tc>
          <w:tcPr>
            <w:tcW w:w="664" w:type="dxa"/>
            <w:vMerge w:val="continue"/>
            <w:vAlign w:val="center"/>
          </w:tcPr>
          <w:p>
            <w:pPr>
              <w:widowControl/>
              <w:jc w:val="left"/>
              <w:rPr>
                <w:rFonts w:ascii="黑体" w:hAnsi="宋体" w:eastAsia="黑体" w:cs="宋体"/>
                <w:color w:val="000000"/>
                <w:kern w:val="0"/>
                <w:sz w:val="22"/>
              </w:rPr>
            </w:pPr>
          </w:p>
        </w:tc>
        <w:tc>
          <w:tcPr>
            <w:tcW w:w="1321"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29"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《已购公有住房和经济适用住房上市出售管理暂行办法》（建设部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69号）、《廉租住房保障办法》（建设部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162号）、《经济适用住房管理办法》（建住房〔2007〕258号）、《公共租赁住房管理办法》（住建部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jc w:val="lef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r>
              <w:rPr>
                <w:rFonts w:hint="eastAsia" w:ascii="仿宋_GB2312" w:eastAsia="仿宋_GB2312"/>
                <w:sz w:val="18"/>
                <w:szCs w:val="18"/>
              </w:rPr>
              <w:t>■</w:t>
            </w:r>
            <w:r>
              <w:rPr>
                <w:rFonts w:hint="eastAsia" w:ascii="仿宋_GB2312" w:hAnsi="宋体" w:eastAsia="仿宋_GB2312"/>
                <w:color w:val="000000"/>
                <w:sz w:val="18"/>
                <w:szCs w:val="18"/>
              </w:rPr>
              <w:t>公开查阅点</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、《中共中央办公厅国务院办公厅印发〈关于全面推进政务公开工作的意见〉的通知》、《国务院办公厅印发〈关于全面推进政务公开工作的意见〉实施细则的通知》（国办发〔2016〕80号）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7"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9"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 xml:space="preserve">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731"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隐藏部分号码</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；配租房源；套型；面积；是否审核通过；未通过原因等。</w:t>
            </w:r>
          </w:p>
        </w:tc>
        <w:tc>
          <w:tcPr>
            <w:tcW w:w="3731"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731" w:type="dxa"/>
            <w:vMerge w:val="restart"/>
            <w:vAlign w:val="center"/>
          </w:tcPr>
          <w:p>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731"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731" w:type="dxa"/>
            <w:vMerge w:val="restart"/>
            <w:vAlign w:val="center"/>
          </w:tcPr>
          <w:p>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《关于全面推进政务公开工作的意见》（中办发〔2016〕8号）、</w:t>
            </w:r>
            <w:r>
              <w:rPr>
                <w:rFonts w:hint="eastAsia" w:ascii="Times New Roman" w:hAnsi="Times New Roman" w:eastAsia="仿宋_GB2312"/>
                <w:color w:val="000000"/>
                <w:sz w:val="18"/>
                <w:szCs w:val="18"/>
              </w:rPr>
              <w:t xml:space="preserve"> </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10" w:type="dxa"/>
            <w:vMerge w:val="continue"/>
            <w:vAlign w:val="center"/>
          </w:tcPr>
          <w:p>
            <w:pPr>
              <w:spacing w:line="240" w:lineRule="exact"/>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bl>
    <w:p>
      <w:pPr>
        <w:spacing w:line="240" w:lineRule="exact"/>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（十二）农村危房改造领域基层政务公开标准目录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410"/>
        <w:gridCol w:w="2693"/>
        <w:gridCol w:w="1418"/>
        <w:gridCol w:w="760"/>
        <w:gridCol w:w="1984"/>
        <w:gridCol w:w="709"/>
        <w:gridCol w:w="709"/>
        <w:gridCol w:w="425"/>
        <w:gridCol w:w="709"/>
        <w:gridCol w:w="43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9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jc w:val="left"/>
              <w:rPr>
                <w:rFonts w:ascii="Times New Roman" w:hAnsi="Times New Roman"/>
                <w:color w:val="000000"/>
                <w:kern w:val="0"/>
                <w:sz w:val="22"/>
              </w:rPr>
            </w:pPr>
          </w:p>
        </w:tc>
        <w:tc>
          <w:tcPr>
            <w:tcW w:w="69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pPr>
              <w:widowControl/>
              <w:jc w:val="left"/>
              <w:rPr>
                <w:rFonts w:ascii="黑体" w:hAnsi="宋体" w:eastAsia="黑体" w:cs="宋体"/>
                <w:color w:val="000000"/>
                <w:kern w:val="0"/>
                <w:sz w:val="22"/>
              </w:rPr>
            </w:pPr>
          </w:p>
        </w:tc>
        <w:tc>
          <w:tcPr>
            <w:tcW w:w="2693"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760" w:type="dxa"/>
            <w:vMerge w:val="continue"/>
            <w:vAlign w:val="center"/>
          </w:tcPr>
          <w:p>
            <w:pPr>
              <w:widowControl/>
              <w:jc w:val="left"/>
              <w:rPr>
                <w:rFonts w:ascii="黑体" w:hAnsi="宋体" w:eastAsia="黑体" w:cs="宋体"/>
                <w:color w:val="000000"/>
                <w:kern w:val="0"/>
                <w:sz w:val="22"/>
              </w:rPr>
            </w:pPr>
          </w:p>
        </w:tc>
        <w:tc>
          <w:tcPr>
            <w:tcW w:w="1984" w:type="dxa"/>
            <w:vMerge w:val="continue"/>
            <w:vAlign w:val="center"/>
          </w:tcPr>
          <w:p>
            <w:pPr>
              <w:widowControl/>
              <w:jc w:val="left"/>
              <w:rPr>
                <w:rFonts w:ascii="黑体" w:hAnsi="宋体" w:eastAsia="黑体" w:cs="宋体"/>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41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2693" w:type="dxa"/>
            <w:vAlign w:val="center"/>
          </w:tcPr>
          <w:p>
            <w:pPr>
              <w:widowControl/>
              <w:rPr>
                <w:rFonts w:ascii="Times New Roman" w:hAnsi="Times New Roman" w:eastAsia="黑体"/>
                <w:color w:val="000000"/>
                <w:kern w:val="0"/>
                <w:sz w:val="22"/>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76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widowControl/>
              <w:rPr>
                <w:rFonts w:ascii="黑体" w:hAnsi="宋体" w:eastAsia="黑体" w:cs="宋体"/>
                <w:kern w:val="0"/>
                <w:sz w:val="22"/>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241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2693" w:type="dxa"/>
            <w:vMerge w:val="restart"/>
            <w:vAlign w:val="center"/>
          </w:tcPr>
          <w:p>
            <w:pPr>
              <w:widowControl/>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42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43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410" w:type="dxa"/>
            <w:vMerge w:val="continue"/>
            <w:vAlign w:val="center"/>
          </w:tcPr>
          <w:p>
            <w:pPr>
              <w:widowControl/>
              <w:rPr>
                <w:rFonts w:ascii="仿宋_GB2312" w:hAnsi="宋体" w:eastAsia="仿宋_GB2312"/>
                <w:color w:val="000000"/>
                <w:sz w:val="18"/>
                <w:szCs w:val="18"/>
              </w:rPr>
            </w:pPr>
          </w:p>
        </w:tc>
        <w:tc>
          <w:tcPr>
            <w:tcW w:w="2693" w:type="dxa"/>
            <w:vMerge w:val="continue"/>
            <w:vAlign w:val="center"/>
          </w:tcPr>
          <w:p>
            <w:pPr>
              <w:widowControl/>
              <w:rPr>
                <w:rFonts w:ascii="Times New Roman" w:hAnsi="Times New Roman"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760" w:type="dxa"/>
            <w:vMerge w:val="continue"/>
            <w:vAlign w:val="center"/>
          </w:tcPr>
          <w:p>
            <w:pPr>
              <w:widowControl/>
              <w:rPr>
                <w:rFonts w:ascii="仿宋_GB2312" w:hAnsi="宋体" w:eastAsia="仿宋_GB2312"/>
                <w:color w:val="000000"/>
                <w:sz w:val="18"/>
                <w:szCs w:val="18"/>
              </w:rPr>
            </w:pPr>
          </w:p>
        </w:tc>
        <w:tc>
          <w:tcPr>
            <w:tcW w:w="1984" w:type="dxa"/>
            <w:vMerge w:val="continue"/>
            <w:vAlign w:val="center"/>
          </w:tcPr>
          <w:p>
            <w:pPr>
              <w:widowControl/>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425"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43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93" w:type="dxa"/>
            <w:vMerge w:val="restart"/>
            <w:vAlign w:val="center"/>
          </w:tcPr>
          <w:p>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《住房城乡建设部 财政部 国务院扶贫办关于加强和完善建档立卡贫困户等重点对象农村危房改造若干问题的通知》（建村〔2017〕192号）等</w:t>
            </w:r>
          </w:p>
        </w:tc>
        <w:tc>
          <w:tcPr>
            <w:tcW w:w="14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2693" w:type="dxa"/>
            <w:vMerge w:val="continue"/>
            <w:vAlign w:val="center"/>
          </w:tcPr>
          <w:p>
            <w:pPr>
              <w:widowControl/>
              <w:rPr>
                <w:rFonts w:ascii="Times New Roman" w:hAnsi="Times New Roman"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9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《预算法》、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伟江乡人民政府、村委会</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2693" w:type="dxa"/>
            <w:vMerge w:val="restart"/>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2693" w:type="dxa"/>
            <w:vMerge w:val="continue"/>
            <w:vAlign w:val="center"/>
          </w:tcPr>
          <w:p>
            <w:pPr>
              <w:rPr>
                <w:rFonts w:ascii="Times New Roman" w:hAnsi="Times New Roman"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2693" w:type="dxa"/>
            <w:vMerge w:val="restart"/>
            <w:vAlign w:val="center"/>
          </w:tcPr>
          <w:p>
            <w:pPr>
              <w:spacing w:line="40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2693" w:type="dxa"/>
            <w:vMerge w:val="continue"/>
            <w:vAlign w:val="center"/>
          </w:tcPr>
          <w:p>
            <w:pPr>
              <w:rPr>
                <w:rFonts w:ascii="仿宋_GB2312" w:hAnsi="宋体"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（十三）市政服务领域基层政务公开标准目录</w:t>
      </w:r>
    </w:p>
    <w:tbl>
      <w:tblPr>
        <w:tblStyle w:val="7"/>
        <w:tblW w:w="1574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852"/>
        <w:gridCol w:w="2126"/>
        <w:gridCol w:w="2268"/>
        <w:gridCol w:w="3260"/>
        <w:gridCol w:w="1276"/>
        <w:gridCol w:w="701"/>
        <w:gridCol w:w="1410"/>
        <w:gridCol w:w="567"/>
        <w:gridCol w:w="567"/>
        <w:gridCol w:w="425"/>
        <w:gridCol w:w="850"/>
        <w:gridCol w:w="426"/>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978"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26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70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6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0" w:hRule="atLeast"/>
          <w:tblHeader/>
        </w:trPr>
        <w:tc>
          <w:tcPr>
            <w:tcW w:w="385" w:type="dxa"/>
            <w:vMerge w:val="continue"/>
            <w:vAlign w:val="center"/>
          </w:tcPr>
          <w:p>
            <w:pPr>
              <w:widowControl/>
              <w:jc w:val="center"/>
              <w:rPr>
                <w:rFonts w:ascii="Times New Roman" w:hAnsi="Times New Roman"/>
                <w:kern w:val="0"/>
                <w:sz w:val="22"/>
              </w:rPr>
            </w:pPr>
          </w:p>
        </w:tc>
        <w:tc>
          <w:tcPr>
            <w:tcW w:w="852"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12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268" w:type="dxa"/>
            <w:vMerge w:val="continue"/>
            <w:vAlign w:val="center"/>
          </w:tcPr>
          <w:p>
            <w:pPr>
              <w:widowControl/>
              <w:jc w:val="left"/>
              <w:rPr>
                <w:rFonts w:ascii="黑体" w:hAnsi="宋体" w:eastAsia="黑体" w:cs="宋体"/>
                <w:kern w:val="0"/>
                <w:sz w:val="22"/>
              </w:rPr>
            </w:pPr>
          </w:p>
        </w:tc>
        <w:tc>
          <w:tcPr>
            <w:tcW w:w="3260" w:type="dxa"/>
            <w:vMerge w:val="continue"/>
            <w:vAlign w:val="center"/>
          </w:tcPr>
          <w:p>
            <w:pPr>
              <w:widowControl/>
              <w:jc w:val="left"/>
              <w:rPr>
                <w:rFonts w:ascii="黑体" w:hAnsi="宋体" w:eastAsia="黑体" w:cs="宋体"/>
                <w:kern w:val="0"/>
                <w:sz w:val="22"/>
              </w:rPr>
            </w:pPr>
          </w:p>
        </w:tc>
        <w:tc>
          <w:tcPr>
            <w:tcW w:w="1276" w:type="dxa"/>
            <w:vMerge w:val="continue"/>
            <w:vAlign w:val="center"/>
          </w:tcPr>
          <w:p>
            <w:pPr>
              <w:widowControl/>
              <w:jc w:val="left"/>
              <w:rPr>
                <w:rFonts w:ascii="黑体" w:hAnsi="宋体" w:eastAsia="黑体" w:cs="宋体"/>
                <w:kern w:val="0"/>
                <w:sz w:val="22"/>
              </w:rPr>
            </w:pPr>
          </w:p>
        </w:tc>
        <w:tc>
          <w:tcPr>
            <w:tcW w:w="701" w:type="dxa"/>
            <w:vMerge w:val="continue"/>
            <w:vAlign w:val="center"/>
          </w:tcPr>
          <w:p>
            <w:pPr>
              <w:widowControl/>
              <w:jc w:val="left"/>
              <w:rPr>
                <w:rFonts w:ascii="黑体" w:hAnsi="宋体" w:eastAsia="黑体" w:cs="宋体"/>
                <w:kern w:val="0"/>
                <w:sz w:val="22"/>
              </w:rPr>
            </w:pPr>
          </w:p>
        </w:tc>
        <w:tc>
          <w:tcPr>
            <w:tcW w:w="1410"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2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8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2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3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852" w:type="dxa"/>
            <w:vAlign w:val="center"/>
          </w:tcPr>
          <w:p>
            <w:pPr>
              <w:spacing w:line="240" w:lineRule="exact"/>
              <w:jc w:val="center"/>
              <w:rPr>
                <w:rFonts w:ascii="仿宋_GB2312" w:eastAsia="仿宋_GB2312"/>
                <w:sz w:val="18"/>
                <w:szCs w:val="18"/>
              </w:rPr>
            </w:pPr>
          </w:p>
        </w:tc>
        <w:tc>
          <w:tcPr>
            <w:tcW w:w="21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关闭、闲置、拆除城市环卫设施许可</w:t>
            </w:r>
          </w:p>
        </w:tc>
        <w:tc>
          <w:tcPr>
            <w:tcW w:w="2268"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申请条件、</w:t>
            </w:r>
          </w:p>
          <w:p>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《中华人民共和国固体废物污染环境防治法》《城市市容和环境卫生管理条例》</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pPr>
              <w:rPr>
                <w:rFonts w:hint="eastAsia" w:ascii="仿宋_GB2312" w:hAnsi="Calibri" w:eastAsia="仿宋_GB2312" w:cs="Times New Roman"/>
                <w:sz w:val="18"/>
                <w:szCs w:val="18"/>
              </w:rPr>
            </w:pPr>
            <w:r>
              <w:rPr>
                <w:rFonts w:hint="eastAsia" w:ascii="仿宋_GB2312" w:hAnsi="Calibri" w:eastAsia="仿宋_GB2312" w:cs="Times New Roman"/>
                <w:sz w:val="18"/>
                <w:szCs w:val="18"/>
              </w:rPr>
              <w:t>■政府公报</w:t>
            </w:r>
          </w:p>
          <w:p>
            <w:pPr>
              <w:rPr>
                <w:rFonts w:hint="eastAsia" w:ascii="仿宋_GB2312" w:hAnsi="Calibri" w:eastAsia="仿宋_GB2312" w:cs="Times New Roman"/>
                <w:sz w:val="18"/>
                <w:szCs w:val="18"/>
              </w:rPr>
            </w:pPr>
            <w:r>
              <w:rPr>
                <w:rFonts w:hint="eastAsia" w:ascii="仿宋_GB2312" w:hAnsi="Calibri" w:eastAsia="仿宋_GB2312" w:cs="Times New Roman"/>
                <w:sz w:val="18"/>
                <w:szCs w:val="18"/>
              </w:rPr>
              <w:t>■政府网站</w:t>
            </w:r>
          </w:p>
          <w:p>
            <w:pPr>
              <w:spacing w:line="240" w:lineRule="exact"/>
              <w:rPr>
                <w:rFonts w:ascii="仿宋_GB2312" w:eastAsia="仿宋_GB2312"/>
                <w:sz w:val="18"/>
                <w:szCs w:val="18"/>
              </w:rPr>
            </w:pPr>
            <w:r>
              <w:rPr>
                <w:rFonts w:hint="eastAsia" w:ascii="仿宋_GB2312" w:hAnsi="Calibri" w:eastAsia="仿宋_GB2312" w:cs="Times New Roman"/>
                <w:sz w:val="18"/>
                <w:szCs w:val="18"/>
              </w:rPr>
              <w:t>■其他便于公众知晓的方式</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pPr>
              <w:spacing w:line="240" w:lineRule="exact"/>
              <w:jc w:val="center"/>
              <w:rPr>
                <w:rFonts w:ascii="仿宋_GB2312" w:eastAsia="仿宋_GB2312"/>
                <w:sz w:val="18"/>
                <w:szCs w:val="18"/>
              </w:rPr>
            </w:pPr>
          </w:p>
        </w:tc>
        <w:tc>
          <w:tcPr>
            <w:tcW w:w="4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r>
    </w:tbl>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jc w:val="center"/>
        <w:rPr>
          <w:rFonts w:ascii="方正小标宋_GBK" w:eastAsia="方正小标宋_GBK"/>
          <w:sz w:val="30"/>
          <w:szCs w:val="30"/>
        </w:rPr>
      </w:pPr>
      <w:r>
        <w:rPr>
          <w:rFonts w:hint="eastAsia" w:ascii="方正小标宋_GBK" w:eastAsia="方正小标宋_GBK"/>
          <w:sz w:val="30"/>
          <w:szCs w:val="30"/>
        </w:rPr>
        <w:t>（十四）公文化服务领域基层政务公开标准目录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34"/>
        <w:gridCol w:w="1472"/>
        <w:gridCol w:w="1843"/>
        <w:gridCol w:w="2835"/>
        <w:gridCol w:w="1559"/>
        <w:gridCol w:w="1417"/>
        <w:gridCol w:w="1418"/>
        <w:gridCol w:w="567"/>
        <w:gridCol w:w="709"/>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835" w:type="dxa"/>
            <w:vMerge w:val="continue"/>
            <w:vAlign w:val="center"/>
          </w:tcPr>
          <w:p>
            <w:pPr>
              <w:widowControl/>
              <w:jc w:val="left"/>
              <w:rPr>
                <w:rFonts w:ascii="黑体" w:hAnsi="宋体" w:eastAsia="黑体" w:cs="宋体"/>
                <w:color w:val="000000"/>
                <w:kern w:val="0"/>
                <w:sz w:val="22"/>
              </w:rPr>
            </w:pPr>
          </w:p>
        </w:tc>
        <w:tc>
          <w:tcPr>
            <w:tcW w:w="1559"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《公共文化服务保障法》、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、《文化部 财政部关于推进全国美术馆、公共图书馆、文化馆（站）免费开放工作的意见》（文财务发〔2011〕5号）、《文化部 财政部关于做好城市社区(街道)文化中心免费开放工作的通知》（文财务函〔2016〕171号）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《残疾人保障法》、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rPr>
              <w:t>《中共中央办公厅 国务院办公厅印发关于加快构建现代公共文化服务体系的意见》（中办发〔2015〕2号）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48号）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48号）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《非物质文化遗产法》、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  </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835"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r>
        <w:rPr>
          <w:rFonts w:hint="eastAsia" w:ascii="方正小标宋_GBK" w:hAnsi="黑体" w:eastAsia="方正小标宋_GBK" w:cs="仿宋"/>
          <w:sz w:val="30"/>
          <w:szCs w:val="30"/>
        </w:rPr>
        <w:t>（十五）安全生产领域基层政务公开标准目录</w:t>
      </w:r>
    </w:p>
    <w:tbl>
      <w:tblPr>
        <w:tblStyle w:val="7"/>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89"/>
        <w:gridCol w:w="1407"/>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序号</w:t>
            </w:r>
          </w:p>
        </w:tc>
        <w:tc>
          <w:tcPr>
            <w:tcW w:w="198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公开事项</w:t>
            </w:r>
          </w:p>
        </w:tc>
        <w:tc>
          <w:tcPr>
            <w:tcW w:w="252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公开内容（要素）</w:t>
            </w:r>
          </w:p>
        </w:tc>
        <w:tc>
          <w:tcPr>
            <w:tcW w:w="252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公开依据</w:t>
            </w:r>
          </w:p>
        </w:tc>
        <w:tc>
          <w:tcPr>
            <w:tcW w:w="180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公开时限</w:t>
            </w:r>
          </w:p>
        </w:tc>
        <w:tc>
          <w:tcPr>
            <w:tcW w:w="989"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公开主体</w:t>
            </w:r>
          </w:p>
        </w:tc>
        <w:tc>
          <w:tcPr>
            <w:tcW w:w="1407" w:type="dxa"/>
            <w:vMerge w:val="restart"/>
            <w:vAlign w:val="center"/>
          </w:tcPr>
          <w:p>
            <w:pPr>
              <w:widowControl/>
              <w:spacing w:line="240" w:lineRule="exact"/>
              <w:jc w:val="center"/>
              <w:rPr>
                <w:rFonts w:ascii="黑体" w:hAnsi="黑体" w:eastAsia="黑体" w:cstheme="majorEastAsia"/>
                <w:kern w:val="0"/>
                <w:szCs w:val="21"/>
              </w:rPr>
            </w:pPr>
            <w:r>
              <w:rPr>
                <w:rFonts w:hint="eastAsia" w:ascii="黑体" w:hAnsi="黑体" w:eastAsia="黑体" w:cstheme="majorEastAsia"/>
                <w:kern w:val="0"/>
                <w:szCs w:val="21"/>
              </w:rPr>
              <w:t>公开渠道和载体</w:t>
            </w:r>
          </w:p>
        </w:tc>
        <w:tc>
          <w:tcPr>
            <w:tcW w:w="1384"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公开对象</w:t>
            </w:r>
          </w:p>
        </w:tc>
        <w:tc>
          <w:tcPr>
            <w:tcW w:w="144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公开方式</w:t>
            </w:r>
          </w:p>
        </w:tc>
        <w:tc>
          <w:tcPr>
            <w:tcW w:w="108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40" w:type="dxa"/>
            <w:vMerge w:val="continue"/>
            <w:vAlign w:val="center"/>
          </w:tcPr>
          <w:p>
            <w:pPr>
              <w:widowControl/>
              <w:spacing w:line="240" w:lineRule="exact"/>
              <w:jc w:val="center"/>
              <w:rPr>
                <w:rFonts w:ascii="黑体" w:hAnsi="黑体" w:eastAsia="黑体" w:cstheme="majorEastAsia"/>
                <w:color w:val="000000"/>
                <w:kern w:val="0"/>
                <w:szCs w:val="21"/>
              </w:rPr>
            </w:pPr>
          </w:p>
        </w:tc>
        <w:tc>
          <w:tcPr>
            <w:tcW w:w="90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一级事项</w:t>
            </w:r>
          </w:p>
        </w:tc>
        <w:tc>
          <w:tcPr>
            <w:tcW w:w="108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二级事项</w:t>
            </w:r>
          </w:p>
        </w:tc>
        <w:tc>
          <w:tcPr>
            <w:tcW w:w="2520" w:type="dxa"/>
            <w:vMerge w:val="continue"/>
            <w:vAlign w:val="center"/>
          </w:tcPr>
          <w:p>
            <w:pPr>
              <w:widowControl/>
              <w:spacing w:line="240" w:lineRule="exact"/>
              <w:jc w:val="left"/>
              <w:rPr>
                <w:rFonts w:ascii="黑体" w:hAnsi="黑体" w:eastAsia="黑体" w:cstheme="majorEastAsia"/>
                <w:color w:val="000000"/>
                <w:kern w:val="0"/>
                <w:szCs w:val="21"/>
              </w:rPr>
            </w:pPr>
          </w:p>
        </w:tc>
        <w:tc>
          <w:tcPr>
            <w:tcW w:w="2520" w:type="dxa"/>
            <w:vMerge w:val="continue"/>
            <w:vAlign w:val="center"/>
          </w:tcPr>
          <w:p>
            <w:pPr>
              <w:widowControl/>
              <w:spacing w:line="240" w:lineRule="exact"/>
              <w:jc w:val="left"/>
              <w:rPr>
                <w:rFonts w:ascii="黑体" w:hAnsi="黑体" w:eastAsia="黑体" w:cstheme="majorEastAsia"/>
                <w:color w:val="000000"/>
                <w:kern w:val="0"/>
                <w:szCs w:val="21"/>
              </w:rPr>
            </w:pPr>
          </w:p>
        </w:tc>
        <w:tc>
          <w:tcPr>
            <w:tcW w:w="1800" w:type="dxa"/>
            <w:vMerge w:val="continue"/>
            <w:vAlign w:val="center"/>
          </w:tcPr>
          <w:p>
            <w:pPr>
              <w:widowControl/>
              <w:spacing w:line="240" w:lineRule="exact"/>
              <w:jc w:val="left"/>
              <w:rPr>
                <w:rFonts w:ascii="黑体" w:hAnsi="黑体" w:eastAsia="黑体" w:cstheme="majorEastAsia"/>
                <w:color w:val="000000"/>
                <w:kern w:val="0"/>
                <w:szCs w:val="21"/>
              </w:rPr>
            </w:pPr>
          </w:p>
        </w:tc>
        <w:tc>
          <w:tcPr>
            <w:tcW w:w="989" w:type="dxa"/>
            <w:vMerge w:val="continue"/>
            <w:vAlign w:val="center"/>
          </w:tcPr>
          <w:p>
            <w:pPr>
              <w:widowControl/>
              <w:spacing w:line="240" w:lineRule="exact"/>
              <w:jc w:val="center"/>
              <w:rPr>
                <w:rFonts w:ascii="黑体" w:hAnsi="黑体" w:eastAsia="黑体" w:cstheme="majorEastAsia"/>
                <w:color w:val="000000"/>
                <w:kern w:val="0"/>
                <w:szCs w:val="21"/>
              </w:rPr>
            </w:pPr>
          </w:p>
        </w:tc>
        <w:tc>
          <w:tcPr>
            <w:tcW w:w="1407" w:type="dxa"/>
            <w:vMerge w:val="continue"/>
            <w:vAlign w:val="center"/>
          </w:tcPr>
          <w:p>
            <w:pPr>
              <w:widowControl/>
              <w:spacing w:line="240" w:lineRule="exact"/>
              <w:jc w:val="left"/>
              <w:rPr>
                <w:rFonts w:ascii="黑体" w:hAnsi="黑体" w:eastAsia="黑体" w:cstheme="majorEastAsia"/>
                <w:kern w:val="0"/>
                <w:szCs w:val="21"/>
              </w:rPr>
            </w:pPr>
          </w:p>
        </w:tc>
        <w:tc>
          <w:tcPr>
            <w:tcW w:w="664"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全社会</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特定群众</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主动</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依申请公开</w:t>
            </w:r>
          </w:p>
        </w:tc>
        <w:tc>
          <w:tcPr>
            <w:tcW w:w="54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县级</w:t>
            </w:r>
          </w:p>
        </w:tc>
        <w:tc>
          <w:tcPr>
            <w:tcW w:w="54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法律法规</w:t>
            </w:r>
          </w:p>
        </w:tc>
        <w:tc>
          <w:tcPr>
            <w:tcW w:w="252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与安全生产有关的法律、法规</w:t>
            </w:r>
          </w:p>
        </w:tc>
        <w:tc>
          <w:tcPr>
            <w:tcW w:w="2520" w:type="dxa"/>
            <w:vAlign w:val="center"/>
          </w:tcPr>
          <w:p>
            <w:pPr>
              <w:spacing w:line="240" w:lineRule="exact"/>
              <w:jc w:val="center"/>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restart"/>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部门和地方规章</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与安全生产有关的部门和地方规章</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3</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其他政策文件</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其他可以公开的与安全生产有关的政策文件，包括改革方案、发展规划、专项规划、工作计划等</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4</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标准</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安全生产领域有关的国家标准、行业标准、地方标准等</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5</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涉及管理相对人切身利益、需社会广泛知晓的重要改革方案等重大决策，决策前向社会公开决策草案、决策依据</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6</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重要会议</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通过会议讨论作出重要改革方案等重大决策时，经党组研究认为有必要公开讨论决策过程的会议</w:t>
            </w:r>
          </w:p>
        </w:tc>
        <w:tc>
          <w:tcPr>
            <w:tcW w:w="2520" w:type="dxa"/>
            <w:vAlign w:val="center"/>
          </w:tcPr>
          <w:p>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提前一周发通知邀请</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■便民服务站</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7</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征集采纳社会公众意见情况</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重大决策草案公布后征集到的社会公众意见情况、采纳与否情况及理由等</w:t>
            </w:r>
          </w:p>
        </w:tc>
        <w:tc>
          <w:tcPr>
            <w:tcW w:w="2520" w:type="dxa"/>
            <w:vAlign w:val="center"/>
          </w:tcPr>
          <w:p>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征求意见时对外公布的时限内公开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■公开查阅点 </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8</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隐患管理</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重大隐患排查、挂牌督办及其整改情况，安全生产举报电话等</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w:t>
            </w: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■广播电视   ■公开查阅点</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9</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应急管理</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承担处置主责、非敏感的应急信息，包括事故灾害类预警信息、事故信息、事故后采取的应急处置措施和应对结果等</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、《突发事件应对法》、《关于全面加强政务公开工作的意见》</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10</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动态信息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业务工作动态、安全生产执法检查动态</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■其他</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11</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安全生产预警提示信息</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气象及灾害预警信息            不同时段、不同领域安全生产提示信息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信息形成后及时公开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■便民服务站 ■入户/现场</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■社区/企事业单位、村公示栏（电子屏）</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■精准推送   ■其他</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12</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财政资金信息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预算、决算</w:t>
            </w:r>
          </w:p>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“三公”经费</w:t>
            </w:r>
          </w:p>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安全生产专项资金使用等财政资金信息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、《国务院关于深化预算管理制度改革的决定》（国发〔2014〕45号）、《国务院办公厅关于进一步推进预算公开工作意见的通知》（中办发〔2016〕13号）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按中央要求时限公开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13</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政府采购信息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本单位采购实施情况相关信息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、《国务院关于深化预算管理制度改革的决定》（国发〔2014〕45号）、中办、国办印发《关于进一步推进预算公开工作的意见》的通知（中办发〔2016〕13号）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14</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办事纪律和监督管理</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本单位的办事纪律,受理投诉、举报、信访的途径等内容</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15</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检查和巡查发现安全监管监察问题</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检查和巡查发现的、并要求向社会公开的问题及整改落实情况</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bl>
    <w:p>
      <w:pPr>
        <w:tabs>
          <w:tab w:val="left" w:pos="1149"/>
        </w:tabs>
        <w:spacing w:line="240" w:lineRule="exact"/>
        <w:rPr>
          <w:rFonts w:ascii="仿宋_GB2312" w:hAnsi="Times New Roman" w:eastAsia="仿宋_GB2312"/>
          <w:color w:val="000000"/>
          <w:sz w:val="18"/>
          <w:szCs w:val="18"/>
        </w:rPr>
      </w:pPr>
    </w:p>
    <w:p>
      <w:pPr>
        <w:tabs>
          <w:tab w:val="left" w:pos="1149"/>
        </w:tabs>
        <w:spacing w:line="240" w:lineRule="exact"/>
        <w:rPr>
          <w:rFonts w:ascii="仿宋_GB2312" w:hAnsi="Times New Roman" w:eastAsia="仿宋_GB2312"/>
          <w:color w:val="000000"/>
          <w:sz w:val="18"/>
          <w:szCs w:val="18"/>
        </w:rPr>
      </w:pPr>
    </w:p>
    <w:p>
      <w:pPr>
        <w:tabs>
          <w:tab w:val="left" w:pos="1149"/>
        </w:tabs>
        <w:spacing w:line="240" w:lineRule="exact"/>
        <w:rPr>
          <w:rFonts w:ascii="仿宋_GB2312" w:hAnsi="Times New Roman" w:eastAsia="仿宋_GB2312"/>
          <w:color w:val="000000"/>
          <w:sz w:val="18"/>
          <w:szCs w:val="18"/>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（十六）救灾领域基层政务公开标准目录</w:t>
      </w:r>
    </w:p>
    <w:tbl>
      <w:tblPr>
        <w:tblStyle w:val="7"/>
        <w:tblW w:w="15451" w:type="dxa"/>
        <w:tblInd w:w="-652" w:type="dxa"/>
        <w:tblLayout w:type="autofit"/>
        <w:tblCellMar>
          <w:top w:w="0" w:type="dxa"/>
          <w:left w:w="57" w:type="dxa"/>
          <w:bottom w:w="0" w:type="dxa"/>
          <w:right w:w="57" w:type="dxa"/>
        </w:tblCellMar>
      </w:tblPr>
      <w:tblGrid>
        <w:gridCol w:w="425"/>
        <w:gridCol w:w="568"/>
        <w:gridCol w:w="850"/>
        <w:gridCol w:w="3119"/>
        <w:gridCol w:w="3827"/>
        <w:gridCol w:w="1701"/>
        <w:gridCol w:w="709"/>
        <w:gridCol w:w="1417"/>
        <w:gridCol w:w="567"/>
        <w:gridCol w:w="557"/>
        <w:gridCol w:w="294"/>
        <w:gridCol w:w="567"/>
        <w:gridCol w:w="425"/>
        <w:gridCol w:w="425"/>
      </w:tblGrid>
      <w:tr>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1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8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tblPrEx>
          <w:tblCellMar>
            <w:top w:w="0" w:type="dxa"/>
            <w:left w:w="57" w:type="dxa"/>
            <w:bottom w:w="0" w:type="dxa"/>
            <w:right w:w="57" w:type="dxa"/>
          </w:tblCellMar>
        </w:tblPrEx>
        <w:trPr>
          <w:trHeight w:val="277" w:hRule="atLeast"/>
          <w:tblHeader/>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29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tblPrEx>
          <w:tblCellMar>
            <w:top w:w="0" w:type="dxa"/>
            <w:left w:w="57" w:type="dxa"/>
            <w:bottom w:w="0" w:type="dxa"/>
            <w:right w:w="57" w:type="dxa"/>
          </w:tblCellMar>
        </w:tblPrEx>
        <w:trPr>
          <w:trHeight w:val="62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法律法规</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与救灾有关的法律、法规</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621"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部门和地方规章</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与救灾有关的部门和地方规章、规范性文件</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3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其他政策文件</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其他可以公开的与救灾有关的政策文件，包括改革方案、发展规划、专项规划、工作计划等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69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涉及管理相对人切身利益、需社会广泛知晓的重要改革方案等重大决策，决策前向社会公开决策草案、决策依据</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重大政策解读及回应</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●有关重大政策的解读及回应                       ●相关热点问题的解读及回应</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711号），中央办公厅、国务院办公厅《关于全面推进政务公开工作的意见》，《国务院办公厅关于在政务公开工作中进一步做好政务舆情回应的通知》（国办发〔2016〕61号）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重大决策作出后及时公开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重要会议</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以会议讨论作出重要改革方案等重大决策时，经党组研究认为有必要公开讨论决策过程的会议</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提前一周发通知邀请</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3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征集采纳社会公众意见情况</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重大决策草案公布后征集到的社会公众意见情况、采纳与否情况及理由等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征求意见时对外公布的时限内公开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21"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综合减灾示范社区分布情况（其具体位置、创建时间、创建级别等）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93"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56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救助审定信息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自然灾害救助（6类）的救助对象、申报材料、办理程序及时限等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27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灾害救助</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应急管理部门审批</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救助款物通知及划拨情况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21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44"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灾后救助</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99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捐赠款物信息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年度捐赠款物信息以及款物使用情况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24"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18</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年度款物使用情况</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年度救灾资金和救灾物资等使用情况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025"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19</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工作动态</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工作信息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防灾减灾救灾其他相关动态信息</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bl>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（十七）食品药品监管领域基层政务公开标准目录</w:t>
      </w:r>
    </w:p>
    <w:tbl>
      <w:tblPr>
        <w:tblStyle w:val="7"/>
        <w:tblW w:w="15480" w:type="dxa"/>
        <w:tblInd w:w="-746" w:type="dxa"/>
        <w:tblLayout w:type="fixed"/>
        <w:tblCellMar>
          <w:top w:w="0" w:type="dxa"/>
          <w:left w:w="57" w:type="dxa"/>
          <w:bottom w:w="0" w:type="dxa"/>
          <w:right w:w="57" w:type="dxa"/>
        </w:tblCellMar>
      </w:tblPr>
      <w:tblGrid>
        <w:gridCol w:w="377"/>
        <w:gridCol w:w="568"/>
        <w:gridCol w:w="709"/>
        <w:gridCol w:w="2693"/>
        <w:gridCol w:w="2835"/>
        <w:gridCol w:w="1418"/>
        <w:gridCol w:w="1701"/>
        <w:gridCol w:w="1559"/>
        <w:gridCol w:w="709"/>
        <w:gridCol w:w="567"/>
        <w:gridCol w:w="425"/>
        <w:gridCol w:w="850"/>
        <w:gridCol w:w="426"/>
        <w:gridCol w:w="643"/>
      </w:tblGrid>
      <w:tr>
        <w:tblPrEx>
          <w:tblCellMar>
            <w:top w:w="0" w:type="dxa"/>
            <w:left w:w="57" w:type="dxa"/>
            <w:bottom w:w="0" w:type="dxa"/>
            <w:right w:w="57" w:type="dxa"/>
          </w:tblCellMar>
        </w:tblPrEx>
        <w:trPr>
          <w:trHeight w:val="420" w:hRule="atLeast"/>
          <w:tblHeader/>
        </w:trPr>
        <w:tc>
          <w:tcPr>
            <w:tcW w:w="3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序号</w:t>
            </w:r>
          </w:p>
        </w:tc>
        <w:tc>
          <w:tcPr>
            <w:tcW w:w="1277"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275"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06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tblPrEx>
          <w:tblCellMar>
            <w:top w:w="0" w:type="dxa"/>
            <w:left w:w="57" w:type="dxa"/>
            <w:bottom w:w="0" w:type="dxa"/>
            <w:right w:w="57" w:type="dxa"/>
          </w:tblCellMar>
        </w:tblPrEx>
        <w:trPr>
          <w:trHeight w:val="648" w:hRule="atLeast"/>
          <w:tblHeader/>
        </w:trPr>
        <w:tc>
          <w:tcPr>
            <w:tcW w:w="3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568"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Cs w:val="21"/>
              </w:rPr>
            </w:pP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25"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85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6"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64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tblPrEx>
          <w:tblCellMar>
            <w:top w:w="0" w:type="dxa"/>
            <w:left w:w="57" w:type="dxa"/>
            <w:bottom w:w="0" w:type="dxa"/>
            <w:right w:w="57" w:type="dxa"/>
          </w:tblCellMar>
        </w:tblPrEx>
        <w:trPr>
          <w:trHeight w:val="2486"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568"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监督</w:t>
            </w:r>
          </w:p>
          <w:p>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ascii="Times New Roman" w:hAnsi="Times New Roman" w:eastAsia="仿宋_GB2312"/>
                <w:sz w:val="18"/>
                <w:szCs w:val="18"/>
              </w:rPr>
              <w:t>《食品安全法》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《关于全面推进政务公开工作的意见》（中办发〔2016〕8号）《食品生产经营日常监督检查管理办法》（国家食品药品监督管理总局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23号）《食品药品安全监管信息公开管理办法》（食药监法〔2017〕125号）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2</w:t>
            </w:r>
          </w:p>
        </w:tc>
        <w:tc>
          <w:tcPr>
            <w:tcW w:w="568" w:type="dxa"/>
            <w:tcBorders>
              <w:top w:val="single" w:color="auto" w:sz="4" w:space="0"/>
              <w:left w:val="nil"/>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w:t>
            </w:r>
          </w:p>
          <w:p>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297"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568"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568"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《关于全面推进政务公开工作的意见》（中办发〔2016〕8号） </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57" w:type="dxa"/>
            <w:bottom w:w="0" w:type="dxa"/>
            <w:right w:w="57" w:type="dxa"/>
          </w:tblCellMar>
        </w:tblPrEx>
        <w:trPr>
          <w:trHeight w:val="1240"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568" w:type="dxa"/>
            <w:vMerge w:val="continue"/>
            <w:tcBorders>
              <w:left w:val="nil"/>
              <w:right w:val="single" w:color="auto" w:sz="4" w:space="0"/>
            </w:tcBorders>
            <w:vAlign w:val="center"/>
          </w:tcPr>
          <w:p>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r>
              <w:rPr>
                <w:rFonts w:hint="eastAsia" w:ascii="Times New Roman" w:hAnsi="Times New Roman" w:eastAsia="仿宋_GB2312"/>
                <w:sz w:val="18"/>
                <w:szCs w:val="18"/>
              </w:rPr>
              <w:t>市场监督管理投诉举报处理暂行办法</w:t>
            </w:r>
            <w:r>
              <w:rPr>
                <w:rFonts w:ascii="Times New Roman" w:hAnsi="Times New Roman" w:eastAsia="仿宋_GB2312"/>
                <w:sz w:val="18"/>
                <w:szCs w:val="18"/>
              </w:rPr>
              <w:t>》（</w:t>
            </w:r>
            <w:r>
              <w:rPr>
                <w:rFonts w:hint="eastAsia" w:ascii="Times New Roman" w:hAnsi="Times New Roman" w:eastAsia="仿宋_GB2312"/>
                <w:sz w:val="18"/>
                <w:szCs w:val="18"/>
              </w:rPr>
              <w:t>国家市场监督管理总局</w:t>
            </w:r>
            <w:r>
              <w:rPr>
                <w:rFonts w:hint="eastAsia" w:ascii="Times New Roman" w:hAnsi="Times New Roman" w:eastAsia="仿宋_GB2312"/>
                <w:sz w:val="18"/>
                <w:szCs w:val="18"/>
                <w:lang w:eastAsia="zh-CN"/>
              </w:rPr>
              <w:t>令第</w:t>
            </w:r>
            <w:r>
              <w:rPr>
                <w:rFonts w:hint="eastAsia" w:ascii="Times New Roman" w:hAnsi="Times New Roman" w:eastAsia="仿宋_GB2312"/>
                <w:sz w:val="18"/>
                <w:szCs w:val="18"/>
              </w:rPr>
              <w:t>20号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568" w:type="dxa"/>
            <w:vMerge w:val="continue"/>
            <w:tcBorders>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（十八）扶贫领域基层政务公开标准目录</w:t>
      </w:r>
    </w:p>
    <w:tbl>
      <w:tblPr>
        <w:tblStyle w:val="7"/>
        <w:tblW w:w="1517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568"/>
        <w:gridCol w:w="1933"/>
        <w:gridCol w:w="1701"/>
        <w:gridCol w:w="1276"/>
        <w:gridCol w:w="2126"/>
        <w:gridCol w:w="567"/>
        <w:gridCol w:w="567"/>
        <w:gridCol w:w="477"/>
        <w:gridCol w:w="799"/>
        <w:gridCol w:w="4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68"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33"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6"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26" w:type="dxa"/>
            <w:vMerge w:val="restart"/>
            <w:vAlign w:val="center"/>
          </w:tcPr>
          <w:p>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5"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spacing w:line="240" w:lineRule="exact"/>
              <w:jc w:val="left"/>
              <w:rPr>
                <w:rFonts w:ascii="Times New Roman" w:hAnsi="Times New Roman"/>
                <w:color w:val="000000"/>
                <w:kern w:val="0"/>
                <w:sz w:val="22"/>
              </w:rPr>
            </w:pP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68" w:type="dxa"/>
            <w:vMerge w:val="continue"/>
            <w:vAlign w:val="center"/>
          </w:tcPr>
          <w:p>
            <w:pPr>
              <w:widowControl/>
              <w:spacing w:line="240" w:lineRule="exact"/>
              <w:jc w:val="left"/>
              <w:rPr>
                <w:rFonts w:ascii="黑体" w:hAnsi="宋体" w:eastAsia="黑体" w:cs="宋体"/>
                <w:color w:val="000000"/>
                <w:kern w:val="0"/>
                <w:sz w:val="22"/>
              </w:rPr>
            </w:pPr>
          </w:p>
        </w:tc>
        <w:tc>
          <w:tcPr>
            <w:tcW w:w="1933" w:type="dxa"/>
            <w:vMerge w:val="continue"/>
            <w:vAlign w:val="center"/>
          </w:tcPr>
          <w:p>
            <w:pPr>
              <w:widowControl/>
              <w:spacing w:line="240" w:lineRule="exact"/>
              <w:jc w:val="left"/>
              <w:rPr>
                <w:rFonts w:ascii="黑体" w:hAnsi="宋体" w:eastAsia="黑体" w:cs="宋体"/>
                <w:color w:val="000000"/>
                <w:kern w:val="0"/>
                <w:sz w:val="22"/>
              </w:rPr>
            </w:pPr>
          </w:p>
        </w:tc>
        <w:tc>
          <w:tcPr>
            <w:tcW w:w="1701" w:type="dxa"/>
            <w:vMerge w:val="continue"/>
            <w:vAlign w:val="center"/>
          </w:tcPr>
          <w:p>
            <w:pPr>
              <w:widowControl/>
              <w:spacing w:line="240" w:lineRule="exact"/>
              <w:jc w:val="left"/>
              <w:rPr>
                <w:rFonts w:ascii="黑体" w:hAnsi="宋体" w:eastAsia="黑体" w:cs="宋体"/>
                <w:color w:val="000000"/>
                <w:kern w:val="0"/>
                <w:sz w:val="22"/>
              </w:rPr>
            </w:pPr>
          </w:p>
        </w:tc>
        <w:tc>
          <w:tcPr>
            <w:tcW w:w="1276" w:type="dxa"/>
            <w:vMerge w:val="continue"/>
            <w:vAlign w:val="center"/>
          </w:tcPr>
          <w:p>
            <w:pPr>
              <w:widowControl/>
              <w:spacing w:line="240" w:lineRule="exact"/>
              <w:jc w:val="left"/>
              <w:rPr>
                <w:rFonts w:ascii="黑体" w:hAnsi="宋体" w:eastAsia="黑体" w:cs="宋体"/>
                <w:color w:val="000000"/>
                <w:kern w:val="0"/>
                <w:sz w:val="22"/>
              </w:rPr>
            </w:pPr>
          </w:p>
        </w:tc>
        <w:tc>
          <w:tcPr>
            <w:tcW w:w="2126" w:type="dxa"/>
            <w:vMerge w:val="continue"/>
            <w:vAlign w:val="center"/>
          </w:tcPr>
          <w:p>
            <w:pPr>
              <w:widowControl/>
              <w:spacing w:line="240" w:lineRule="exact"/>
              <w:jc w:val="left"/>
              <w:rPr>
                <w:rFonts w:ascii="黑体" w:hAnsi="宋体" w:eastAsia="黑体" w:cs="宋体"/>
                <w:kern w:val="0"/>
                <w:sz w:val="22"/>
              </w:rPr>
            </w:pPr>
          </w:p>
        </w:tc>
        <w:tc>
          <w:tcPr>
            <w:tcW w:w="56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99"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6"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龙胜县扶贫部门、伟江乡人民政府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龙胜县扶贫部门、伟江乡人民政府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龙胜县扶贫部门、伟江乡人民政府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《国务院扶贫办扶贫开发建档立卡工作方案》（国开办发〔2014〕24号）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w:t>
            </w:r>
            <w:r>
              <w:rPr>
                <w:rFonts w:hint="eastAsia" w:ascii="仿宋_GB2312" w:eastAsia="仿宋_GB2312"/>
                <w:color w:val="000000"/>
                <w:sz w:val="18"/>
                <w:szCs w:val="18"/>
                <w:lang w:eastAsia="zh-CN"/>
              </w:rPr>
              <w:t>两不愁三保障</w:t>
            </w:r>
            <w:r>
              <w:rPr>
                <w:rFonts w:hint="eastAsia" w:ascii="仿宋_GB2312" w:eastAsia="仿宋_GB2312"/>
                <w:color w:val="000000"/>
                <w:sz w:val="18"/>
                <w:szCs w:val="18"/>
              </w:rPr>
              <w:t>”）</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《中共中央办公厅、国务院办公厅关于建立贫困退出机制的意见》（厅字〔2016〕16号）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龙胜县人民政府、伟江乡人民政府、村委会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龙胜县人民政府、伟江乡人民政府、村委会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龙胜县人民政府、伟江乡人民政府、村委会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龙胜县人民政府、伟江乡人民政府、村委会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龙胜县人民政府、伟江乡人民政府、村委会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龙胜县人民政府、伟江乡人民政府、村委会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龙胜县扶贫部门、伟江乡人民政府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pPr>
        <w:spacing w:line="240" w:lineRule="exact"/>
        <w:rPr>
          <w:rFonts w:ascii="仿宋_GB2312" w:eastAsia="仿宋_GB2312"/>
          <w:sz w:val="18"/>
          <w:szCs w:val="18"/>
        </w:rPr>
      </w:pPr>
    </w:p>
    <w:p>
      <w:pPr>
        <w:spacing w:line="300" w:lineRule="exact"/>
        <w:rPr>
          <w:rFonts w:ascii="仿宋_GB2312" w:hAnsi="宋体" w:eastAsia="仿宋_GB2312"/>
          <w:color w:val="000000"/>
          <w:sz w:val="18"/>
          <w:szCs w:val="1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92061"/>
      <w:docPartObj>
        <w:docPartGallery w:val="autotext"/>
      </w:docPartObj>
    </w:sdtPr>
    <w:sdtEndPr>
      <w:rPr>
        <w:sz w:val="30"/>
        <w:szCs w:val="30"/>
      </w:rPr>
    </w:sdtEndPr>
    <w:sdtContent>
      <w:p>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1</w:t>
        </w:r>
        <w:r>
          <w:rPr>
            <w:sz w:val="30"/>
            <w:szCs w:val="30"/>
          </w:rPr>
          <w:fldChar w:fldCharType="end"/>
        </w:r>
      </w:p>
    </w:sdtContent>
  </w:sdt>
  <w:p>
    <w:pPr>
      <w:pStyle w:val="4"/>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A76B90"/>
    <w:rsid w:val="000C5E68"/>
    <w:rsid w:val="000D636A"/>
    <w:rsid w:val="00123EEC"/>
    <w:rsid w:val="00136A34"/>
    <w:rsid w:val="002A5AEC"/>
    <w:rsid w:val="00302B78"/>
    <w:rsid w:val="003F265C"/>
    <w:rsid w:val="00407960"/>
    <w:rsid w:val="004F397A"/>
    <w:rsid w:val="00517BC8"/>
    <w:rsid w:val="00527631"/>
    <w:rsid w:val="005303FE"/>
    <w:rsid w:val="005838CB"/>
    <w:rsid w:val="00611AAE"/>
    <w:rsid w:val="006D2AE3"/>
    <w:rsid w:val="007B3168"/>
    <w:rsid w:val="007E22C6"/>
    <w:rsid w:val="00845B97"/>
    <w:rsid w:val="00847BDD"/>
    <w:rsid w:val="008C370A"/>
    <w:rsid w:val="008C4A81"/>
    <w:rsid w:val="008D72B2"/>
    <w:rsid w:val="009B27BD"/>
    <w:rsid w:val="00A76B90"/>
    <w:rsid w:val="00A94B26"/>
    <w:rsid w:val="00B7381D"/>
    <w:rsid w:val="00B83259"/>
    <w:rsid w:val="00BF4ECC"/>
    <w:rsid w:val="00C64214"/>
    <w:rsid w:val="00C67795"/>
    <w:rsid w:val="00C924CC"/>
    <w:rsid w:val="00D15A5D"/>
    <w:rsid w:val="00E01092"/>
    <w:rsid w:val="00EA13FA"/>
    <w:rsid w:val="00F55995"/>
    <w:rsid w:val="2AB73248"/>
    <w:rsid w:val="33F529ED"/>
    <w:rsid w:val="6F8850DA"/>
    <w:rsid w:val="799C2461"/>
    <w:rsid w:val="7B1C3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uiPriority w:val="99"/>
    <w:pPr>
      <w:ind w:left="100" w:leftChars="2500"/>
    </w:pPr>
    <w:rPr>
      <w:rFonts w:ascii="Calibri" w:hAnsi="Calibri" w:eastAsia="宋体" w:cs="Times New Roman"/>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uiPriority w:val="0"/>
    <w:pPr>
      <w:tabs>
        <w:tab w:val="right" w:leader="dot" w:pos="14760"/>
      </w:tabs>
      <w:spacing w:line="700" w:lineRule="exact"/>
      <w:ind w:left="359" w:leftChars="171" w:right="332" w:rightChars="158"/>
    </w:pPr>
    <w:rPr>
      <w:rFonts w:ascii="Calibri" w:hAnsi="Calibri" w:eastAsia="宋体" w:cs="Times New Roman"/>
    </w:rPr>
  </w:style>
  <w:style w:type="character" w:styleId="9">
    <w:name w:val="Hyperlink"/>
    <w:basedOn w:val="8"/>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autoRedefine/>
    <w:qFormat/>
    <w:uiPriority w:val="99"/>
    <w:rPr>
      <w:sz w:val="18"/>
      <w:szCs w:val="18"/>
    </w:r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8"/>
    <w:link w:val="12"/>
    <w:uiPriority w:val="1"/>
    <w:rPr>
      <w:kern w:val="0"/>
      <w:sz w:val="22"/>
    </w:rPr>
  </w:style>
  <w:style w:type="character" w:customStyle="1" w:styleId="14">
    <w:name w:val="标题 1 Char"/>
    <w:basedOn w:val="8"/>
    <w:link w:val="2"/>
    <w:qFormat/>
    <w:uiPriority w:val="0"/>
    <w:rPr>
      <w:rFonts w:ascii="Calibri" w:hAnsi="Calibri" w:eastAsia="宋体" w:cs="Times New Roman"/>
      <w:b/>
      <w:bCs/>
      <w:kern w:val="44"/>
      <w:sz w:val="44"/>
      <w:szCs w:val="44"/>
    </w:rPr>
  </w:style>
  <w:style w:type="paragraph" w:customStyle="1" w:styleId="15">
    <w:name w:val="Default"/>
    <w:next w:val="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6">
    <w:name w:val="日期 Char"/>
    <w:basedOn w:val="8"/>
    <w:link w:val="3"/>
    <w:autoRedefine/>
    <w:semiHidden/>
    <w:qFormat/>
    <w:uiPriority w:val="99"/>
    <w:rPr>
      <w:rFonts w:ascii="Calibri" w:hAnsi="Calibri" w:eastAsia="宋体" w:cs="Times New Roman"/>
    </w:rPr>
  </w:style>
  <w:style w:type="paragraph" w:styleId="17">
    <w:name w:val="List Paragraph"/>
    <w:basedOn w:val="1"/>
    <w:qFormat/>
    <w:uiPriority w:val="0"/>
    <w:pPr>
      <w:ind w:firstLine="420" w:firstLineChars="200"/>
    </w:pPr>
    <w:rPr>
      <w:rFonts w:ascii="等线" w:hAnsi="等线" w:eastAsia="等线" w:cs="Times New Roman"/>
    </w:rPr>
  </w:style>
  <w:style w:type="character" w:customStyle="1" w:styleId="18">
    <w:name w:val="标题 1 字符"/>
    <w:qFormat/>
    <w:uiPriority w:val="0"/>
    <w:rPr>
      <w:rFonts w:ascii="Calibri" w:hAnsi="Calibri" w:eastAsia="宋体" w:cs="Times New Roman"/>
      <w:b/>
      <w:bCs/>
      <w:kern w:val="44"/>
      <w:sz w:val="44"/>
      <w:szCs w:val="44"/>
    </w:rPr>
  </w:style>
  <w:style w:type="paragraph" w:customStyle="1" w:styleId="19">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86</Pages>
  <Words>13769</Words>
  <Characters>78486</Characters>
  <Lines>654</Lines>
  <Paragraphs>184</Paragraphs>
  <TotalTime>72</TotalTime>
  <ScaleCrop>false</ScaleCrop>
  <LinksUpToDate>false</LinksUpToDate>
  <CharactersWithSpaces>92071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2020-12-11T08:06:00Z</dcterms:created>
  <dc:creator>NTKO</dc:creator>
  <cp:lastModifiedBy>此生随梦追</cp:lastModifiedBy>
  <dcterms:modified xsi:type="dcterms:W3CDTF">2024-05-06T06:59:29Z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88DE4E513229437EB8F59E94A55094AE</vt:lpwstr>
  </property>
</Properties>
</file>