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GoBack"/>
      <w:bookmarkEnd w:id="0"/>
      <w:r>
        <w:rPr>
          <w:rFonts w:hint="eastAsia" w:ascii="方正小标宋_GBK" w:hAnsi="方正小标宋_GBK" w:eastAsia="方正小标宋_GBK"/>
          <w:b w:val="0"/>
          <w:bCs w:val="0"/>
          <w:sz w:val="30"/>
        </w:rPr>
        <w:t>龙胜各族自治县国有土地上房屋征收与补偿领域基层政务公开标准目录</w:t>
      </w:r>
    </w:p>
    <w:tbl>
      <w:tblPr>
        <w:tblStyle w:val="3"/>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568"/>
        <w:gridCol w:w="1276"/>
        <w:gridCol w:w="2268"/>
        <w:gridCol w:w="3063"/>
        <w:gridCol w:w="1473"/>
        <w:gridCol w:w="1227"/>
        <w:gridCol w:w="1183"/>
        <w:gridCol w:w="617"/>
        <w:gridCol w:w="709"/>
        <w:gridCol w:w="658"/>
        <w:gridCol w:w="851"/>
        <w:gridCol w:w="618"/>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4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26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06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2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18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50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continue"/>
            <w:vAlign w:val="center"/>
          </w:tcPr>
          <w:p>
            <w:pPr>
              <w:widowControl/>
              <w:jc w:val="left"/>
              <w:rPr>
                <w:rFonts w:ascii="Times New Roman" w:hAnsi="Times New Roman"/>
                <w:color w:val="000000"/>
                <w:kern w:val="0"/>
                <w:sz w:val="22"/>
              </w:rPr>
            </w:pPr>
          </w:p>
        </w:tc>
        <w:tc>
          <w:tcPr>
            <w:tcW w:w="56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268" w:type="dxa"/>
            <w:vMerge w:val="continue"/>
            <w:vAlign w:val="center"/>
          </w:tcPr>
          <w:p>
            <w:pPr>
              <w:widowControl/>
              <w:jc w:val="left"/>
              <w:rPr>
                <w:rFonts w:ascii="黑体" w:hAnsi="宋体" w:eastAsia="黑体" w:cs="宋体"/>
                <w:color w:val="000000"/>
                <w:kern w:val="0"/>
                <w:sz w:val="22"/>
              </w:rPr>
            </w:pPr>
          </w:p>
        </w:tc>
        <w:tc>
          <w:tcPr>
            <w:tcW w:w="3063" w:type="dxa"/>
            <w:vMerge w:val="continue"/>
            <w:vAlign w:val="center"/>
          </w:tcPr>
          <w:p>
            <w:pPr>
              <w:widowControl/>
              <w:jc w:val="left"/>
              <w:rPr>
                <w:rFonts w:ascii="黑体" w:hAnsi="宋体" w:eastAsia="黑体" w:cs="宋体"/>
                <w:color w:val="000000"/>
                <w:kern w:val="0"/>
                <w:sz w:val="22"/>
              </w:rPr>
            </w:pPr>
          </w:p>
        </w:tc>
        <w:tc>
          <w:tcPr>
            <w:tcW w:w="1473" w:type="dxa"/>
            <w:vMerge w:val="continue"/>
            <w:vAlign w:val="center"/>
          </w:tcPr>
          <w:p>
            <w:pPr>
              <w:widowControl/>
              <w:jc w:val="left"/>
              <w:rPr>
                <w:rFonts w:ascii="黑体" w:hAnsi="宋体" w:eastAsia="黑体" w:cs="宋体"/>
                <w:color w:val="000000"/>
                <w:kern w:val="0"/>
                <w:sz w:val="22"/>
              </w:rPr>
            </w:pPr>
          </w:p>
        </w:tc>
        <w:tc>
          <w:tcPr>
            <w:tcW w:w="1227" w:type="dxa"/>
            <w:vMerge w:val="continue"/>
            <w:vAlign w:val="center"/>
          </w:tcPr>
          <w:p>
            <w:pPr>
              <w:widowControl/>
              <w:jc w:val="left"/>
              <w:rPr>
                <w:rFonts w:ascii="黑体" w:hAnsi="宋体" w:eastAsia="黑体" w:cs="宋体"/>
                <w:color w:val="000000"/>
                <w:kern w:val="0"/>
                <w:sz w:val="22"/>
              </w:rPr>
            </w:pPr>
          </w:p>
        </w:tc>
        <w:tc>
          <w:tcPr>
            <w:tcW w:w="1183" w:type="dxa"/>
            <w:vMerge w:val="continue"/>
            <w:vAlign w:val="center"/>
          </w:tcPr>
          <w:p>
            <w:pPr>
              <w:widowControl/>
              <w:jc w:val="left"/>
              <w:rPr>
                <w:rFonts w:ascii="黑体" w:hAnsi="宋体" w:eastAsia="黑体" w:cs="宋体"/>
                <w:kern w:val="0"/>
                <w:sz w:val="22"/>
              </w:rPr>
            </w:pPr>
          </w:p>
        </w:tc>
        <w:tc>
          <w:tcPr>
            <w:tcW w:w="61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65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1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令第590号）；《国有土地上房屋征收评估办法》（建房[2011]77号）；《关于推进国有土地上房屋征收与补偿信息公开工作的实施意见》（建房[2012]84号）；《关于进一步加强国有土地上房屋征收与补偿信息公开工作的通知》（建房〔2013〕133号）。</w:t>
            </w:r>
          </w:p>
        </w:tc>
        <w:tc>
          <w:tcPr>
            <w:tcW w:w="3063"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自治县人民政府及房屋征收部门</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vAlign w:val="center"/>
          </w:tcPr>
          <w:p>
            <w:pPr>
              <w:jc w:val="center"/>
              <w:rPr>
                <w:rFonts w:hint="eastAsia" w:ascii="仿宋_GB2312" w:hAnsi="宋体" w:eastAsia="仿宋_GB2312"/>
                <w:color w:val="000000"/>
                <w:sz w:val="18"/>
                <w:szCs w:val="18"/>
              </w:rPr>
            </w:pP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063"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自治县人民政府及房屋征收部门</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启动要件</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征收项目符合公共利益的相关材料。</w:t>
            </w:r>
          </w:p>
        </w:tc>
        <w:tc>
          <w:tcPr>
            <w:tcW w:w="306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《国有土地上房屋征收与补偿条例》（国令第590号）</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自治县人民政府及相关部门</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vAlign w:val="center"/>
          </w:tcPr>
          <w:p>
            <w:pPr>
              <w:jc w:val="center"/>
              <w:rPr>
                <w:rFonts w:hint="eastAsia" w:ascii="仿宋_GB2312" w:hAnsi="宋体" w:eastAsia="仿宋_GB2312"/>
                <w:color w:val="000000"/>
                <w:sz w:val="18"/>
                <w:szCs w:val="18"/>
              </w:rPr>
            </w:pP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社会稳定风险评估</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社会稳定风险评估结果。</w:t>
            </w:r>
          </w:p>
        </w:tc>
        <w:tc>
          <w:tcPr>
            <w:tcW w:w="306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《国有土地上房屋征收与补偿条例》（国令第590号）</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自治县人民政府</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06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令第590号）；《国有土地上房屋征收评估办法》（建房[2011]77号）；《关于推进国有土地上房屋征收与补偿信息公开工作的实施意见》（建房[2012]84号）；《关于进一步加强国有土地上房屋征收与补偿信息公开工作的通知》（建房〔2013〕133号）</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自治县人民政府及房屋征收部门</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continue"/>
            <w:vAlign w:val="center"/>
          </w:tcPr>
          <w:p>
            <w:pPr>
              <w:jc w:val="center"/>
              <w:rPr>
                <w:rFonts w:hint="eastAsia" w:ascii="仿宋_GB2312" w:hAnsi="宋体" w:eastAsia="仿宋_GB2312"/>
                <w:color w:val="000000"/>
                <w:sz w:val="18"/>
                <w:szCs w:val="18"/>
              </w:rPr>
            </w:pP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06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令第590号）；《关于推进国有土地上房屋征收与补偿信息公开工作的实施意见》（建房[2012]84号）；《关于进一步加强国有土地上房屋征收与补偿信息公开工作的通知》（建房〔2013〕133号）</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自治县人民政府</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vAlign w:val="center"/>
          </w:tcPr>
          <w:p>
            <w:pPr>
              <w:jc w:val="center"/>
              <w:rPr>
                <w:rFonts w:hint="eastAsia" w:ascii="仿宋_GB2312" w:hAnsi="宋体" w:eastAsia="仿宋_GB2312"/>
                <w:color w:val="000000"/>
                <w:sz w:val="18"/>
                <w:szCs w:val="18"/>
              </w:rPr>
            </w:pP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06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令第590号）；《关于推进国有土地上房屋征收与补偿信息公开工作的实施意见》（建房[2012]84号）；《关于进一步加强国有土地上房屋征收与补偿信息公开工作的通知》（建房〔2013〕133号）</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自治县人民政府</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■政府网站</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房地产估价机构确定</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房地产估价机构选定或确定通知。</w:t>
            </w:r>
          </w:p>
        </w:tc>
        <w:tc>
          <w:tcPr>
            <w:tcW w:w="306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令第590号）；《国有土地上房屋征收评估办法》（建房[2011]77号）；《关于推进国有土地上房屋征收与补偿信息公开工作的实施意见》（建房[2012]84号）；《关于进一步加强国有土地上房屋征收与补偿信息公开工作的通知》（建房〔2013〕133号）</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自治县房屋征收部门</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pPr>
              <w:jc w:val="center"/>
              <w:rPr>
                <w:rFonts w:hint="eastAsia" w:ascii="仿宋_GB2312" w:hAnsi="宋体" w:eastAsia="仿宋_GB2312"/>
                <w:color w:val="000000"/>
                <w:sz w:val="18"/>
                <w:szCs w:val="18"/>
              </w:rPr>
            </w:pP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vAlign w:val="center"/>
          </w:tcPr>
          <w:p>
            <w:pPr>
              <w:jc w:val="center"/>
              <w:rPr>
                <w:rFonts w:hint="eastAsia" w:ascii="仿宋_GB2312" w:hAnsi="宋体" w:eastAsia="仿宋_GB2312"/>
                <w:color w:val="000000"/>
                <w:sz w:val="18"/>
                <w:szCs w:val="18"/>
              </w:rPr>
            </w:pP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被征收房屋评估</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分户的初步评估结果。</w:t>
            </w:r>
          </w:p>
        </w:tc>
        <w:tc>
          <w:tcPr>
            <w:tcW w:w="306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令第590号）；《国有土地上房屋征收评估办法》（建房[2011]77号）；《关于推进国有土地上房屋征收与补偿信息公开工作的实施意见》（建房[2012]84号）；《关于进一步加强国有土地上房屋征收与补偿信息公开工作的通知》（建房〔2013〕133号）</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自治县房屋征收部门</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Merge w:val="continue"/>
            <w:vAlign w:val="center"/>
          </w:tcPr>
          <w:p>
            <w:pPr>
              <w:jc w:val="center"/>
              <w:rPr>
                <w:rFonts w:hint="eastAsia" w:ascii="仿宋_GB2312" w:hAnsi="宋体" w:eastAsia="仿宋_GB2312"/>
                <w:color w:val="000000"/>
                <w:sz w:val="18"/>
                <w:szCs w:val="18"/>
              </w:rPr>
            </w:pP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06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令第590号）；《关于推进国有土地上房屋征收与补偿信息公开工作的实施意见》（建房[2012]84号）；《关于进一步加强国有土地上房屋征收与补偿信息公开工作的通知》（建房〔2013〕133号）</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自治县房屋征收部门</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restart"/>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063" w:type="dxa"/>
            <w:vAlign w:val="center"/>
          </w:tcPr>
          <w:p>
            <w:pPr>
              <w:rPr>
                <w:rFonts w:ascii="Times New Roman" w:hAnsi="Times New Roman" w:eastAsia="仿宋_GB2312"/>
                <w:color w:val="000000"/>
                <w:sz w:val="18"/>
                <w:szCs w:val="18"/>
              </w:rPr>
            </w:pPr>
            <w:r>
              <w:rPr>
                <w:rFonts w:ascii="Times New Roman" w:hAnsi="Times New Roman" w:eastAsia="仿宋_GB2312"/>
                <w:color w:val="000000"/>
                <w:sz w:val="18"/>
                <w:szCs w:val="18"/>
              </w:rPr>
              <w:t>《国有土地上房屋征收与补偿条例》（国令第590号）；《关于推进国有土地上房屋征收与补偿信息公开工作的实施意见》（建房[2012]84号）；《关于进一步加强国有土地上房屋征收与补偿信息公开工作的通知》（建房〔2013〕133号）</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自治县房屋征收部门</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vMerge w:val="continue"/>
            <w:vAlign w:val="center"/>
          </w:tcPr>
          <w:p>
            <w:pPr>
              <w:jc w:val="center"/>
              <w:rPr>
                <w:rFonts w:hint="eastAsia" w:ascii="仿宋_GB2312" w:hAnsi="宋体" w:eastAsia="仿宋_GB2312"/>
                <w:color w:val="000000"/>
                <w:sz w:val="18"/>
                <w:szCs w:val="18"/>
              </w:rPr>
            </w:pPr>
          </w:p>
        </w:tc>
        <w:tc>
          <w:tcPr>
            <w:tcW w:w="1276"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226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063" w:type="dxa"/>
            <w:vAlign w:val="center"/>
          </w:tcPr>
          <w:p>
            <w:pPr>
              <w:rPr>
                <w:rFonts w:hint="eastAsia" w:ascii="仿宋_GB2312" w:hAnsi="宋体" w:eastAsia="仿宋_GB2312"/>
                <w:color w:val="000000"/>
                <w:sz w:val="18"/>
                <w:szCs w:val="18"/>
              </w:rPr>
            </w:pPr>
            <w:r>
              <w:rPr>
                <w:rFonts w:ascii="Times New Roman" w:hAnsi="Times New Roman" w:eastAsia="仿宋_GB2312"/>
                <w:color w:val="000000"/>
                <w:sz w:val="18"/>
                <w:szCs w:val="18"/>
              </w:rPr>
              <w:t>《国有土地上房屋征收与补偿条例》（国令第590号）；《关于推进国有土地上房屋征收与补偿信息公开工作的实施意见》（建房[2012]84号）；《关于进一步加强国有土地上房屋征收与补偿信息公开工作的通知》（建房〔2013〕133号）</w:t>
            </w:r>
          </w:p>
        </w:tc>
        <w:tc>
          <w:tcPr>
            <w:tcW w:w="147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227"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自治县人民政府</w:t>
            </w:r>
          </w:p>
        </w:tc>
        <w:tc>
          <w:tcPr>
            <w:tcW w:w="1183"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617"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658"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61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zNjdlYzY1OTQxNGM0NjE3Y2E2ZmQ3MGNlNGQ0NzIifQ=="/>
  </w:docVars>
  <w:rsids>
    <w:rsidRoot w:val="007931C1"/>
    <w:rsid w:val="005F75A7"/>
    <w:rsid w:val="007931C1"/>
    <w:rsid w:val="00AE07BA"/>
    <w:rsid w:val="00C63884"/>
    <w:rsid w:val="7F9D3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357</Words>
  <Characters>2039</Characters>
  <Lines>16</Lines>
  <Paragraphs>4</Paragraphs>
  <TotalTime>7</TotalTime>
  <ScaleCrop>false</ScaleCrop>
  <LinksUpToDate>false</LinksUpToDate>
  <CharactersWithSpaces>2392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2020-11-30T06:43:00Z</dcterms:created>
  <dc:creator>NTKO</dc:creator>
  <cp:lastModifiedBy>此生随梦追</cp:lastModifiedBy>
  <dcterms:modified xsi:type="dcterms:W3CDTF">2024-05-06T03:08:43Z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E9429173C855441D8304F436828A7BBA_12</vt:lpwstr>
  </property>
</Properties>
</file>