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方正小标宋简体" w:eastAsia="方正小标宋简体"/>
          <w:sz w:val="44"/>
          <w:szCs w:val="44"/>
        </w:rPr>
      </w:pPr>
      <w:r>
        <w:rPr>
          <w:rFonts w:hint="eastAsia" w:ascii="方正小标宋简体" w:eastAsia="方正小标宋简体"/>
          <w:sz w:val="44"/>
          <w:szCs w:val="44"/>
        </w:rPr>
        <w:t>广西壮族自治区公共资源交易平台系统</w:t>
      </w:r>
    </w:p>
    <w:p>
      <w:pPr>
        <w:spacing w:line="570" w:lineRule="exact"/>
        <w:jc w:val="center"/>
        <w:rPr>
          <w:rFonts w:ascii="方正小标宋简体" w:eastAsia="方正小标宋简体"/>
          <w:sz w:val="44"/>
          <w:szCs w:val="44"/>
        </w:rPr>
      </w:pPr>
      <w:r>
        <w:rPr>
          <w:rFonts w:ascii="方正小标宋简体" w:eastAsia="方正小标宋简体"/>
          <w:sz w:val="44"/>
          <w:szCs w:val="44"/>
        </w:rPr>
        <w:t>V2.0</w:t>
      </w:r>
      <w:r>
        <w:rPr>
          <w:rFonts w:hint="eastAsia" w:ascii="方正小标宋简体" w:eastAsia="方正小标宋简体"/>
          <w:sz w:val="44"/>
          <w:szCs w:val="44"/>
        </w:rPr>
        <w:t>版本操作要点</w:t>
      </w:r>
    </w:p>
    <w:p>
      <w:pPr>
        <w:spacing w:line="570" w:lineRule="exact"/>
        <w:rPr>
          <w:rFonts w:ascii="仿宋_GB2312" w:eastAsia="仿宋_GB2312"/>
          <w:sz w:val="32"/>
          <w:szCs w:val="32"/>
        </w:rPr>
      </w:pPr>
    </w:p>
    <w:p>
      <w:pPr>
        <w:spacing w:line="570" w:lineRule="exact"/>
        <w:ind w:firstLine="645"/>
        <w:rPr>
          <w:rFonts w:ascii="仿宋_GB2312" w:eastAsia="仿宋_GB2312"/>
          <w:sz w:val="32"/>
          <w:szCs w:val="32"/>
        </w:rPr>
      </w:pPr>
      <w:r>
        <w:rPr>
          <w:rFonts w:hint="eastAsia" w:ascii="仿宋_GB2312" w:eastAsia="仿宋_GB2312"/>
          <w:sz w:val="32"/>
          <w:szCs w:val="32"/>
        </w:rPr>
        <w:t>广西壮族自治区公共资源交易平台系统（以下简称平台系统）在</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9</w:t>
      </w:r>
      <w:r>
        <w:rPr>
          <w:rFonts w:hint="eastAsia" w:ascii="仿宋_GB2312" w:eastAsia="仿宋_GB2312"/>
          <w:sz w:val="32"/>
          <w:szCs w:val="32"/>
        </w:rPr>
        <w:t>月</w:t>
      </w:r>
      <w:r>
        <w:rPr>
          <w:rFonts w:ascii="仿宋_GB2312" w:eastAsia="仿宋_GB2312"/>
          <w:sz w:val="32"/>
          <w:szCs w:val="32"/>
        </w:rPr>
        <w:t>5</w:t>
      </w:r>
      <w:r>
        <w:rPr>
          <w:rFonts w:hint="eastAsia" w:ascii="仿宋_GB2312" w:eastAsia="仿宋_GB2312"/>
          <w:sz w:val="32"/>
          <w:szCs w:val="32"/>
        </w:rPr>
        <w:t>日进行重大更新，更新后将改版为</w:t>
      </w:r>
      <w:r>
        <w:rPr>
          <w:rFonts w:ascii="仿宋_GB2312" w:eastAsia="仿宋_GB2312"/>
          <w:sz w:val="32"/>
          <w:szCs w:val="32"/>
        </w:rPr>
        <w:t>V2.0</w:t>
      </w:r>
      <w:r>
        <w:rPr>
          <w:rFonts w:hint="eastAsia" w:ascii="仿宋_GB2312" w:eastAsia="仿宋_GB2312"/>
          <w:sz w:val="32"/>
          <w:szCs w:val="32"/>
        </w:rPr>
        <w:t>。为使各市场主体更加清晰操作流程，现将有关重要事项提示如下：</w:t>
      </w:r>
    </w:p>
    <w:p>
      <w:pPr>
        <w:spacing w:line="570" w:lineRule="exact"/>
        <w:ind w:firstLine="645"/>
        <w:rPr>
          <w:rFonts w:ascii="黑体" w:hAnsi="黑体" w:eastAsia="黑体"/>
          <w:sz w:val="32"/>
          <w:szCs w:val="32"/>
        </w:rPr>
      </w:pPr>
      <w:r>
        <w:rPr>
          <w:rFonts w:hint="eastAsia" w:ascii="黑体" w:hAnsi="黑体" w:eastAsia="黑体"/>
          <w:sz w:val="32"/>
          <w:szCs w:val="32"/>
        </w:rPr>
        <w:t>一、招标人注意事项</w:t>
      </w:r>
    </w:p>
    <w:p>
      <w:pPr>
        <w:spacing w:line="570" w:lineRule="exact"/>
        <w:ind w:firstLine="645"/>
        <w:rPr>
          <w:rFonts w:ascii="仿宋_GB2312" w:hAnsi="Batang" w:eastAsia="仿宋_GB2312"/>
          <w:sz w:val="32"/>
          <w:szCs w:val="32"/>
        </w:rPr>
      </w:pPr>
      <w:r>
        <w:rPr>
          <w:rFonts w:ascii="仿宋_GB2312" w:hAnsi="Batang" w:eastAsia="仿宋_GB2312"/>
          <w:sz w:val="32"/>
          <w:szCs w:val="32"/>
        </w:rPr>
        <w:t>1</w:t>
      </w:r>
      <w:r>
        <w:rPr>
          <w:rFonts w:hint="eastAsia" w:ascii="仿宋_GB2312" w:hAnsi="Batang" w:eastAsia="仿宋_GB2312"/>
          <w:sz w:val="32"/>
          <w:szCs w:val="32"/>
        </w:rPr>
        <w:t>、招</w:t>
      </w:r>
      <w:r>
        <w:rPr>
          <w:rFonts w:hint="eastAsia" w:ascii="仿宋_GB2312" w:hAnsi="黑体" w:eastAsia="仿宋_GB2312"/>
          <w:sz w:val="32"/>
          <w:szCs w:val="32"/>
        </w:rPr>
        <w:t>标</w:t>
      </w:r>
      <w:r>
        <w:rPr>
          <w:rFonts w:hint="eastAsia" w:ascii="仿宋_GB2312" w:hAnsi="Batang" w:eastAsia="仿宋_GB2312"/>
          <w:sz w:val="32"/>
          <w:szCs w:val="32"/>
        </w:rPr>
        <w:t>人及</w:t>
      </w:r>
      <w:r>
        <w:rPr>
          <w:rFonts w:hint="eastAsia" w:ascii="仿宋_GB2312" w:hAnsi="黑体" w:eastAsia="仿宋_GB2312"/>
          <w:sz w:val="32"/>
          <w:szCs w:val="32"/>
        </w:rPr>
        <w:t>时</w:t>
      </w:r>
      <w:r>
        <w:rPr>
          <w:rFonts w:hint="eastAsia" w:ascii="仿宋_GB2312" w:hAnsi="Batang" w:eastAsia="仿宋_GB2312"/>
          <w:sz w:val="32"/>
          <w:szCs w:val="32"/>
        </w:rPr>
        <w:t>建立平台系</w:t>
      </w:r>
      <w:r>
        <w:rPr>
          <w:rFonts w:hint="eastAsia" w:ascii="仿宋_GB2312" w:hAnsi="黑体" w:eastAsia="仿宋_GB2312"/>
          <w:sz w:val="32"/>
          <w:szCs w:val="32"/>
        </w:rPr>
        <w:t>统账号</w:t>
      </w:r>
      <w:r>
        <w:rPr>
          <w:rFonts w:hint="eastAsia" w:ascii="仿宋_GB2312" w:hAnsi="Batang" w:eastAsia="仿宋_GB2312"/>
          <w:sz w:val="32"/>
          <w:szCs w:val="32"/>
        </w:rPr>
        <w:t>，</w:t>
      </w:r>
      <w:bookmarkStart w:id="0" w:name="_GoBack"/>
      <w:r>
        <w:rPr>
          <w:rFonts w:hint="eastAsia" w:ascii="仿宋_GB2312" w:hAnsi="Batang" w:eastAsia="仿宋_GB2312"/>
          <w:sz w:val="32"/>
          <w:szCs w:val="32"/>
        </w:rPr>
        <w:t>登</w:t>
      </w:r>
      <w:r>
        <w:rPr>
          <w:rFonts w:hint="eastAsia" w:ascii="仿宋_GB2312" w:hAnsi="黑体" w:eastAsia="仿宋_GB2312"/>
          <w:sz w:val="32"/>
          <w:szCs w:val="32"/>
        </w:rPr>
        <w:t>录</w:t>
      </w:r>
      <w:bookmarkEnd w:id="0"/>
      <w:r>
        <w:rPr>
          <w:rFonts w:hint="eastAsia" w:ascii="仿宋_GB2312" w:hAnsi="Batang" w:eastAsia="仿宋_GB2312"/>
          <w:sz w:val="32"/>
          <w:szCs w:val="32"/>
        </w:rPr>
        <w:t>后通</w:t>
      </w:r>
      <w:r>
        <w:rPr>
          <w:rFonts w:hint="eastAsia" w:ascii="仿宋_GB2312" w:hAnsi="黑体" w:eastAsia="仿宋_GB2312"/>
          <w:sz w:val="32"/>
          <w:szCs w:val="32"/>
        </w:rPr>
        <w:t>过</w:t>
      </w:r>
      <w:r>
        <w:rPr>
          <w:rFonts w:hint="eastAsia" w:ascii="仿宋_GB2312" w:hAnsi="Batang" w:eastAsia="仿宋_GB2312"/>
          <w:sz w:val="32"/>
          <w:szCs w:val="32"/>
        </w:rPr>
        <w:t>“事前”</w:t>
      </w:r>
      <w:r>
        <w:rPr>
          <w:rFonts w:hint="eastAsia" w:ascii="仿宋_GB2312" w:hAnsi="黑体" w:eastAsia="仿宋_GB2312"/>
          <w:sz w:val="32"/>
          <w:szCs w:val="32"/>
        </w:rPr>
        <w:t>监</w:t>
      </w:r>
      <w:r>
        <w:rPr>
          <w:rFonts w:hint="eastAsia" w:ascii="仿宋_GB2312" w:hAnsi="Batang" w:eastAsia="仿宋_GB2312"/>
          <w:sz w:val="32"/>
          <w:szCs w:val="32"/>
        </w:rPr>
        <w:t>管子系</w:t>
      </w:r>
      <w:r>
        <w:rPr>
          <w:rFonts w:hint="eastAsia" w:ascii="仿宋_GB2312" w:hAnsi="黑体" w:eastAsia="仿宋_GB2312"/>
          <w:sz w:val="32"/>
          <w:szCs w:val="32"/>
        </w:rPr>
        <w:t>统</w:t>
      </w:r>
      <w:r>
        <w:rPr>
          <w:rFonts w:hint="eastAsia" w:ascii="仿宋_GB2312" w:hAnsi="Batang" w:eastAsia="仿宋_GB2312"/>
          <w:sz w:val="32"/>
          <w:szCs w:val="32"/>
        </w:rPr>
        <w:t>完成</w:t>
      </w:r>
      <w:r>
        <w:rPr>
          <w:rFonts w:hint="eastAsia" w:ascii="仿宋_GB2312" w:hAnsi="黑体" w:eastAsia="仿宋_GB2312"/>
          <w:sz w:val="32"/>
          <w:szCs w:val="32"/>
        </w:rPr>
        <w:t>审</w:t>
      </w:r>
      <w:r>
        <w:rPr>
          <w:rFonts w:hint="eastAsia" w:ascii="仿宋_GB2312" w:hAnsi="Batang" w:eastAsia="仿宋_GB2312"/>
          <w:sz w:val="32"/>
          <w:szCs w:val="32"/>
        </w:rPr>
        <w:t>批</w:t>
      </w:r>
      <w:r>
        <w:rPr>
          <w:rFonts w:hint="eastAsia" w:ascii="仿宋_GB2312" w:hAnsi="黑体" w:eastAsia="仿宋_GB2312"/>
          <w:sz w:val="32"/>
          <w:szCs w:val="32"/>
        </w:rPr>
        <w:t>项</w:t>
      </w:r>
      <w:r>
        <w:rPr>
          <w:rFonts w:hint="eastAsia" w:ascii="仿宋_GB2312" w:hAnsi="Batang" w:eastAsia="仿宋_GB2312"/>
          <w:sz w:val="32"/>
          <w:szCs w:val="32"/>
        </w:rPr>
        <w:t>目</w:t>
      </w:r>
      <w:r>
        <w:rPr>
          <w:rFonts w:hint="eastAsia" w:ascii="仿宋_GB2312" w:hAnsi="黑体" w:eastAsia="仿宋_GB2312"/>
          <w:sz w:val="32"/>
          <w:szCs w:val="32"/>
        </w:rPr>
        <w:t>备</w:t>
      </w:r>
      <w:r>
        <w:rPr>
          <w:rFonts w:hint="eastAsia" w:ascii="仿宋_GB2312" w:hAnsi="Batang" w:eastAsia="仿宋_GB2312"/>
          <w:sz w:val="32"/>
          <w:szCs w:val="32"/>
        </w:rPr>
        <w:t>案、新建招</w:t>
      </w:r>
      <w:r>
        <w:rPr>
          <w:rFonts w:hint="eastAsia" w:ascii="仿宋_GB2312" w:hAnsi="黑体" w:eastAsia="仿宋_GB2312"/>
          <w:sz w:val="32"/>
          <w:szCs w:val="32"/>
        </w:rPr>
        <w:t>标项</w:t>
      </w:r>
      <w:r>
        <w:rPr>
          <w:rFonts w:hint="eastAsia" w:ascii="仿宋_GB2312" w:hAnsi="Batang" w:eastAsia="仿宋_GB2312"/>
          <w:sz w:val="32"/>
          <w:szCs w:val="32"/>
        </w:rPr>
        <w:t>目、</w:t>
      </w:r>
      <w:r>
        <w:rPr>
          <w:rFonts w:hint="eastAsia" w:ascii="仿宋_GB2312" w:hAnsi="黑体" w:eastAsia="仿宋_GB2312"/>
          <w:sz w:val="32"/>
          <w:szCs w:val="32"/>
        </w:rPr>
        <w:t>选择</w:t>
      </w:r>
      <w:r>
        <w:rPr>
          <w:rFonts w:hint="eastAsia" w:ascii="仿宋_GB2312" w:hAnsi="Batang" w:eastAsia="仿宋_GB2312"/>
          <w:sz w:val="32"/>
          <w:szCs w:val="32"/>
        </w:rPr>
        <w:t>代理机</w:t>
      </w:r>
      <w:r>
        <w:rPr>
          <w:rFonts w:hint="eastAsia" w:ascii="仿宋_GB2312" w:hAnsi="黑体" w:eastAsia="仿宋_GB2312"/>
          <w:sz w:val="32"/>
          <w:szCs w:val="32"/>
        </w:rPr>
        <w:t>构</w:t>
      </w:r>
      <w:r>
        <w:rPr>
          <w:rFonts w:hint="eastAsia" w:ascii="仿宋_GB2312" w:hAnsi="Batang" w:eastAsia="仿宋_GB2312"/>
          <w:sz w:val="32"/>
          <w:szCs w:val="32"/>
        </w:rPr>
        <w:t>（可</w:t>
      </w:r>
      <w:r>
        <w:rPr>
          <w:rFonts w:hint="eastAsia" w:ascii="仿宋_GB2312" w:hAnsi="黑体" w:eastAsia="仿宋_GB2312"/>
          <w:sz w:val="32"/>
          <w:szCs w:val="32"/>
        </w:rPr>
        <w:t>实现</w:t>
      </w:r>
      <w:r>
        <w:rPr>
          <w:rFonts w:hint="eastAsia" w:ascii="仿宋_GB2312" w:hAnsi="Batang" w:eastAsia="仿宋_GB2312"/>
          <w:sz w:val="32"/>
          <w:szCs w:val="32"/>
        </w:rPr>
        <w:t>在</w:t>
      </w:r>
      <w:r>
        <w:rPr>
          <w:rFonts w:hint="eastAsia" w:ascii="仿宋_GB2312" w:hAnsi="黑体" w:eastAsia="仿宋_GB2312"/>
          <w:sz w:val="32"/>
          <w:szCs w:val="32"/>
        </w:rPr>
        <w:t>线签订</w:t>
      </w:r>
      <w:r>
        <w:rPr>
          <w:rFonts w:hint="eastAsia" w:ascii="仿宋_GB2312" w:hAnsi="Batang" w:eastAsia="仿宋_GB2312"/>
          <w:sz w:val="32"/>
          <w:szCs w:val="32"/>
        </w:rPr>
        <w:t>代理合同）、</w:t>
      </w:r>
      <w:r>
        <w:rPr>
          <w:rFonts w:hint="eastAsia" w:ascii="仿宋_GB2312" w:hAnsi="黑体" w:eastAsia="仿宋_GB2312"/>
          <w:sz w:val="32"/>
          <w:szCs w:val="32"/>
        </w:rPr>
        <w:t>选择</w:t>
      </w:r>
      <w:r>
        <w:rPr>
          <w:rFonts w:hint="eastAsia" w:ascii="仿宋_GB2312" w:hAnsi="Batang" w:eastAsia="仿宋_GB2312"/>
          <w:sz w:val="32"/>
          <w:szCs w:val="32"/>
        </w:rPr>
        <w:t>交易平台、</w:t>
      </w:r>
      <w:r>
        <w:rPr>
          <w:rFonts w:hint="eastAsia" w:ascii="仿宋_GB2312" w:hAnsi="黑体" w:eastAsia="仿宋_GB2312"/>
          <w:sz w:val="32"/>
          <w:szCs w:val="32"/>
        </w:rPr>
        <w:t>选择</w:t>
      </w:r>
      <w:r>
        <w:rPr>
          <w:rFonts w:hint="eastAsia" w:ascii="仿宋_GB2312" w:hAnsi="Batang" w:eastAsia="仿宋_GB2312"/>
          <w:sz w:val="32"/>
          <w:szCs w:val="32"/>
        </w:rPr>
        <w:t>招</w:t>
      </w:r>
      <w:r>
        <w:rPr>
          <w:rFonts w:hint="eastAsia" w:ascii="仿宋_GB2312" w:hAnsi="黑体" w:eastAsia="仿宋_GB2312"/>
          <w:sz w:val="32"/>
          <w:szCs w:val="32"/>
        </w:rPr>
        <w:t>标项</w:t>
      </w:r>
      <w:r>
        <w:rPr>
          <w:rFonts w:hint="eastAsia" w:ascii="仿宋_GB2312" w:hAnsi="Batang" w:eastAsia="仿宋_GB2312"/>
          <w:sz w:val="32"/>
          <w:szCs w:val="32"/>
        </w:rPr>
        <w:t>目行政</w:t>
      </w:r>
      <w:r>
        <w:rPr>
          <w:rFonts w:hint="eastAsia" w:ascii="仿宋_GB2312" w:hAnsi="黑体" w:eastAsia="仿宋_GB2312"/>
          <w:sz w:val="32"/>
          <w:szCs w:val="32"/>
        </w:rPr>
        <w:t>监</w:t>
      </w:r>
      <w:r>
        <w:rPr>
          <w:rFonts w:hint="eastAsia" w:ascii="仿宋_GB2312" w:hAnsi="Batang" w:eastAsia="仿宋_GB2312"/>
          <w:sz w:val="32"/>
          <w:szCs w:val="32"/>
        </w:rPr>
        <w:t>管部</w:t>
      </w:r>
      <w:r>
        <w:rPr>
          <w:rFonts w:hint="eastAsia" w:ascii="仿宋_GB2312" w:hAnsi="黑体" w:eastAsia="仿宋_GB2312"/>
          <w:sz w:val="32"/>
          <w:szCs w:val="32"/>
        </w:rPr>
        <w:t>门</w:t>
      </w:r>
      <w:r>
        <w:rPr>
          <w:rFonts w:hint="eastAsia" w:ascii="仿宋_GB2312" w:hAnsi="Batang" w:eastAsia="仿宋_GB2312"/>
          <w:sz w:val="32"/>
          <w:szCs w:val="32"/>
        </w:rPr>
        <w:t>等</w:t>
      </w:r>
      <w:r>
        <w:rPr>
          <w:rFonts w:hint="eastAsia" w:ascii="仿宋_GB2312" w:hAnsi="黑体" w:eastAsia="仿宋_GB2312"/>
          <w:sz w:val="32"/>
          <w:szCs w:val="32"/>
        </w:rPr>
        <w:t>环节</w:t>
      </w:r>
      <w:r>
        <w:rPr>
          <w:rFonts w:hint="eastAsia" w:ascii="仿宋_GB2312" w:hAnsi="Batang" w:eastAsia="仿宋_GB2312"/>
          <w:sz w:val="32"/>
          <w:szCs w:val="32"/>
        </w:rPr>
        <w:t>信息，通</w:t>
      </w:r>
      <w:r>
        <w:rPr>
          <w:rFonts w:hint="eastAsia" w:ascii="仿宋_GB2312" w:hAnsi="黑体" w:eastAsia="仿宋_GB2312"/>
          <w:sz w:val="32"/>
          <w:szCs w:val="32"/>
        </w:rPr>
        <w:t>过</w:t>
      </w:r>
      <w:r>
        <w:rPr>
          <w:rFonts w:hint="eastAsia" w:ascii="仿宋_GB2312" w:hAnsi="Batang" w:eastAsia="仿宋_GB2312"/>
          <w:sz w:val="32"/>
          <w:szCs w:val="32"/>
        </w:rPr>
        <w:t>“事后”</w:t>
      </w:r>
      <w:r>
        <w:rPr>
          <w:rFonts w:hint="eastAsia" w:ascii="仿宋_GB2312" w:hAnsi="黑体" w:eastAsia="仿宋_GB2312"/>
          <w:sz w:val="32"/>
          <w:szCs w:val="32"/>
        </w:rPr>
        <w:t>监</w:t>
      </w:r>
      <w:r>
        <w:rPr>
          <w:rFonts w:hint="eastAsia" w:ascii="仿宋_GB2312" w:hAnsi="Batang" w:eastAsia="仿宋_GB2312"/>
          <w:sz w:val="32"/>
          <w:szCs w:val="32"/>
        </w:rPr>
        <w:t>管子系</w:t>
      </w:r>
      <w:r>
        <w:rPr>
          <w:rFonts w:hint="eastAsia" w:ascii="仿宋_GB2312" w:hAnsi="黑体" w:eastAsia="仿宋_GB2312"/>
          <w:sz w:val="32"/>
          <w:szCs w:val="32"/>
        </w:rPr>
        <w:t>统</w:t>
      </w:r>
      <w:r>
        <w:rPr>
          <w:rFonts w:hint="eastAsia" w:ascii="仿宋_GB2312" w:hAnsi="Batang" w:eastAsia="仿宋_GB2312"/>
          <w:sz w:val="32"/>
          <w:szCs w:val="32"/>
        </w:rPr>
        <w:t>完成合同</w:t>
      </w:r>
      <w:r>
        <w:rPr>
          <w:rFonts w:hint="eastAsia" w:ascii="仿宋_GB2312" w:hAnsi="黑体" w:eastAsia="仿宋_GB2312"/>
          <w:sz w:val="32"/>
          <w:szCs w:val="32"/>
        </w:rPr>
        <w:t>备</w:t>
      </w:r>
      <w:r>
        <w:rPr>
          <w:rFonts w:hint="eastAsia" w:ascii="仿宋_GB2312" w:hAnsi="Batang" w:eastAsia="仿宋_GB2312"/>
          <w:sz w:val="32"/>
          <w:szCs w:val="32"/>
        </w:rPr>
        <w:t>案（可</w:t>
      </w:r>
      <w:r>
        <w:rPr>
          <w:rFonts w:hint="eastAsia" w:ascii="仿宋_GB2312" w:hAnsi="黑体" w:eastAsia="仿宋_GB2312"/>
          <w:sz w:val="32"/>
          <w:szCs w:val="32"/>
        </w:rPr>
        <w:t>实现</w:t>
      </w:r>
      <w:r>
        <w:rPr>
          <w:rFonts w:hint="eastAsia" w:ascii="仿宋_GB2312" w:hAnsi="Batang" w:eastAsia="仿宋_GB2312"/>
          <w:sz w:val="32"/>
          <w:szCs w:val="32"/>
        </w:rPr>
        <w:t>在</w:t>
      </w:r>
      <w:r>
        <w:rPr>
          <w:rFonts w:hint="eastAsia" w:ascii="仿宋_GB2312" w:hAnsi="黑体" w:eastAsia="仿宋_GB2312"/>
          <w:sz w:val="32"/>
          <w:szCs w:val="32"/>
        </w:rPr>
        <w:t>线签订</w:t>
      </w:r>
      <w:r>
        <w:rPr>
          <w:rFonts w:hint="eastAsia" w:ascii="仿宋_GB2312" w:hAnsi="Batang" w:eastAsia="仿宋_GB2312"/>
          <w:sz w:val="32"/>
          <w:szCs w:val="32"/>
        </w:rPr>
        <w:t>中</w:t>
      </w:r>
      <w:r>
        <w:rPr>
          <w:rFonts w:hint="eastAsia" w:ascii="仿宋_GB2312" w:hAnsi="黑体" w:eastAsia="仿宋_GB2312"/>
          <w:sz w:val="32"/>
          <w:szCs w:val="32"/>
        </w:rPr>
        <w:t>标</w:t>
      </w:r>
      <w:r>
        <w:rPr>
          <w:rFonts w:hint="eastAsia" w:ascii="仿宋_GB2312" w:hAnsi="Batang" w:eastAsia="仿宋_GB2312"/>
          <w:sz w:val="32"/>
          <w:szCs w:val="32"/>
        </w:rPr>
        <w:t>合同）、</w:t>
      </w:r>
      <w:r>
        <w:rPr>
          <w:rFonts w:hint="eastAsia" w:ascii="仿宋_GB2312" w:hAnsi="黑体" w:eastAsia="仿宋_GB2312"/>
          <w:sz w:val="32"/>
          <w:szCs w:val="32"/>
        </w:rPr>
        <w:t>项</w:t>
      </w:r>
      <w:r>
        <w:rPr>
          <w:rFonts w:hint="eastAsia" w:ascii="仿宋_GB2312" w:hAnsi="Batang" w:eastAsia="仿宋_GB2312"/>
          <w:sz w:val="32"/>
          <w:szCs w:val="32"/>
        </w:rPr>
        <w:t>目</w:t>
      </w:r>
      <w:r>
        <w:rPr>
          <w:rFonts w:hint="eastAsia" w:ascii="仿宋_GB2312" w:hAnsi="黑体" w:eastAsia="仿宋_GB2312"/>
          <w:sz w:val="32"/>
          <w:szCs w:val="32"/>
        </w:rPr>
        <w:t>进</w:t>
      </w:r>
      <w:r>
        <w:rPr>
          <w:rFonts w:hint="eastAsia" w:ascii="仿宋_GB2312" w:hAnsi="Batang" w:eastAsia="仿宋_GB2312"/>
          <w:sz w:val="32"/>
          <w:szCs w:val="32"/>
        </w:rPr>
        <w:t>程、履</w:t>
      </w:r>
      <w:r>
        <w:rPr>
          <w:rFonts w:hint="eastAsia" w:ascii="仿宋_GB2312" w:hAnsi="黑体" w:eastAsia="仿宋_GB2312"/>
          <w:sz w:val="32"/>
          <w:szCs w:val="32"/>
        </w:rPr>
        <w:t>约</w:t>
      </w:r>
      <w:r>
        <w:rPr>
          <w:rFonts w:hint="eastAsia" w:ascii="仿宋_GB2312" w:hAnsi="Batang" w:eastAsia="仿宋_GB2312"/>
          <w:sz w:val="32"/>
          <w:szCs w:val="32"/>
        </w:rPr>
        <w:t>信息等</w:t>
      </w:r>
      <w:r>
        <w:rPr>
          <w:rFonts w:hint="eastAsia" w:ascii="仿宋_GB2312" w:hAnsi="黑体" w:eastAsia="仿宋_GB2312"/>
          <w:sz w:val="32"/>
          <w:szCs w:val="32"/>
        </w:rPr>
        <w:t>环节</w:t>
      </w:r>
      <w:r>
        <w:rPr>
          <w:rFonts w:hint="eastAsia" w:ascii="仿宋_GB2312" w:hAnsi="Batang" w:eastAsia="仿宋_GB2312"/>
          <w:sz w:val="32"/>
          <w:szCs w:val="32"/>
        </w:rPr>
        <w:t>信息。</w:t>
      </w:r>
    </w:p>
    <w:p>
      <w:pPr>
        <w:spacing w:line="570" w:lineRule="exact"/>
        <w:ind w:firstLine="645"/>
        <w:rPr>
          <w:rFonts w:ascii="仿宋_GB2312" w:hAnsi="Batang" w:eastAsia="仿宋_GB2312"/>
          <w:sz w:val="32"/>
          <w:szCs w:val="32"/>
        </w:rPr>
      </w:pPr>
      <w:r>
        <w:rPr>
          <w:rFonts w:ascii="仿宋_GB2312" w:hAnsi="Batang" w:eastAsia="仿宋_GB2312"/>
          <w:sz w:val="32"/>
          <w:szCs w:val="32"/>
        </w:rPr>
        <w:t>2</w:t>
      </w:r>
      <w:r>
        <w:rPr>
          <w:rFonts w:hint="eastAsia" w:ascii="仿宋_GB2312" w:hAnsi="Batang" w:eastAsia="仿宋_GB2312"/>
          <w:sz w:val="32"/>
          <w:szCs w:val="32"/>
        </w:rPr>
        <w:t>、招</w:t>
      </w:r>
      <w:r>
        <w:rPr>
          <w:rFonts w:hint="eastAsia" w:ascii="仿宋_GB2312" w:hAnsi="黑体" w:eastAsia="仿宋_GB2312"/>
          <w:sz w:val="32"/>
          <w:szCs w:val="32"/>
        </w:rPr>
        <w:t>标</w:t>
      </w:r>
      <w:r>
        <w:rPr>
          <w:rFonts w:hint="eastAsia" w:ascii="仿宋_GB2312" w:hAnsi="Batang" w:eastAsia="仿宋_GB2312"/>
          <w:sz w:val="32"/>
          <w:szCs w:val="32"/>
        </w:rPr>
        <w:t>人及</w:t>
      </w:r>
      <w:r>
        <w:rPr>
          <w:rFonts w:hint="eastAsia" w:ascii="仿宋_GB2312" w:hAnsi="黑体" w:eastAsia="仿宋_GB2312"/>
          <w:sz w:val="32"/>
          <w:szCs w:val="32"/>
        </w:rPr>
        <w:t>时办</w:t>
      </w:r>
      <w:r>
        <w:rPr>
          <w:rFonts w:hint="eastAsia" w:ascii="仿宋_GB2312" w:hAnsi="Batang" w:eastAsia="仿宋_GB2312"/>
          <w:sz w:val="32"/>
          <w:szCs w:val="32"/>
        </w:rPr>
        <w:t>理平台系</w:t>
      </w:r>
      <w:r>
        <w:rPr>
          <w:rFonts w:hint="eastAsia" w:ascii="仿宋_GB2312" w:hAnsi="黑体" w:eastAsia="仿宋_GB2312"/>
          <w:sz w:val="32"/>
          <w:szCs w:val="32"/>
        </w:rPr>
        <w:t>统</w:t>
      </w:r>
      <w:r>
        <w:rPr>
          <w:rFonts w:hint="eastAsia" w:ascii="仿宋_GB2312" w:hAnsi="Batang" w:eastAsia="仿宋_GB2312"/>
          <w:sz w:val="32"/>
          <w:szCs w:val="32"/>
        </w:rPr>
        <w:t>互</w:t>
      </w:r>
      <w:r>
        <w:rPr>
          <w:rFonts w:hint="eastAsia" w:ascii="仿宋_GB2312" w:hAnsi="黑体" w:eastAsia="仿宋_GB2312"/>
          <w:sz w:val="32"/>
          <w:szCs w:val="32"/>
        </w:rPr>
        <w:t>认</w:t>
      </w:r>
      <w:r>
        <w:rPr>
          <w:rFonts w:hint="eastAsia" w:ascii="仿宋_GB2312" w:hAnsi="Batang" w:eastAsia="仿宋_GB2312"/>
          <w:sz w:val="32"/>
          <w:szCs w:val="32"/>
        </w:rPr>
        <w:t>的</w:t>
      </w:r>
      <w:r>
        <w:rPr>
          <w:rFonts w:ascii="仿宋_GB2312" w:hAnsi="Batang" w:eastAsia="仿宋_GB2312"/>
          <w:sz w:val="32"/>
          <w:szCs w:val="32"/>
        </w:rPr>
        <w:t>CA</w:t>
      </w:r>
      <w:r>
        <w:rPr>
          <w:rFonts w:hint="eastAsia" w:ascii="仿宋_GB2312" w:hAnsi="Batang" w:eastAsia="仿宋_GB2312"/>
          <w:sz w:val="32"/>
          <w:szCs w:val="32"/>
        </w:rPr>
        <w:t>，通</w:t>
      </w:r>
      <w:r>
        <w:rPr>
          <w:rFonts w:hint="eastAsia" w:ascii="仿宋_GB2312" w:hAnsi="黑体" w:eastAsia="仿宋_GB2312"/>
          <w:sz w:val="32"/>
          <w:szCs w:val="32"/>
        </w:rPr>
        <w:t>过单</w:t>
      </w:r>
      <w:r>
        <w:rPr>
          <w:rFonts w:hint="eastAsia" w:ascii="仿宋_GB2312" w:hAnsi="Batang" w:eastAsia="仿宋_GB2312"/>
          <w:sz w:val="32"/>
          <w:szCs w:val="32"/>
        </w:rPr>
        <w:t>位</w:t>
      </w:r>
      <w:r>
        <w:rPr>
          <w:rFonts w:ascii="仿宋_GB2312" w:hAnsi="Batang" w:eastAsia="仿宋_GB2312"/>
          <w:sz w:val="32"/>
          <w:szCs w:val="32"/>
        </w:rPr>
        <w:t>CA</w:t>
      </w:r>
      <w:r>
        <w:rPr>
          <w:rFonts w:hint="eastAsia" w:ascii="仿宋_GB2312" w:hAnsi="Batang" w:eastAsia="仿宋_GB2312"/>
          <w:sz w:val="32"/>
          <w:szCs w:val="32"/>
        </w:rPr>
        <w:t>才能完成代理合同、中</w:t>
      </w:r>
      <w:r>
        <w:rPr>
          <w:rFonts w:hint="eastAsia" w:ascii="仿宋_GB2312" w:hAnsi="黑体" w:eastAsia="仿宋_GB2312"/>
          <w:sz w:val="32"/>
          <w:szCs w:val="32"/>
        </w:rPr>
        <w:t>标</w:t>
      </w:r>
      <w:r>
        <w:rPr>
          <w:rFonts w:hint="eastAsia" w:ascii="仿宋_GB2312" w:hAnsi="Batang" w:eastAsia="仿宋_GB2312"/>
          <w:sz w:val="32"/>
          <w:szCs w:val="32"/>
        </w:rPr>
        <w:t>合同的在</w:t>
      </w:r>
      <w:r>
        <w:rPr>
          <w:rFonts w:hint="eastAsia" w:ascii="仿宋_GB2312" w:hAnsi="黑体" w:eastAsia="仿宋_GB2312"/>
          <w:sz w:val="32"/>
          <w:szCs w:val="32"/>
        </w:rPr>
        <w:t>线签订</w:t>
      </w:r>
      <w:r>
        <w:rPr>
          <w:rFonts w:hint="eastAsia" w:ascii="仿宋_GB2312" w:hAnsi="Batang" w:eastAsia="仿宋_GB2312"/>
          <w:sz w:val="32"/>
          <w:szCs w:val="32"/>
        </w:rPr>
        <w:t>。</w:t>
      </w:r>
    </w:p>
    <w:p>
      <w:pPr>
        <w:spacing w:line="570" w:lineRule="exact"/>
        <w:ind w:firstLine="645"/>
        <w:rPr>
          <w:rFonts w:ascii="仿宋_GB2312" w:hAnsi="Batang" w:eastAsia="仿宋_GB2312"/>
          <w:sz w:val="32"/>
          <w:szCs w:val="32"/>
        </w:rPr>
      </w:pPr>
      <w:r>
        <w:rPr>
          <w:rFonts w:ascii="仿宋_GB2312" w:hAnsi="Batang" w:eastAsia="仿宋_GB2312"/>
          <w:sz w:val="32"/>
          <w:szCs w:val="32"/>
        </w:rPr>
        <w:t>3</w:t>
      </w:r>
      <w:r>
        <w:rPr>
          <w:rFonts w:hint="eastAsia" w:ascii="仿宋_GB2312" w:hAnsi="Batang" w:eastAsia="仿宋_GB2312"/>
          <w:sz w:val="32"/>
          <w:szCs w:val="32"/>
        </w:rPr>
        <w:t>、使用平台系</w:t>
      </w:r>
      <w:r>
        <w:rPr>
          <w:rFonts w:hint="eastAsia" w:ascii="仿宋_GB2312" w:hAnsi="黑体" w:eastAsia="仿宋_GB2312"/>
          <w:sz w:val="32"/>
          <w:szCs w:val="32"/>
        </w:rPr>
        <w:t>统</w:t>
      </w:r>
      <w:r>
        <w:rPr>
          <w:rFonts w:hint="eastAsia" w:ascii="仿宋_GB2312" w:hAnsi="Batang" w:eastAsia="仿宋_GB2312"/>
          <w:sz w:val="32"/>
          <w:szCs w:val="32"/>
        </w:rPr>
        <w:t>政府采</w:t>
      </w:r>
      <w:r>
        <w:rPr>
          <w:rFonts w:hint="eastAsia" w:ascii="仿宋_GB2312" w:hAnsi="黑体" w:eastAsia="仿宋_GB2312"/>
          <w:sz w:val="32"/>
          <w:szCs w:val="32"/>
        </w:rPr>
        <w:t>购</w:t>
      </w:r>
      <w:r>
        <w:rPr>
          <w:rFonts w:hint="eastAsia" w:ascii="仿宋_GB2312" w:hAnsi="Batang" w:eastAsia="仿宋_GB2312"/>
          <w:sz w:val="32"/>
          <w:szCs w:val="32"/>
        </w:rPr>
        <w:t>子系</w:t>
      </w:r>
      <w:r>
        <w:rPr>
          <w:rFonts w:hint="eastAsia" w:ascii="仿宋_GB2312" w:hAnsi="黑体" w:eastAsia="仿宋_GB2312"/>
          <w:sz w:val="32"/>
          <w:szCs w:val="32"/>
        </w:rPr>
        <w:t>统进</w:t>
      </w:r>
      <w:r>
        <w:rPr>
          <w:rFonts w:hint="eastAsia" w:ascii="仿宋_GB2312" w:hAnsi="Batang" w:eastAsia="仿宋_GB2312"/>
          <w:sz w:val="32"/>
          <w:szCs w:val="32"/>
        </w:rPr>
        <w:t>行的非政采云</w:t>
      </w:r>
      <w:r>
        <w:rPr>
          <w:rFonts w:hint="eastAsia" w:ascii="仿宋_GB2312" w:hAnsi="黑体" w:eastAsia="仿宋_GB2312"/>
          <w:sz w:val="32"/>
          <w:szCs w:val="32"/>
        </w:rPr>
        <w:t>货</w:t>
      </w:r>
      <w:r>
        <w:rPr>
          <w:rFonts w:hint="eastAsia" w:ascii="仿宋_GB2312" w:hAnsi="Batang" w:eastAsia="仿宋_GB2312"/>
          <w:sz w:val="32"/>
          <w:szCs w:val="32"/>
        </w:rPr>
        <w:t>物、服</w:t>
      </w:r>
      <w:r>
        <w:rPr>
          <w:rFonts w:hint="eastAsia" w:ascii="仿宋_GB2312" w:hAnsi="黑体" w:eastAsia="仿宋_GB2312"/>
          <w:sz w:val="32"/>
          <w:szCs w:val="32"/>
        </w:rPr>
        <w:t>务类项</w:t>
      </w:r>
      <w:r>
        <w:rPr>
          <w:rFonts w:hint="eastAsia" w:ascii="仿宋_GB2312" w:hAnsi="Batang" w:eastAsia="仿宋_GB2312"/>
          <w:sz w:val="32"/>
          <w:szCs w:val="32"/>
        </w:rPr>
        <w:t>目，招</w:t>
      </w:r>
      <w:r>
        <w:rPr>
          <w:rFonts w:hint="eastAsia" w:ascii="仿宋_GB2312" w:hAnsi="黑体" w:eastAsia="仿宋_GB2312"/>
          <w:sz w:val="32"/>
          <w:szCs w:val="32"/>
        </w:rPr>
        <w:t>标</w:t>
      </w:r>
      <w:r>
        <w:rPr>
          <w:rFonts w:hint="eastAsia" w:ascii="仿宋_GB2312" w:hAnsi="Batang" w:eastAsia="仿宋_GB2312"/>
          <w:sz w:val="32"/>
          <w:szCs w:val="32"/>
        </w:rPr>
        <w:t>人需通</w:t>
      </w:r>
      <w:r>
        <w:rPr>
          <w:rFonts w:hint="eastAsia" w:ascii="仿宋_GB2312" w:hAnsi="黑体" w:eastAsia="仿宋_GB2312"/>
          <w:sz w:val="32"/>
          <w:szCs w:val="32"/>
        </w:rPr>
        <w:t>过</w:t>
      </w:r>
      <w:r>
        <w:rPr>
          <w:rFonts w:hint="eastAsia" w:ascii="仿宋_GB2312" w:hAnsi="Batang" w:eastAsia="仿宋_GB2312"/>
          <w:sz w:val="32"/>
          <w:szCs w:val="32"/>
        </w:rPr>
        <w:t>平台系</w:t>
      </w:r>
      <w:r>
        <w:rPr>
          <w:rFonts w:hint="eastAsia" w:ascii="仿宋_GB2312" w:hAnsi="黑体" w:eastAsia="仿宋_GB2312"/>
          <w:sz w:val="32"/>
          <w:szCs w:val="32"/>
        </w:rPr>
        <w:t>统</w:t>
      </w:r>
      <w:r>
        <w:rPr>
          <w:rFonts w:hint="eastAsia" w:ascii="仿宋_GB2312" w:hAnsi="Batang" w:eastAsia="仿宋_GB2312"/>
          <w:sz w:val="32"/>
          <w:szCs w:val="32"/>
        </w:rPr>
        <w:t>完成招</w:t>
      </w:r>
      <w:r>
        <w:rPr>
          <w:rFonts w:hint="eastAsia" w:ascii="仿宋_GB2312" w:hAnsi="黑体" w:eastAsia="仿宋_GB2312"/>
          <w:sz w:val="32"/>
          <w:szCs w:val="32"/>
        </w:rPr>
        <w:t>标项</w:t>
      </w:r>
      <w:r>
        <w:rPr>
          <w:rFonts w:hint="eastAsia" w:ascii="仿宋_GB2312" w:hAnsi="Batang" w:eastAsia="仿宋_GB2312"/>
          <w:sz w:val="32"/>
          <w:szCs w:val="32"/>
        </w:rPr>
        <w:t>目部分</w:t>
      </w:r>
      <w:r>
        <w:rPr>
          <w:rFonts w:hint="eastAsia" w:ascii="仿宋_GB2312" w:hAnsi="黑体" w:eastAsia="仿宋_GB2312"/>
          <w:sz w:val="32"/>
          <w:szCs w:val="32"/>
        </w:rPr>
        <w:t>环节</w:t>
      </w:r>
      <w:r>
        <w:rPr>
          <w:rFonts w:hint="eastAsia" w:ascii="仿宋_GB2312" w:hAnsi="Batang" w:eastAsia="仿宋_GB2312"/>
          <w:sz w:val="32"/>
          <w:szCs w:val="32"/>
        </w:rPr>
        <w:t>确</w:t>
      </w:r>
      <w:r>
        <w:rPr>
          <w:rFonts w:hint="eastAsia" w:ascii="仿宋_GB2312" w:hAnsi="黑体" w:eastAsia="仿宋_GB2312"/>
          <w:sz w:val="32"/>
          <w:szCs w:val="32"/>
        </w:rPr>
        <w:t>认</w:t>
      </w:r>
      <w:r>
        <w:rPr>
          <w:rFonts w:hint="eastAsia" w:ascii="仿宋_GB2312" w:hAnsi="Batang" w:eastAsia="仿宋_GB2312"/>
          <w:sz w:val="32"/>
          <w:szCs w:val="32"/>
        </w:rPr>
        <w:t>工作。根据《</w:t>
      </w:r>
      <w:r>
        <w:rPr>
          <w:rFonts w:hint="eastAsia" w:ascii="仿宋_GB2312" w:hAnsi="黑体" w:eastAsia="仿宋_GB2312"/>
          <w:sz w:val="32"/>
          <w:szCs w:val="32"/>
        </w:rPr>
        <w:t>关</w:t>
      </w:r>
      <w:r>
        <w:rPr>
          <w:rFonts w:hint="eastAsia" w:ascii="仿宋_GB2312" w:hAnsi="Batang" w:eastAsia="仿宋_GB2312"/>
          <w:sz w:val="32"/>
          <w:szCs w:val="32"/>
        </w:rPr>
        <w:t>于</w:t>
      </w:r>
      <w:r>
        <w:rPr>
          <w:rFonts w:hint="eastAsia" w:ascii="仿宋_GB2312" w:hAnsi="黑体" w:eastAsia="仿宋_GB2312"/>
          <w:sz w:val="32"/>
          <w:szCs w:val="32"/>
        </w:rPr>
        <w:t>严</w:t>
      </w:r>
      <w:r>
        <w:rPr>
          <w:rFonts w:hint="eastAsia" w:ascii="仿宋_GB2312" w:hAnsi="Batang" w:eastAsia="仿宋_GB2312"/>
          <w:sz w:val="32"/>
          <w:szCs w:val="32"/>
        </w:rPr>
        <w:t>格</w:t>
      </w:r>
      <w:r>
        <w:rPr>
          <w:rFonts w:hint="eastAsia" w:ascii="仿宋_GB2312" w:hAnsi="黑体" w:eastAsia="仿宋_GB2312"/>
          <w:sz w:val="32"/>
          <w:szCs w:val="32"/>
        </w:rPr>
        <w:t>执</w:t>
      </w:r>
      <w:r>
        <w:rPr>
          <w:rFonts w:hint="eastAsia" w:ascii="仿宋_GB2312" w:hAnsi="Batang" w:eastAsia="仿宋_GB2312"/>
          <w:sz w:val="32"/>
          <w:szCs w:val="32"/>
        </w:rPr>
        <w:t>行中</w:t>
      </w:r>
      <w:r>
        <w:rPr>
          <w:rFonts w:hint="eastAsia" w:ascii="仿宋_GB2312" w:hAnsi="黑体" w:eastAsia="仿宋_GB2312"/>
          <w:sz w:val="32"/>
          <w:szCs w:val="32"/>
        </w:rPr>
        <w:t>标</w:t>
      </w:r>
      <w:r>
        <w:rPr>
          <w:rFonts w:hint="eastAsia" w:ascii="仿宋_GB2312" w:hAnsi="Batang" w:eastAsia="仿宋_GB2312"/>
          <w:sz w:val="32"/>
          <w:szCs w:val="32"/>
        </w:rPr>
        <w:t>投</w:t>
      </w:r>
      <w:r>
        <w:rPr>
          <w:rFonts w:hint="eastAsia" w:ascii="仿宋_GB2312" w:hAnsi="黑体" w:eastAsia="仿宋_GB2312"/>
          <w:sz w:val="32"/>
          <w:szCs w:val="32"/>
        </w:rPr>
        <w:t>标</w:t>
      </w:r>
      <w:r>
        <w:rPr>
          <w:rFonts w:hint="eastAsia" w:ascii="仿宋_GB2312" w:hAnsi="Batang" w:eastAsia="仿宋_GB2312"/>
          <w:sz w:val="32"/>
          <w:szCs w:val="32"/>
        </w:rPr>
        <w:t>法</w:t>
      </w:r>
      <w:r>
        <w:rPr>
          <w:rFonts w:hint="eastAsia" w:ascii="仿宋_GB2312" w:hAnsi="黑体" w:eastAsia="仿宋_GB2312"/>
          <w:sz w:val="32"/>
          <w:szCs w:val="32"/>
        </w:rPr>
        <w:t>规</w:t>
      </w:r>
      <w:r>
        <w:rPr>
          <w:rFonts w:hint="eastAsia" w:ascii="仿宋_GB2312" w:hAnsi="Batang" w:eastAsia="仿宋_GB2312"/>
          <w:sz w:val="32"/>
          <w:szCs w:val="32"/>
        </w:rPr>
        <w:t>制度</w:t>
      </w:r>
      <w:r>
        <w:rPr>
          <w:rFonts w:hint="eastAsia" w:ascii="仿宋_GB2312" w:hAnsi="黑体" w:eastAsia="仿宋_GB2312"/>
          <w:sz w:val="32"/>
          <w:szCs w:val="32"/>
        </w:rPr>
        <w:t>进</w:t>
      </w:r>
      <w:r>
        <w:rPr>
          <w:rFonts w:hint="eastAsia" w:ascii="仿宋_GB2312" w:hAnsi="Batang" w:eastAsia="仿宋_GB2312"/>
          <w:sz w:val="32"/>
          <w:szCs w:val="32"/>
        </w:rPr>
        <w:t>一步</w:t>
      </w:r>
      <w:r>
        <w:rPr>
          <w:rFonts w:hint="eastAsia" w:ascii="仿宋_GB2312" w:hAnsi="黑体" w:eastAsia="仿宋_GB2312"/>
          <w:sz w:val="32"/>
          <w:szCs w:val="32"/>
        </w:rPr>
        <w:t>规</w:t>
      </w:r>
      <w:r>
        <w:rPr>
          <w:rFonts w:hint="eastAsia" w:ascii="仿宋_GB2312" w:hAnsi="Batang" w:eastAsia="仿宋_GB2312"/>
          <w:sz w:val="32"/>
          <w:szCs w:val="32"/>
        </w:rPr>
        <w:t>范招</w:t>
      </w:r>
      <w:r>
        <w:rPr>
          <w:rFonts w:hint="eastAsia" w:ascii="仿宋_GB2312" w:hAnsi="黑体" w:eastAsia="仿宋_GB2312"/>
          <w:sz w:val="32"/>
          <w:szCs w:val="32"/>
        </w:rPr>
        <w:t>标</w:t>
      </w:r>
      <w:r>
        <w:rPr>
          <w:rFonts w:hint="eastAsia" w:ascii="仿宋_GB2312" w:hAnsi="Batang" w:eastAsia="仿宋_GB2312"/>
          <w:sz w:val="32"/>
          <w:szCs w:val="32"/>
        </w:rPr>
        <w:t>投</w:t>
      </w:r>
      <w:r>
        <w:rPr>
          <w:rFonts w:hint="eastAsia" w:ascii="仿宋_GB2312" w:hAnsi="黑体" w:eastAsia="仿宋_GB2312"/>
          <w:sz w:val="32"/>
          <w:szCs w:val="32"/>
        </w:rPr>
        <w:t>标</w:t>
      </w:r>
      <w:r>
        <w:rPr>
          <w:rFonts w:hint="eastAsia" w:ascii="仿宋_GB2312" w:hAnsi="Batang" w:eastAsia="仿宋_GB2312"/>
          <w:sz w:val="32"/>
          <w:szCs w:val="32"/>
        </w:rPr>
        <w:t>主体行</w:t>
      </w:r>
      <w:r>
        <w:rPr>
          <w:rFonts w:hint="eastAsia" w:ascii="仿宋_GB2312" w:hAnsi="黑体" w:eastAsia="仿宋_GB2312"/>
          <w:sz w:val="32"/>
          <w:szCs w:val="32"/>
        </w:rPr>
        <w:t>为</w:t>
      </w:r>
      <w:r>
        <w:rPr>
          <w:rFonts w:hint="eastAsia" w:ascii="仿宋_GB2312" w:hAnsi="Batang" w:eastAsia="仿宋_GB2312"/>
          <w:sz w:val="32"/>
          <w:szCs w:val="32"/>
        </w:rPr>
        <w:t>的若干意</w:t>
      </w:r>
      <w:r>
        <w:rPr>
          <w:rFonts w:hint="eastAsia" w:ascii="仿宋_GB2312" w:hAnsi="黑体" w:eastAsia="仿宋_GB2312"/>
          <w:sz w:val="32"/>
          <w:szCs w:val="32"/>
        </w:rPr>
        <w:t>见</w:t>
      </w:r>
      <w:r>
        <w:rPr>
          <w:rFonts w:hint="eastAsia" w:ascii="仿宋_GB2312" w:hAnsi="Batang" w:eastAsia="仿宋_GB2312"/>
          <w:sz w:val="32"/>
          <w:szCs w:val="32"/>
        </w:rPr>
        <w:t>》要求，平台系</w:t>
      </w:r>
      <w:r>
        <w:rPr>
          <w:rFonts w:hint="eastAsia" w:ascii="仿宋_GB2312" w:hAnsi="黑体" w:eastAsia="仿宋_GB2312"/>
          <w:sz w:val="32"/>
          <w:szCs w:val="32"/>
        </w:rPr>
        <w:t>统</w:t>
      </w:r>
      <w:r>
        <w:rPr>
          <w:rFonts w:hint="eastAsia" w:ascii="仿宋_GB2312" w:hAnsi="Batang" w:eastAsia="仿宋_GB2312"/>
          <w:sz w:val="32"/>
          <w:szCs w:val="32"/>
        </w:rPr>
        <w:t>后</w:t>
      </w:r>
      <w:r>
        <w:rPr>
          <w:rFonts w:hint="eastAsia" w:ascii="仿宋_GB2312" w:hAnsi="黑体" w:eastAsia="仿宋_GB2312"/>
          <w:sz w:val="32"/>
          <w:szCs w:val="32"/>
        </w:rPr>
        <w:t>续将进</w:t>
      </w:r>
      <w:r>
        <w:rPr>
          <w:rFonts w:hint="eastAsia" w:ascii="仿宋_GB2312" w:hAnsi="Batang" w:eastAsia="仿宋_GB2312"/>
          <w:sz w:val="32"/>
          <w:szCs w:val="32"/>
        </w:rPr>
        <w:t>一步增强招</w:t>
      </w:r>
      <w:r>
        <w:rPr>
          <w:rFonts w:hint="eastAsia" w:ascii="仿宋_GB2312" w:hAnsi="黑体" w:eastAsia="仿宋_GB2312"/>
          <w:sz w:val="32"/>
          <w:szCs w:val="32"/>
        </w:rPr>
        <w:t>标</w:t>
      </w:r>
      <w:r>
        <w:rPr>
          <w:rFonts w:hint="eastAsia" w:ascii="仿宋_GB2312" w:hAnsi="Batang" w:eastAsia="仿宋_GB2312"/>
          <w:sz w:val="32"/>
          <w:szCs w:val="32"/>
        </w:rPr>
        <w:t>人</w:t>
      </w:r>
      <w:r>
        <w:rPr>
          <w:rFonts w:hint="eastAsia" w:ascii="仿宋_GB2312" w:hAnsi="黑体" w:eastAsia="仿宋_GB2312"/>
          <w:sz w:val="32"/>
          <w:szCs w:val="32"/>
        </w:rPr>
        <w:t>账号</w:t>
      </w:r>
      <w:r>
        <w:rPr>
          <w:rFonts w:hint="eastAsia" w:ascii="仿宋_GB2312" w:hAnsi="Batang" w:eastAsia="仿宋_GB2312"/>
          <w:sz w:val="32"/>
          <w:szCs w:val="32"/>
        </w:rPr>
        <w:t>相</w:t>
      </w:r>
      <w:r>
        <w:rPr>
          <w:rFonts w:hint="eastAsia" w:ascii="仿宋_GB2312" w:hAnsi="黑体" w:eastAsia="仿宋_GB2312"/>
          <w:sz w:val="32"/>
          <w:szCs w:val="32"/>
        </w:rPr>
        <w:t>关</w:t>
      </w:r>
      <w:r>
        <w:rPr>
          <w:rFonts w:hint="eastAsia" w:ascii="仿宋_GB2312" w:hAnsi="Batang" w:eastAsia="仿宋_GB2312"/>
          <w:sz w:val="32"/>
          <w:szCs w:val="32"/>
        </w:rPr>
        <w:t>功能，各招</w:t>
      </w:r>
      <w:r>
        <w:rPr>
          <w:rFonts w:hint="eastAsia" w:ascii="仿宋_GB2312" w:hAnsi="黑体" w:eastAsia="仿宋_GB2312"/>
          <w:sz w:val="32"/>
          <w:szCs w:val="32"/>
        </w:rPr>
        <w:t>标</w:t>
      </w:r>
      <w:r>
        <w:rPr>
          <w:rFonts w:hint="eastAsia" w:ascii="仿宋_GB2312" w:hAnsi="Batang" w:eastAsia="仿宋_GB2312"/>
          <w:sz w:val="32"/>
          <w:szCs w:val="32"/>
        </w:rPr>
        <w:t>人需及</w:t>
      </w:r>
      <w:r>
        <w:rPr>
          <w:rFonts w:hint="eastAsia" w:ascii="仿宋_GB2312" w:hAnsi="黑体" w:eastAsia="仿宋_GB2312"/>
          <w:sz w:val="32"/>
          <w:szCs w:val="32"/>
        </w:rPr>
        <w:t>时关</w:t>
      </w:r>
      <w:r>
        <w:rPr>
          <w:rFonts w:hint="eastAsia" w:ascii="仿宋_GB2312" w:hAnsi="Batang" w:eastAsia="仿宋_GB2312"/>
          <w:sz w:val="32"/>
          <w:szCs w:val="32"/>
        </w:rPr>
        <w:t>注。</w:t>
      </w:r>
    </w:p>
    <w:p>
      <w:pPr>
        <w:spacing w:line="570" w:lineRule="exact"/>
        <w:ind w:firstLine="645"/>
        <w:rPr>
          <w:rFonts w:ascii="黑体" w:hAnsi="黑体" w:eastAsia="黑体"/>
          <w:sz w:val="32"/>
          <w:szCs w:val="32"/>
        </w:rPr>
      </w:pPr>
      <w:r>
        <w:rPr>
          <w:rFonts w:hint="eastAsia" w:ascii="黑体" w:hAnsi="黑体" w:eastAsia="黑体"/>
          <w:sz w:val="32"/>
          <w:szCs w:val="32"/>
        </w:rPr>
        <w:t>二、招标代理机构注意事项</w:t>
      </w:r>
    </w:p>
    <w:p>
      <w:pPr>
        <w:spacing w:line="570" w:lineRule="exact"/>
        <w:ind w:firstLine="645"/>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、招标人已通过“事前”监管子系统完成招标项目备案的，招标代理机构不再需要通过平台系统新建招标项目，平台系统将自动将招标项目推送到招标人选择的招标代理机构账号代办。</w:t>
      </w:r>
    </w:p>
    <w:p>
      <w:pPr>
        <w:spacing w:line="570" w:lineRule="exact"/>
        <w:ind w:firstLine="645"/>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、招标代理机构不需要再完成合同备案工作，由招标</w:t>
      </w:r>
      <w:r>
        <w:rPr>
          <w:rFonts w:hint="eastAsia" w:ascii="仿宋_GB2312" w:eastAsia="仿宋_GB2312"/>
          <w:sz w:val="32"/>
          <w:szCs w:val="32"/>
          <w:lang w:eastAsia="zh-CN"/>
        </w:rPr>
        <w:t>人</w:t>
      </w:r>
      <w:r>
        <w:rPr>
          <w:rFonts w:hint="eastAsia" w:ascii="仿宋_GB2312" w:eastAsia="仿宋_GB2312"/>
          <w:sz w:val="32"/>
          <w:szCs w:val="32"/>
        </w:rPr>
        <w:t>通过平台系统完成。</w:t>
      </w:r>
    </w:p>
    <w:p>
      <w:pPr>
        <w:spacing w:line="570" w:lineRule="exact"/>
        <w:ind w:firstLine="645"/>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所有工程类项目（铁路工程外）均实现全流程电子标，支持网上开标（不见面方式），必须使用招标文件电子范本线上制作招标文件，线上预约开标场地（网上开标项目要注意选择支持网上不见面方式开标的开标室），并对招标公告、招标文件使用</w:t>
      </w:r>
      <w:r>
        <w:rPr>
          <w:rFonts w:ascii="仿宋_GB2312" w:eastAsia="仿宋_GB2312"/>
          <w:sz w:val="32"/>
          <w:szCs w:val="32"/>
        </w:rPr>
        <w:t>CA</w:t>
      </w:r>
      <w:r>
        <w:rPr>
          <w:rFonts w:hint="eastAsia" w:ascii="仿宋_GB2312" w:eastAsia="仿宋_GB2312"/>
          <w:sz w:val="32"/>
          <w:szCs w:val="32"/>
        </w:rPr>
        <w:t>进行签章（单位公章和法人或委托代理人私章），场地预约通过后发布招标公告。使用通用范本制作招标文件时，招标文件正文请勿填写开标时间信息，开标时间将通过专用字段完成时间反填。</w:t>
      </w:r>
    </w:p>
    <w:p>
      <w:pPr>
        <w:spacing w:line="570" w:lineRule="exact"/>
        <w:ind w:firstLine="645"/>
        <w:jc w:val="lef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、组建评标委员会需要通过平台系统线上完成。房屋和市政工程类项目使用平台系统自动抽取专家方式，招标代理需注意认真填选抽取专业、备选专业、抽取人数等信息。</w:t>
      </w:r>
    </w:p>
    <w:p>
      <w:pPr>
        <w:spacing w:line="570" w:lineRule="exact"/>
        <w:ind w:firstLine="66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、在网上开标（不见面方式开标）过程中，招标代理机构开标人员需使用个人</w:t>
      </w:r>
      <w:r>
        <w:rPr>
          <w:rFonts w:ascii="仿宋_GB2312" w:eastAsia="仿宋_GB2312"/>
          <w:sz w:val="32"/>
          <w:szCs w:val="32"/>
        </w:rPr>
        <w:t>CA</w:t>
      </w:r>
      <w:r>
        <w:rPr>
          <w:rFonts w:hint="eastAsia" w:ascii="仿宋_GB2312" w:eastAsia="仿宋_GB2312"/>
          <w:sz w:val="32"/>
          <w:szCs w:val="32"/>
        </w:rPr>
        <w:t>在“签到表”和“开标记录表”上签章。开标过程中如投标人有异议，招标代理提醒投标人通过“提问</w:t>
      </w:r>
      <w:r>
        <w:rPr>
          <w:rFonts w:ascii="仿宋_GB2312" w:eastAsia="仿宋_GB2312"/>
          <w:sz w:val="32"/>
          <w:szCs w:val="32"/>
        </w:rPr>
        <w:t>/</w:t>
      </w:r>
      <w:r>
        <w:rPr>
          <w:rFonts w:hint="eastAsia" w:ascii="仿宋_GB2312" w:eastAsia="仿宋_GB2312"/>
          <w:sz w:val="32"/>
          <w:szCs w:val="32"/>
        </w:rPr>
        <w:t>异议”通道输入提问</w:t>
      </w:r>
      <w:r>
        <w:rPr>
          <w:rFonts w:ascii="仿宋_GB2312" w:eastAsia="仿宋_GB2312"/>
          <w:sz w:val="32"/>
          <w:szCs w:val="32"/>
        </w:rPr>
        <w:t>/</w:t>
      </w:r>
      <w:r>
        <w:rPr>
          <w:rFonts w:hint="eastAsia" w:ascii="仿宋_GB2312" w:eastAsia="仿宋_GB2312"/>
          <w:sz w:val="32"/>
          <w:szCs w:val="32"/>
        </w:rPr>
        <w:t>异议内容，招标代理正式回复，该通道内容将作为开标过程记录附件存档，须与“开标报告”同步提交行业监管部门备案。</w:t>
      </w:r>
    </w:p>
    <w:p>
      <w:pPr>
        <w:spacing w:line="570" w:lineRule="exact"/>
        <w:ind w:firstLine="66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、招标代理机构在网上开标过程中，需注意在“查看投标人”环节完成后，点击“下一阶段”时系统将自动进入“投标文件解密环节”，投标文件解密倒计时开启（</w:t>
      </w:r>
      <w:r>
        <w:rPr>
          <w:rFonts w:ascii="仿宋_GB2312" w:eastAsia="仿宋_GB2312"/>
          <w:sz w:val="32"/>
          <w:szCs w:val="32"/>
        </w:rPr>
        <w:t>60</w:t>
      </w:r>
      <w:r>
        <w:rPr>
          <w:rFonts w:hint="eastAsia" w:ascii="仿宋_GB2312" w:eastAsia="仿宋_GB2312"/>
          <w:sz w:val="32"/>
          <w:szCs w:val="32"/>
        </w:rPr>
        <w:t>分钟），投标文件解密倒计时结束前投标人均可签到（投标人签到后解密投标文件）；倒计时结束后投标人仍未完成投标文件解密的，招标代理机构方可将未解密的投标文件做“撤销”处理。</w:t>
      </w:r>
    </w:p>
    <w:p>
      <w:pPr>
        <w:spacing w:line="570" w:lineRule="exact"/>
        <w:ind w:firstLine="66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、房屋和市政工程类项目网上开标（不见面方式）中，在“投标文件解密”页面有“自动抽取通知”按钮，招标代理机构在全部有效投标人完成投标文件解密后点击，平台系统才自动抽取评标专家。</w:t>
      </w:r>
    </w:p>
    <w:p>
      <w:pPr>
        <w:spacing w:line="570" w:lineRule="exact"/>
        <w:ind w:firstLine="66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、招标代理机构需将有效投标文件全部完成导入“评标系统”成功后，才可以“开标结束”。开标结束后不影响制作“开标报告”。招标代理须在开标结束后</w:t>
      </w:r>
      <w:r>
        <w:rPr>
          <w:rFonts w:ascii="仿宋_GB2312" w:eastAsia="仿宋_GB2312"/>
          <w:sz w:val="32"/>
          <w:szCs w:val="32"/>
        </w:rPr>
        <w:t>90</w:t>
      </w:r>
      <w:r>
        <w:rPr>
          <w:rFonts w:hint="eastAsia" w:ascii="仿宋_GB2312" w:eastAsia="仿宋_GB2312"/>
          <w:sz w:val="32"/>
          <w:szCs w:val="32"/>
        </w:rPr>
        <w:t>分钟内编辑完成“开标报告”并提交。</w:t>
      </w:r>
    </w:p>
    <w:p>
      <w:pPr>
        <w:spacing w:line="570" w:lineRule="exact"/>
        <w:ind w:firstLine="660"/>
        <w:rPr>
          <w:rFonts w:ascii="黑体" w:hAnsi="黑体" w:eastAsia="黑体"/>
          <w:sz w:val="32"/>
          <w:szCs w:val="32"/>
        </w:rPr>
      </w:pPr>
      <w:r>
        <w:rPr>
          <w:rFonts w:hint="eastAsia" w:ascii="黑体" w:hAnsi="黑体" w:eastAsia="黑体"/>
          <w:sz w:val="32"/>
          <w:szCs w:val="32"/>
        </w:rPr>
        <w:t>三、投标人（竞买人）注意事项</w:t>
      </w:r>
    </w:p>
    <w:p>
      <w:pPr>
        <w:spacing w:line="570" w:lineRule="exact"/>
        <w:ind w:firstLine="636"/>
        <w:jc w:val="left"/>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房屋和市政工程施工、监理、检测、勘察、设计、工程总承包、全过程咨询项目，采用桂建云专用范本完成全流程电子招标投标。投标人由以原全区诚信库为基础挑选投标所需材料调整以桂建云为基础挑选投标所需材料（房屋和市政工程投标人平台系统主体库完全同步桂建云信息），请各投标人及时登录广西建筑市场监管云平台（桂建云）完善相关信息，完善信息后桂建云信息将在</w:t>
      </w:r>
      <w:r>
        <w:rPr>
          <w:rFonts w:ascii="仿宋_GB2312" w:eastAsia="仿宋_GB2312"/>
          <w:sz w:val="32"/>
          <w:szCs w:val="32"/>
        </w:rPr>
        <w:t>60</w:t>
      </w:r>
      <w:r>
        <w:rPr>
          <w:rFonts w:hint="eastAsia" w:ascii="仿宋_GB2312" w:eastAsia="仿宋_GB2312"/>
          <w:sz w:val="32"/>
          <w:szCs w:val="32"/>
        </w:rPr>
        <w:t>分钟内同步至平台系统主体库。建议投标人及时登录广西壮族自治区公共资源交易平台系统主体库检查信息是否一致，以免影响正常投标。</w:t>
      </w:r>
    </w:p>
    <w:p>
      <w:pPr>
        <w:spacing w:line="570" w:lineRule="exact"/>
        <w:ind w:firstLine="66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、其他工程类项目（房屋和市政工程、铁路工程外）采用专用范本招投标的，投标人需及时登录平台系统主体库完善相关信息。采用通用范本的全流程电子标项目需及时注册平台系统使用账号。</w:t>
      </w:r>
    </w:p>
    <w:p>
      <w:pPr>
        <w:spacing w:line="570" w:lineRule="exact"/>
        <w:ind w:firstLine="66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、权益类项目（土地所有权、矿业权、海域权）将在平台系统试运行，后续林权等其他权益类项目也将陆续在平台系统运行。在</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日前，广西壮族自治区自然资源网上交易系统仍保持运行，权益类交易的竞买人需及时关注两个系统过渡期使用信息。</w:t>
      </w:r>
    </w:p>
    <w:p>
      <w:pPr>
        <w:spacing w:line="570" w:lineRule="exact"/>
        <w:ind w:firstLine="66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工程类项目投标保证金均支持电子保函方式缴纳，电子保函受益人统一为各级交易中心，招标项目开标后第三方电子保函平台才会生成正式电子保函传输到平台系统。招标人在制作投标文件时，只需按照招标文件要求填写格式的承诺函，粘贴电子保函购买凭证即可，不需要上传正式电子保函。</w:t>
      </w:r>
    </w:p>
    <w:p>
      <w:pPr>
        <w:spacing w:line="570" w:lineRule="exact"/>
        <w:ind w:firstLine="66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、网上开标（不见面方式）投标人可以在网上直接全程参与开标，也可以申请到交易中心开标现场进行开标。投标人无论选择在网上还是到现场进行开标，都需要个人登录网上开标大厅，只能使用个人</w:t>
      </w:r>
      <w:r>
        <w:rPr>
          <w:rFonts w:ascii="仿宋_GB2312" w:eastAsia="仿宋_GB2312"/>
          <w:sz w:val="32"/>
          <w:szCs w:val="32"/>
        </w:rPr>
        <w:t>CA</w:t>
      </w:r>
      <w:r>
        <w:rPr>
          <w:rFonts w:hint="eastAsia" w:ascii="仿宋_GB2312" w:eastAsia="仿宋_GB2312"/>
          <w:sz w:val="32"/>
          <w:szCs w:val="32"/>
        </w:rPr>
        <w:t>完成在线签到后才能进行投标文件解密。签到时间为招标代理统一开始投标文件解密倒计时（</w:t>
      </w:r>
      <w:r>
        <w:rPr>
          <w:rFonts w:ascii="仿宋_GB2312" w:eastAsia="仿宋_GB2312"/>
          <w:sz w:val="32"/>
          <w:szCs w:val="32"/>
        </w:rPr>
        <w:t>60</w:t>
      </w:r>
      <w:r>
        <w:rPr>
          <w:rFonts w:hint="eastAsia" w:ascii="仿宋_GB2312" w:eastAsia="仿宋_GB2312"/>
          <w:sz w:val="32"/>
          <w:szCs w:val="32"/>
        </w:rPr>
        <w:t>分钟）结束前。投标人需使用个人</w:t>
      </w:r>
      <w:r>
        <w:rPr>
          <w:rFonts w:ascii="仿宋_GB2312" w:eastAsia="仿宋_GB2312"/>
          <w:sz w:val="32"/>
          <w:szCs w:val="32"/>
        </w:rPr>
        <w:t>CA</w:t>
      </w:r>
      <w:r>
        <w:rPr>
          <w:rFonts w:hint="eastAsia" w:ascii="仿宋_GB2312" w:eastAsia="仿宋_GB2312"/>
          <w:sz w:val="32"/>
          <w:szCs w:val="32"/>
        </w:rPr>
        <w:t>进行开标记录表确认，使用加密投标文件的对应的</w:t>
      </w:r>
      <w:r>
        <w:rPr>
          <w:rFonts w:ascii="仿宋_GB2312" w:eastAsia="仿宋_GB2312"/>
          <w:sz w:val="32"/>
          <w:szCs w:val="32"/>
        </w:rPr>
        <w:t>CA</w:t>
      </w:r>
      <w:r>
        <w:rPr>
          <w:rFonts w:hint="eastAsia" w:ascii="仿宋_GB2312" w:eastAsia="仿宋_GB2312"/>
          <w:sz w:val="32"/>
          <w:szCs w:val="32"/>
        </w:rPr>
        <w:t>锁进行投标文件解密。</w:t>
      </w:r>
    </w:p>
    <w:p>
      <w:pPr>
        <w:spacing w:line="570" w:lineRule="exact"/>
        <w:ind w:firstLine="660"/>
        <w:rPr>
          <w:rFonts w:ascii="仿宋_GB2312" w:eastAsia="仿宋_GB2312"/>
          <w:sz w:val="32"/>
          <w:szCs w:val="32"/>
        </w:rPr>
      </w:pPr>
      <w:r>
        <w:rPr>
          <w:rFonts w:hint="eastAsia" w:ascii="仿宋_GB2312" w:eastAsia="仿宋_GB2312"/>
          <w:sz w:val="32"/>
          <w:szCs w:val="32"/>
        </w:rPr>
        <w:t>投标人选择申请到交易中心现场开标的，需符合交易中心新冠疫情有关防控要求，并自备笔记本电脑和互联网通讯网络，用于在现场登录“网上开标大厅”。</w:t>
      </w:r>
    </w:p>
    <w:p>
      <w:pPr>
        <w:spacing w:line="57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、投标人用来投标的电脑须为</w:t>
      </w:r>
      <w:r>
        <w:rPr>
          <w:rFonts w:ascii="仿宋_GB2312" w:eastAsia="仿宋_GB2312"/>
          <w:sz w:val="32"/>
          <w:szCs w:val="32"/>
        </w:rPr>
        <w:t>Windows</w:t>
      </w:r>
      <w:r>
        <w:rPr>
          <w:rFonts w:hint="eastAsia" w:ascii="仿宋_GB2312" w:eastAsia="仿宋_GB2312"/>
          <w:sz w:val="32"/>
          <w:szCs w:val="32"/>
        </w:rPr>
        <w:t>系统，</w:t>
      </w:r>
      <w:r>
        <w:fldChar w:fldCharType="begin"/>
      </w:r>
      <w:r>
        <w:instrText xml:space="preserve"> HYPERLINK "http://www.bsggzy.org.cn/bsggzyjy/bszn/20220323/9ea6b514-b808-4201-9c14-a22db54eb536.html" </w:instrText>
      </w:r>
      <w:r>
        <w:fldChar w:fldCharType="separate"/>
      </w:r>
      <w:r>
        <w:rPr>
          <w:rStyle w:val="15"/>
          <w:rFonts w:hint="eastAsia" w:ascii="仿宋_GB2312" w:eastAsia="仿宋_GB2312"/>
          <w:color w:val="auto"/>
          <w:sz w:val="32"/>
          <w:szCs w:val="32"/>
        </w:rPr>
        <w:t>推荐使用</w:t>
      </w:r>
      <w:r>
        <w:rPr>
          <w:rStyle w:val="15"/>
          <w:rFonts w:ascii="仿宋_GB2312" w:eastAsia="仿宋_GB2312"/>
          <w:color w:val="auto"/>
          <w:sz w:val="32"/>
          <w:szCs w:val="32"/>
        </w:rPr>
        <w:t>IE11</w:t>
      </w:r>
      <w:r>
        <w:rPr>
          <w:rStyle w:val="15"/>
          <w:rFonts w:hint="eastAsia" w:ascii="仿宋_GB2312" w:eastAsia="仿宋_GB2312"/>
          <w:color w:val="auto"/>
          <w:sz w:val="32"/>
          <w:szCs w:val="32"/>
        </w:rPr>
        <w:t>浏览器进行投标</w:t>
      </w:r>
      <w:r>
        <w:rPr>
          <w:rStyle w:val="15"/>
          <w:rFonts w:hint="eastAsia" w:ascii="仿宋_GB2312" w:eastAsia="仿宋_GB2312"/>
          <w:color w:val="auto"/>
          <w:sz w:val="32"/>
          <w:szCs w:val="32"/>
        </w:rPr>
        <w:fldChar w:fldCharType="end"/>
      </w:r>
      <w:r>
        <w:rPr>
          <w:rFonts w:hint="eastAsia" w:ascii="仿宋_GB2312" w:eastAsia="仿宋_GB2312"/>
          <w:sz w:val="32"/>
          <w:szCs w:val="32"/>
        </w:rPr>
        <w:t>。平台不支持苹果电脑、手机进行投标。用来网上开标（不见面方式）的电脑还需安装检测以下插件：（</w:t>
      </w:r>
      <w:r>
        <w:rPr>
          <w:rFonts w:ascii="仿宋_GB2312" w:eastAsia="仿宋_GB2312"/>
          <w:sz w:val="32"/>
          <w:szCs w:val="32"/>
        </w:rPr>
        <w:t>1</w:t>
      </w:r>
      <w:r>
        <w:rPr>
          <w:rFonts w:hint="eastAsia" w:ascii="仿宋_GB2312" w:eastAsia="仿宋_GB2312"/>
          <w:sz w:val="32"/>
          <w:szCs w:val="32"/>
        </w:rPr>
        <w:t>）在电脑上安装“广西壮族自治区</w:t>
      </w:r>
      <w:r>
        <w:rPr>
          <w:rFonts w:ascii="仿宋_GB2312" w:eastAsia="仿宋_GB2312"/>
          <w:sz w:val="32"/>
          <w:szCs w:val="32"/>
        </w:rPr>
        <w:t>CA</w:t>
      </w:r>
      <w:r>
        <w:rPr>
          <w:rFonts w:hint="eastAsia" w:ascii="仿宋_GB2312" w:eastAsia="仿宋_GB2312"/>
          <w:sz w:val="32"/>
          <w:szCs w:val="32"/>
        </w:rPr>
        <w:t>互认驱动</w:t>
      </w:r>
      <w:r>
        <w:rPr>
          <w:rFonts w:ascii="仿宋_GB2312" w:eastAsia="仿宋_GB2312"/>
          <w:sz w:val="32"/>
          <w:szCs w:val="32"/>
        </w:rPr>
        <w:t>1.3</w:t>
      </w:r>
      <w:r>
        <w:rPr>
          <w:rFonts w:hint="eastAsia" w:ascii="仿宋_GB2312" w:eastAsia="仿宋_GB2312"/>
          <w:sz w:val="32"/>
          <w:szCs w:val="32"/>
        </w:rPr>
        <w:t>”（有关</w:t>
      </w:r>
      <w:r>
        <w:rPr>
          <w:rFonts w:ascii="仿宋_GB2312" w:eastAsia="仿宋_GB2312"/>
          <w:sz w:val="32"/>
          <w:szCs w:val="32"/>
        </w:rPr>
        <w:t>CA</w:t>
      </w:r>
      <w:r>
        <w:rPr>
          <w:rFonts w:hint="eastAsia" w:ascii="仿宋_GB2312" w:eastAsia="仿宋_GB2312"/>
          <w:sz w:val="32"/>
          <w:szCs w:val="32"/>
        </w:rPr>
        <w:t>内容，均可</w:t>
      </w:r>
      <w:r>
        <w:rPr>
          <w:rFonts w:hint="eastAsia" w:ascii="仿宋_GB2312" w:eastAsia="仿宋_GB2312"/>
          <w:sz w:val="32"/>
          <w:szCs w:val="32"/>
          <w:lang w:eastAsia="zh-CN"/>
        </w:rPr>
        <w:t>登录</w:t>
      </w:r>
      <w:r>
        <w:rPr>
          <w:rFonts w:hint="eastAsia" w:ascii="仿宋_GB2312" w:eastAsia="仿宋_GB2312"/>
          <w:sz w:val="32"/>
          <w:szCs w:val="32"/>
        </w:rPr>
        <w:t>全国公共资源交易平台（广西壮族自治区）</w:t>
      </w:r>
      <w:r>
        <w:fldChar w:fldCharType="begin"/>
      </w:r>
      <w:r>
        <w:instrText xml:space="preserve"> HYPERLINK "http://ggzy.jgswj.gxzf.gov.cn/gxggzy/--" </w:instrText>
      </w:r>
      <w:r>
        <w:fldChar w:fldCharType="separate"/>
      </w:r>
      <w:r>
        <w:rPr>
          <w:rStyle w:val="15"/>
          <w:rFonts w:ascii="仿宋_GB2312" w:eastAsia="仿宋_GB2312"/>
          <w:color w:val="auto"/>
          <w:sz w:val="32"/>
          <w:szCs w:val="32"/>
        </w:rPr>
        <w:t>http://ggzy.jgswj.gxzf.gov.cn/gxggzy/--</w:t>
      </w:r>
      <w:r>
        <w:rPr>
          <w:rStyle w:val="15"/>
          <w:rFonts w:hint="eastAsia" w:ascii="仿宋_GB2312" w:eastAsia="仿宋_GB2312"/>
          <w:color w:val="auto"/>
          <w:sz w:val="32"/>
          <w:szCs w:val="32"/>
        </w:rPr>
        <w:t>“</w:t>
      </w:r>
      <w:r>
        <w:rPr>
          <w:rStyle w:val="15"/>
          <w:rFonts w:ascii="仿宋_GB2312" w:eastAsia="仿宋_GB2312"/>
          <w:color w:val="auto"/>
          <w:sz w:val="32"/>
          <w:szCs w:val="32"/>
        </w:rPr>
        <w:t>CA</w:t>
      </w:r>
      <w:r>
        <w:rPr>
          <w:rStyle w:val="15"/>
          <w:rFonts w:ascii="仿宋_GB2312" w:eastAsia="仿宋_GB2312"/>
          <w:color w:val="auto"/>
          <w:sz w:val="32"/>
          <w:szCs w:val="32"/>
        </w:rPr>
        <w:fldChar w:fldCharType="end"/>
      </w:r>
      <w:r>
        <w:rPr>
          <w:rFonts w:hint="eastAsia" w:ascii="仿宋_GB2312" w:eastAsia="仿宋_GB2312"/>
          <w:sz w:val="32"/>
          <w:szCs w:val="32"/>
        </w:rPr>
        <w:t>办理”</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CA</w:t>
      </w:r>
      <w:r>
        <w:rPr>
          <w:rFonts w:hint="eastAsia" w:ascii="仿宋_GB2312" w:eastAsia="仿宋_GB2312"/>
          <w:sz w:val="32"/>
          <w:szCs w:val="32"/>
        </w:rPr>
        <w:t>咨询”中查看和下载，也可通过“综合服务”</w:t>
      </w:r>
      <w:r>
        <w:rPr>
          <w:rFonts w:ascii="仿宋_GB2312" w:eastAsia="仿宋_GB2312"/>
          <w:sz w:val="32"/>
          <w:szCs w:val="32"/>
        </w:rPr>
        <w:t>--</w:t>
      </w:r>
      <w:r>
        <w:rPr>
          <w:rFonts w:hint="eastAsia" w:ascii="仿宋_GB2312" w:eastAsia="仿宋_GB2312"/>
          <w:sz w:val="32"/>
          <w:szCs w:val="32"/>
        </w:rPr>
        <w:t>“办事指南”</w:t>
      </w:r>
      <w:r>
        <w:rPr>
          <w:rFonts w:ascii="仿宋_GB2312" w:eastAsia="仿宋_GB2312"/>
          <w:sz w:val="32"/>
          <w:szCs w:val="32"/>
        </w:rPr>
        <w:t>--</w:t>
      </w:r>
      <w:r>
        <w:rPr>
          <w:rFonts w:hint="eastAsia" w:ascii="仿宋_GB2312" w:eastAsia="仿宋_GB2312"/>
          <w:sz w:val="32"/>
          <w:szCs w:val="32"/>
        </w:rPr>
        <w:t>“下载中心”下载相关插件），安装完成后会在电脑桌面上生成“检测工具（广西互通版）”图标。（</w:t>
      </w:r>
      <w:r>
        <w:rPr>
          <w:rFonts w:ascii="仿宋_GB2312" w:eastAsia="仿宋_GB2312"/>
          <w:sz w:val="32"/>
          <w:szCs w:val="32"/>
        </w:rPr>
        <w:t>2</w:t>
      </w:r>
      <w:r>
        <w:rPr>
          <w:rFonts w:hint="eastAsia" w:ascii="仿宋_GB2312" w:eastAsia="仿宋_GB2312"/>
          <w:sz w:val="32"/>
          <w:szCs w:val="32"/>
        </w:rPr>
        <w:t>）用浏览器打开“网上开标大厅”时，按提示安装网上开标直播插件。（</w:t>
      </w:r>
      <w:r>
        <w:rPr>
          <w:rFonts w:ascii="仿宋_GB2312" w:eastAsia="仿宋_GB2312"/>
          <w:sz w:val="32"/>
          <w:szCs w:val="32"/>
        </w:rPr>
        <w:t>3</w:t>
      </w:r>
      <w:r>
        <w:rPr>
          <w:rFonts w:hint="eastAsia" w:ascii="仿宋_GB2312" w:eastAsia="仿宋_GB2312"/>
          <w:sz w:val="32"/>
          <w:szCs w:val="32"/>
        </w:rPr>
        <w:t>）设置</w:t>
      </w:r>
      <w:r>
        <w:rPr>
          <w:rFonts w:ascii="仿宋_GB2312" w:eastAsia="仿宋_GB2312"/>
          <w:sz w:val="32"/>
          <w:szCs w:val="32"/>
        </w:rPr>
        <w:t>IE</w:t>
      </w:r>
      <w:r>
        <w:rPr>
          <w:rFonts w:hint="eastAsia" w:ascii="仿宋_GB2312" w:eastAsia="仿宋_GB2312"/>
          <w:sz w:val="32"/>
          <w:szCs w:val="32"/>
        </w:rPr>
        <w:t>浏览器的可信任站点和兼容性视图。（</w:t>
      </w:r>
      <w:r>
        <w:rPr>
          <w:rFonts w:ascii="仿宋_GB2312" w:eastAsia="仿宋_GB2312"/>
          <w:sz w:val="32"/>
          <w:szCs w:val="32"/>
        </w:rPr>
        <w:t>4</w:t>
      </w:r>
      <w:r>
        <w:rPr>
          <w:rFonts w:hint="eastAsia" w:ascii="仿宋_GB2312" w:eastAsia="仿宋_GB2312"/>
          <w:sz w:val="32"/>
          <w:szCs w:val="32"/>
        </w:rPr>
        <w:t>）在参加网上开标时，应双击“检测工具（广西互通版）”图标，打开“证书环境检测助手”，并保持开启状态至开标结束。关闭“证书环境检测助手”会导致系统无法正常读取</w:t>
      </w:r>
      <w:r>
        <w:rPr>
          <w:rFonts w:ascii="仿宋_GB2312" w:eastAsia="仿宋_GB2312"/>
          <w:sz w:val="32"/>
          <w:szCs w:val="32"/>
        </w:rPr>
        <w:t>CA</w:t>
      </w:r>
      <w:r>
        <w:rPr>
          <w:rFonts w:hint="eastAsia" w:ascii="仿宋_GB2312" w:eastAsia="仿宋_GB2312"/>
          <w:sz w:val="32"/>
          <w:szCs w:val="32"/>
        </w:rPr>
        <w:t>锁签章而失败。如无法签章可再次打开“证书环境检测助手”，重新打开浏览器登录网上开标子系统即可。</w:t>
      </w:r>
    </w:p>
    <w:p>
      <w:pPr>
        <w:spacing w:line="570" w:lineRule="exact"/>
        <w:ind w:firstLine="645"/>
        <w:jc w:val="left"/>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、投标人参与网上开标（不见面方式）时，在招标项目开标前</w:t>
      </w:r>
      <w:r>
        <w:rPr>
          <w:rFonts w:ascii="仿宋_GB2312" w:eastAsia="仿宋_GB2312"/>
          <w:sz w:val="32"/>
          <w:szCs w:val="32"/>
        </w:rPr>
        <w:t>60</w:t>
      </w:r>
      <w:r>
        <w:rPr>
          <w:rFonts w:hint="eastAsia" w:ascii="仿宋_GB2312" w:eastAsia="仿宋_GB2312"/>
          <w:sz w:val="32"/>
          <w:szCs w:val="32"/>
        </w:rPr>
        <w:t>分钟内可</w:t>
      </w:r>
      <w:r>
        <w:rPr>
          <w:rFonts w:hint="eastAsia" w:ascii="仿宋_GB2312" w:eastAsia="仿宋_GB2312"/>
          <w:sz w:val="32"/>
          <w:szCs w:val="32"/>
          <w:lang w:eastAsia="zh-CN"/>
        </w:rPr>
        <w:t>登录</w:t>
      </w:r>
      <w:r>
        <w:rPr>
          <w:rFonts w:hint="eastAsia" w:ascii="仿宋_GB2312" w:eastAsia="仿宋_GB2312"/>
          <w:sz w:val="32"/>
          <w:szCs w:val="32"/>
        </w:rPr>
        <w:t>“网上开标大厅”进行开标签到。已完成签到的投标人可观看到开标现场视频，未完成签到的投标人不能观看开标现场视频。现场直播有全景、主持人、摇号机等画面，均同步全程直播，投标人可自由选择某路观看。建议投标人在项目开标前预留充足时间做好以上各项准备工作，登录平台系统检查是否访问正常，避免因准备工作不足而影响开标签到和投标文件解密。</w:t>
      </w:r>
    </w:p>
    <w:p>
      <w:pPr>
        <w:spacing w:line="570" w:lineRule="exact"/>
        <w:ind w:firstLine="66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、网上开标（不见面方式开标）目前不支持上传在制作投标文件时同步生成的非加密文件，投标人不需再刻录非加密投标文件光盘。网上开标投标文件解密时间为</w:t>
      </w:r>
      <w:r>
        <w:rPr>
          <w:rFonts w:ascii="仿宋_GB2312" w:eastAsia="仿宋_GB2312"/>
          <w:sz w:val="32"/>
          <w:szCs w:val="32"/>
        </w:rPr>
        <w:t>60</w:t>
      </w:r>
      <w:r>
        <w:rPr>
          <w:rFonts w:hint="eastAsia" w:ascii="仿宋_GB2312" w:eastAsia="仿宋_GB2312"/>
          <w:sz w:val="32"/>
          <w:szCs w:val="32"/>
        </w:rPr>
        <w:t>分钟，在限定时间内投标人不能完成投标文件解密的，视为投标人“投标撤销”，代理机构可按“投标撤销”程序进行处理。投标人在上传投标文件时，可使用“模拟解密”功能验证解密</w:t>
      </w:r>
      <w:r>
        <w:rPr>
          <w:rFonts w:ascii="仿宋_GB2312" w:eastAsia="仿宋_GB2312"/>
          <w:sz w:val="32"/>
          <w:szCs w:val="32"/>
        </w:rPr>
        <w:t>CA</w:t>
      </w:r>
      <w:r>
        <w:rPr>
          <w:rFonts w:hint="eastAsia" w:ascii="仿宋_GB2312" w:eastAsia="仿宋_GB2312"/>
          <w:sz w:val="32"/>
          <w:szCs w:val="32"/>
        </w:rPr>
        <w:t>锁是否正常。</w:t>
      </w:r>
    </w:p>
    <w:p>
      <w:pPr>
        <w:spacing w:line="57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、投标人务必及时办理个人</w:t>
      </w:r>
      <w:r>
        <w:rPr>
          <w:rFonts w:ascii="仿宋_GB2312" w:eastAsia="仿宋_GB2312"/>
          <w:sz w:val="32"/>
          <w:szCs w:val="32"/>
        </w:rPr>
        <w:t>CA</w:t>
      </w:r>
      <w:r>
        <w:rPr>
          <w:rFonts w:hint="eastAsia" w:ascii="仿宋_GB2312" w:eastAsia="仿宋_GB2312"/>
          <w:sz w:val="32"/>
          <w:szCs w:val="32"/>
        </w:rPr>
        <w:t>证书和个人电子签章，用于开标签到、开标记录表签章；开标记录表在</w:t>
      </w:r>
      <w:r>
        <w:rPr>
          <w:rFonts w:ascii="仿宋_GB2312" w:eastAsia="仿宋_GB2312"/>
          <w:sz w:val="32"/>
          <w:szCs w:val="32"/>
        </w:rPr>
        <w:t>10</w:t>
      </w:r>
      <w:r>
        <w:rPr>
          <w:rFonts w:hint="eastAsia" w:ascii="仿宋_GB2312" w:eastAsia="仿宋_GB2312"/>
          <w:sz w:val="32"/>
          <w:szCs w:val="32"/>
        </w:rPr>
        <w:t>分钟内未完成签章，则视为投标人认可开标记录表的内容。如签章错误，投标人可在签章上右键，选择“删除”，随后重签即可。如签章出现故障，可重新打开“证书环境检测助手”，再重新关闭打开浏览器登录网上开标子系统即可。</w:t>
      </w:r>
    </w:p>
    <w:p>
      <w:pPr>
        <w:spacing w:line="570" w:lineRule="exact"/>
        <w:ind w:firstLine="66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、网上开标过程中投标人可通过互动交流板块和招标代理在线沟通，可发送语音和文字信息。重要事项可发起“提问</w:t>
      </w:r>
      <w:r>
        <w:rPr>
          <w:rFonts w:ascii="仿宋_GB2312" w:eastAsia="仿宋_GB2312"/>
          <w:sz w:val="32"/>
          <w:szCs w:val="32"/>
        </w:rPr>
        <w:t>/</w:t>
      </w:r>
      <w:r>
        <w:rPr>
          <w:rFonts w:hint="eastAsia" w:ascii="仿宋_GB2312" w:eastAsia="仿宋_GB2312"/>
          <w:sz w:val="32"/>
          <w:szCs w:val="32"/>
        </w:rPr>
        <w:t>异议”</w:t>
      </w:r>
      <w:r>
        <w:rPr>
          <w:rFonts w:ascii="仿宋_GB2312" w:eastAsia="仿宋_GB2312"/>
          <w:sz w:val="32"/>
          <w:szCs w:val="32"/>
        </w:rPr>
        <w:t>,</w:t>
      </w:r>
      <w:r>
        <w:rPr>
          <w:rFonts w:hint="eastAsia" w:ascii="仿宋_GB2312" w:eastAsia="仿宋_GB2312"/>
          <w:sz w:val="32"/>
          <w:szCs w:val="32"/>
        </w:rPr>
        <w:t>该通道内容将作为开标过程记录附件存档，招标代理机构将与“开标报告”同步提交行业监管部门备案。</w:t>
      </w:r>
    </w:p>
    <w:p>
      <w:pPr>
        <w:spacing w:line="570" w:lineRule="exact"/>
        <w:ind w:firstLine="66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、投标人可通过平台系统进行异议和投诉。评标阶段需要投标人对投标文件作出相关说明的，将通过平台系统进行提问和回复。</w:t>
      </w:r>
    </w:p>
    <w:p>
      <w:pPr>
        <w:spacing w:line="570" w:lineRule="exact"/>
        <w:ind w:firstLine="645"/>
        <w:rPr>
          <w:rFonts w:ascii="黑体" w:hAnsi="黑体" w:eastAsia="黑体"/>
          <w:sz w:val="32"/>
          <w:szCs w:val="32"/>
        </w:rPr>
      </w:pPr>
      <w:r>
        <w:rPr>
          <w:rFonts w:hint="eastAsia" w:ascii="黑体" w:hAnsi="黑体" w:eastAsia="黑体"/>
          <w:sz w:val="32"/>
          <w:szCs w:val="32"/>
        </w:rPr>
        <w:t>四、其他注意事项</w:t>
      </w:r>
    </w:p>
    <w:p>
      <w:pPr>
        <w:spacing w:line="570" w:lineRule="exact"/>
        <w:ind w:firstLine="645"/>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、关于</w:t>
      </w:r>
      <w:r>
        <w:rPr>
          <w:rFonts w:ascii="仿宋_GB2312" w:eastAsia="仿宋_GB2312"/>
          <w:sz w:val="32"/>
          <w:szCs w:val="32"/>
        </w:rPr>
        <w:t>CA</w:t>
      </w:r>
      <w:r>
        <w:rPr>
          <w:rFonts w:hint="eastAsia" w:ascii="仿宋_GB2312" w:eastAsia="仿宋_GB2312"/>
          <w:sz w:val="32"/>
          <w:szCs w:val="32"/>
        </w:rPr>
        <w:t>互认问题。平台系统目前实现“三家</w:t>
      </w:r>
      <w:r>
        <w:rPr>
          <w:rFonts w:ascii="仿宋_GB2312" w:eastAsia="仿宋_GB2312"/>
          <w:sz w:val="32"/>
          <w:szCs w:val="32"/>
        </w:rPr>
        <w:t>CA</w:t>
      </w:r>
      <w:r>
        <w:rPr>
          <w:rFonts w:hint="eastAsia" w:ascii="仿宋_GB2312" w:eastAsia="仿宋_GB2312"/>
          <w:sz w:val="32"/>
          <w:szCs w:val="32"/>
        </w:rPr>
        <w:t>公司互认”和“两种方式互通”。“三家</w:t>
      </w:r>
      <w:r>
        <w:rPr>
          <w:rFonts w:ascii="仿宋_GB2312" w:eastAsia="仿宋_GB2312"/>
          <w:sz w:val="32"/>
          <w:szCs w:val="32"/>
        </w:rPr>
        <w:t>CA</w:t>
      </w:r>
      <w:r>
        <w:rPr>
          <w:rFonts w:hint="eastAsia" w:ascii="仿宋_GB2312" w:eastAsia="仿宋_GB2312"/>
          <w:sz w:val="32"/>
          <w:szCs w:val="32"/>
        </w:rPr>
        <w:t>公司互认”指的是平台系统支持华测</w:t>
      </w:r>
      <w:r>
        <w:rPr>
          <w:rFonts w:ascii="仿宋_GB2312" w:eastAsia="仿宋_GB2312"/>
          <w:sz w:val="32"/>
          <w:szCs w:val="32"/>
        </w:rPr>
        <w:t>CA</w:t>
      </w:r>
      <w:r>
        <w:rPr>
          <w:rFonts w:hint="eastAsia" w:ascii="仿宋_GB2312" w:eastAsia="仿宋_GB2312"/>
          <w:sz w:val="32"/>
          <w:szCs w:val="32"/>
        </w:rPr>
        <w:t>（广西）、天威诚信</w:t>
      </w:r>
      <w:r>
        <w:rPr>
          <w:rFonts w:ascii="仿宋_GB2312" w:eastAsia="仿宋_GB2312"/>
          <w:sz w:val="32"/>
          <w:szCs w:val="32"/>
        </w:rPr>
        <w:t>CA</w:t>
      </w:r>
      <w:r>
        <w:rPr>
          <w:rFonts w:hint="eastAsia" w:ascii="仿宋_GB2312" w:eastAsia="仿宋_GB2312"/>
          <w:sz w:val="32"/>
          <w:szCs w:val="32"/>
        </w:rPr>
        <w:t>（广西）、广西</w:t>
      </w:r>
      <w:r>
        <w:rPr>
          <w:rFonts w:ascii="仿宋_GB2312" w:eastAsia="仿宋_GB2312"/>
          <w:sz w:val="32"/>
          <w:szCs w:val="32"/>
        </w:rPr>
        <w:t>CA</w:t>
      </w:r>
      <w:r>
        <w:rPr>
          <w:rFonts w:hint="eastAsia" w:ascii="仿宋_GB2312" w:eastAsia="仿宋_GB2312"/>
          <w:sz w:val="32"/>
          <w:szCs w:val="32"/>
        </w:rPr>
        <w:t>任意一家互认使用，办理一次可在广西范围内所有公共资源交易中心公共资源交易平台系统中通用。“两种方式互通”指的是平台系统支持传统有介质的</w:t>
      </w:r>
      <w:r>
        <w:rPr>
          <w:rFonts w:ascii="仿宋_GB2312" w:eastAsia="仿宋_GB2312"/>
          <w:sz w:val="32"/>
          <w:szCs w:val="32"/>
        </w:rPr>
        <w:t>CA</w:t>
      </w:r>
      <w:r>
        <w:rPr>
          <w:rFonts w:hint="eastAsia" w:ascii="仿宋_GB2312" w:eastAsia="仿宋_GB2312"/>
          <w:sz w:val="32"/>
          <w:szCs w:val="32"/>
        </w:rPr>
        <w:t>锁和“桂交易移动</w:t>
      </w:r>
      <w:r>
        <w:rPr>
          <w:rFonts w:ascii="仿宋_GB2312" w:eastAsia="仿宋_GB2312"/>
          <w:sz w:val="32"/>
          <w:szCs w:val="32"/>
        </w:rPr>
        <w:t>CA</w:t>
      </w:r>
      <w:r>
        <w:rPr>
          <w:rFonts w:hint="eastAsia" w:ascii="仿宋_GB2312" w:eastAsia="仿宋_GB2312"/>
          <w:sz w:val="32"/>
          <w:szCs w:val="32"/>
        </w:rPr>
        <w:t>”（手机扫码签）方式，在任何需要</w:t>
      </w:r>
      <w:r>
        <w:rPr>
          <w:rFonts w:ascii="仿宋_GB2312" w:eastAsia="仿宋_GB2312"/>
          <w:sz w:val="32"/>
          <w:szCs w:val="32"/>
        </w:rPr>
        <w:t>CA</w:t>
      </w:r>
      <w:r>
        <w:rPr>
          <w:rFonts w:hint="eastAsia" w:ascii="仿宋_GB2312" w:eastAsia="仿宋_GB2312"/>
          <w:sz w:val="32"/>
          <w:szCs w:val="32"/>
        </w:rPr>
        <w:t>签章环节两种签章方式互通。</w:t>
      </w:r>
    </w:p>
    <w:p>
      <w:pPr>
        <w:spacing w:line="570" w:lineRule="exact"/>
        <w:ind w:firstLine="645"/>
        <w:rPr>
          <w:rFonts w:ascii="仿宋_GB2312" w:eastAsia="仿宋_GB2312"/>
          <w:sz w:val="32"/>
          <w:szCs w:val="32"/>
        </w:rPr>
      </w:pPr>
      <w:r>
        <w:rPr>
          <w:rFonts w:hint="eastAsia" w:ascii="仿宋_GB2312" w:eastAsia="仿宋_GB2312"/>
          <w:sz w:val="32"/>
          <w:szCs w:val="32"/>
        </w:rPr>
        <w:t>目前“桂交易移动</w:t>
      </w:r>
      <w:r>
        <w:rPr>
          <w:rFonts w:ascii="仿宋_GB2312" w:eastAsia="仿宋_GB2312"/>
          <w:sz w:val="32"/>
          <w:szCs w:val="32"/>
        </w:rPr>
        <w:t>CA</w:t>
      </w:r>
      <w:r>
        <w:rPr>
          <w:rFonts w:hint="eastAsia" w:ascii="仿宋_GB2312" w:eastAsia="仿宋_GB2312"/>
          <w:sz w:val="32"/>
          <w:szCs w:val="32"/>
        </w:rPr>
        <w:t>”可支持安卓、鸿蒙、</w:t>
      </w:r>
      <w:r>
        <w:rPr>
          <w:rFonts w:ascii="仿宋_GB2312" w:eastAsia="仿宋_GB2312"/>
          <w:sz w:val="32"/>
          <w:szCs w:val="32"/>
        </w:rPr>
        <w:t>IOS</w:t>
      </w:r>
      <w:r>
        <w:rPr>
          <w:rFonts w:hint="eastAsia" w:ascii="仿宋_GB2312" w:eastAsia="仿宋_GB2312"/>
          <w:sz w:val="32"/>
          <w:szCs w:val="32"/>
        </w:rPr>
        <w:t>操作系统，在</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前可免费申领</w:t>
      </w:r>
      <w:r>
        <w:rPr>
          <w:rFonts w:ascii="仿宋_GB2312" w:eastAsia="仿宋_GB2312"/>
          <w:sz w:val="32"/>
          <w:szCs w:val="32"/>
        </w:rPr>
        <w:t>2</w:t>
      </w:r>
      <w:r>
        <w:rPr>
          <w:rFonts w:hint="eastAsia" w:ascii="仿宋_GB2312" w:eastAsia="仿宋_GB2312"/>
          <w:sz w:val="32"/>
          <w:szCs w:val="32"/>
        </w:rPr>
        <w:t>个月使用期，并支持按月付费方式。</w:t>
      </w:r>
    </w:p>
    <w:p>
      <w:pPr>
        <w:spacing w:line="570" w:lineRule="exact"/>
        <w:rPr>
          <w:rFonts w:ascii="仿宋_GB2312" w:eastAsia="仿宋_GB2312"/>
          <w:sz w:val="32"/>
          <w:szCs w:val="32"/>
        </w:rPr>
      </w:pPr>
      <w:r>
        <w:rPr>
          <w:rFonts w:ascii="仿宋_GB2312" w:eastAsia="仿宋_GB2312"/>
          <w:sz w:val="32"/>
          <w:szCs w:val="32"/>
        </w:rPr>
        <w:t xml:space="preserve">    2</w:t>
      </w:r>
      <w:r>
        <w:rPr>
          <w:rFonts w:hint="eastAsia" w:ascii="仿宋_GB2312" w:eastAsia="仿宋_GB2312"/>
          <w:sz w:val="32"/>
          <w:szCs w:val="32"/>
        </w:rPr>
        <w:t>、关于</w:t>
      </w:r>
      <w:r>
        <w:rPr>
          <w:rFonts w:ascii="仿宋_GB2312" w:eastAsia="仿宋_GB2312"/>
          <w:sz w:val="32"/>
          <w:szCs w:val="32"/>
        </w:rPr>
        <w:t>CA</w:t>
      </w:r>
      <w:r>
        <w:rPr>
          <w:rFonts w:hint="eastAsia" w:ascii="仿宋_GB2312" w:eastAsia="仿宋_GB2312"/>
          <w:sz w:val="32"/>
          <w:szCs w:val="32"/>
        </w:rPr>
        <w:t>互认驱动安装问题。投标人在安装“广西壮族自治区</w:t>
      </w:r>
      <w:r>
        <w:rPr>
          <w:rFonts w:ascii="仿宋_GB2312" w:eastAsia="仿宋_GB2312"/>
          <w:sz w:val="32"/>
          <w:szCs w:val="32"/>
        </w:rPr>
        <w:t>CA</w:t>
      </w:r>
      <w:r>
        <w:rPr>
          <w:rFonts w:hint="eastAsia" w:ascii="仿宋_GB2312" w:eastAsia="仿宋_GB2312"/>
          <w:sz w:val="32"/>
          <w:szCs w:val="32"/>
        </w:rPr>
        <w:t>互认驱动</w:t>
      </w:r>
      <w:r>
        <w:rPr>
          <w:rFonts w:ascii="仿宋_GB2312" w:eastAsia="仿宋_GB2312"/>
          <w:sz w:val="32"/>
          <w:szCs w:val="32"/>
        </w:rPr>
        <w:t>1.3</w:t>
      </w:r>
      <w:r>
        <w:rPr>
          <w:rFonts w:hint="eastAsia" w:ascii="仿宋_GB2312" w:eastAsia="仿宋_GB2312"/>
          <w:sz w:val="32"/>
          <w:szCs w:val="32"/>
        </w:rPr>
        <w:t>”时会进行系统设置，有些安全杀毒软件可能会进行阻止导致安装失败。成功安装后如不能正常登录平台系统时，可以重新安装互认驱动。安装完成后注意要进行</w:t>
      </w:r>
      <w:r>
        <w:rPr>
          <w:rFonts w:ascii="仿宋_GB2312" w:eastAsia="仿宋_GB2312"/>
          <w:sz w:val="32"/>
          <w:szCs w:val="32"/>
        </w:rPr>
        <w:t>IE</w:t>
      </w:r>
      <w:r>
        <w:rPr>
          <w:rFonts w:hint="eastAsia" w:ascii="仿宋_GB2312" w:eastAsia="仿宋_GB2312"/>
          <w:sz w:val="32"/>
          <w:szCs w:val="32"/>
        </w:rPr>
        <w:t>可信任站点和兼容性视图设置。</w:t>
      </w:r>
    </w:p>
    <w:p>
      <w:pPr>
        <w:spacing w:line="57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、网上开标视频直播问题。网上开标（不见面方式）现场的视频直播只在对应招标项目开标前</w:t>
      </w:r>
      <w:r>
        <w:rPr>
          <w:rFonts w:ascii="仿宋_GB2312" w:eastAsia="仿宋_GB2312"/>
          <w:sz w:val="32"/>
          <w:szCs w:val="32"/>
        </w:rPr>
        <w:t>10</w:t>
      </w:r>
      <w:r>
        <w:rPr>
          <w:rFonts w:hint="eastAsia" w:ascii="仿宋_GB2312" w:eastAsia="仿宋_GB2312"/>
          <w:sz w:val="32"/>
          <w:szCs w:val="32"/>
        </w:rPr>
        <w:t>分钟开始，在开标结束后停止。如果在直播时段还是无法看到，可以重新安装直播播放器，并再次设置</w:t>
      </w:r>
      <w:r>
        <w:rPr>
          <w:rFonts w:ascii="仿宋_GB2312" w:eastAsia="仿宋_GB2312"/>
          <w:sz w:val="32"/>
          <w:szCs w:val="32"/>
        </w:rPr>
        <w:t>IE</w:t>
      </w:r>
      <w:r>
        <w:rPr>
          <w:rFonts w:hint="eastAsia" w:ascii="仿宋_GB2312" w:eastAsia="仿宋_GB2312"/>
          <w:sz w:val="32"/>
          <w:szCs w:val="32"/>
        </w:rPr>
        <w:t>可信任站点和兼容性视图。</w:t>
      </w:r>
    </w:p>
    <w:sectPr>
      <w:footerReference r:id="rId3" w:type="default"/>
      <w:footerReference r:id="rId4" w:type="even"/>
      <w:pgSz w:w="11906" w:h="16838"/>
      <w:pgMar w:top="2098" w:right="1474" w:bottom="1985" w:left="1588"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7</w:t>
    </w:r>
    <w:r>
      <w:rPr>
        <w:rStyle w:val="9"/>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jMjY3NGNkOTZjMzgzYzdiYjI5YTFlNTJlNTJkY2IifQ=="/>
  </w:docVars>
  <w:rsids>
    <w:rsidRoot w:val="336D4937"/>
    <w:rsid w:val="000149B8"/>
    <w:rsid w:val="000523B0"/>
    <w:rsid w:val="000D2F3F"/>
    <w:rsid w:val="000E31EE"/>
    <w:rsid w:val="0017307F"/>
    <w:rsid w:val="0017319D"/>
    <w:rsid w:val="002171A0"/>
    <w:rsid w:val="00220DBD"/>
    <w:rsid w:val="00244AD3"/>
    <w:rsid w:val="002D6231"/>
    <w:rsid w:val="003105EC"/>
    <w:rsid w:val="00364C88"/>
    <w:rsid w:val="003759FE"/>
    <w:rsid w:val="003C7F56"/>
    <w:rsid w:val="003F0584"/>
    <w:rsid w:val="003F5031"/>
    <w:rsid w:val="004553A1"/>
    <w:rsid w:val="00460FDE"/>
    <w:rsid w:val="00464730"/>
    <w:rsid w:val="0049530F"/>
    <w:rsid w:val="004C6681"/>
    <w:rsid w:val="004F79D2"/>
    <w:rsid w:val="00501979"/>
    <w:rsid w:val="00501B8B"/>
    <w:rsid w:val="0054469D"/>
    <w:rsid w:val="00550FD7"/>
    <w:rsid w:val="0057414B"/>
    <w:rsid w:val="005812FF"/>
    <w:rsid w:val="0059391D"/>
    <w:rsid w:val="005B7CF6"/>
    <w:rsid w:val="005B7E65"/>
    <w:rsid w:val="005D6ED7"/>
    <w:rsid w:val="005E33F9"/>
    <w:rsid w:val="005F6C62"/>
    <w:rsid w:val="006045D3"/>
    <w:rsid w:val="0061677E"/>
    <w:rsid w:val="00647844"/>
    <w:rsid w:val="00684F25"/>
    <w:rsid w:val="006C1D8E"/>
    <w:rsid w:val="006C5D62"/>
    <w:rsid w:val="006E7A91"/>
    <w:rsid w:val="00730B74"/>
    <w:rsid w:val="00755EC9"/>
    <w:rsid w:val="00762A86"/>
    <w:rsid w:val="00790D66"/>
    <w:rsid w:val="007D3591"/>
    <w:rsid w:val="0081083B"/>
    <w:rsid w:val="00841071"/>
    <w:rsid w:val="00842E4B"/>
    <w:rsid w:val="008D39E7"/>
    <w:rsid w:val="008E2CB0"/>
    <w:rsid w:val="00931E78"/>
    <w:rsid w:val="009852CA"/>
    <w:rsid w:val="009B535E"/>
    <w:rsid w:val="009C51AE"/>
    <w:rsid w:val="009D2161"/>
    <w:rsid w:val="009F2E98"/>
    <w:rsid w:val="00A03A51"/>
    <w:rsid w:val="00A3448C"/>
    <w:rsid w:val="00A46FBF"/>
    <w:rsid w:val="00A5426A"/>
    <w:rsid w:val="00A82512"/>
    <w:rsid w:val="00AB308B"/>
    <w:rsid w:val="00AC6571"/>
    <w:rsid w:val="00AD2C37"/>
    <w:rsid w:val="00AD3951"/>
    <w:rsid w:val="00AE0499"/>
    <w:rsid w:val="00AE15D5"/>
    <w:rsid w:val="00B104F1"/>
    <w:rsid w:val="00B3577E"/>
    <w:rsid w:val="00B4479C"/>
    <w:rsid w:val="00B645F3"/>
    <w:rsid w:val="00B80D79"/>
    <w:rsid w:val="00B95D5A"/>
    <w:rsid w:val="00BB421E"/>
    <w:rsid w:val="00BB7B96"/>
    <w:rsid w:val="00BD04B6"/>
    <w:rsid w:val="00BD10E8"/>
    <w:rsid w:val="00C06254"/>
    <w:rsid w:val="00C0706E"/>
    <w:rsid w:val="00C90511"/>
    <w:rsid w:val="00CA1682"/>
    <w:rsid w:val="00CB7B84"/>
    <w:rsid w:val="00CC5FD6"/>
    <w:rsid w:val="00CE10D7"/>
    <w:rsid w:val="00D26A7F"/>
    <w:rsid w:val="00D277E9"/>
    <w:rsid w:val="00D8160D"/>
    <w:rsid w:val="00DF4594"/>
    <w:rsid w:val="00E07BC3"/>
    <w:rsid w:val="00E36B30"/>
    <w:rsid w:val="00E9281C"/>
    <w:rsid w:val="00EA29D2"/>
    <w:rsid w:val="00EC081F"/>
    <w:rsid w:val="00EC6816"/>
    <w:rsid w:val="00F12CF7"/>
    <w:rsid w:val="00F16F35"/>
    <w:rsid w:val="00F23F7A"/>
    <w:rsid w:val="00F31052"/>
    <w:rsid w:val="00F37F4F"/>
    <w:rsid w:val="00F40BF9"/>
    <w:rsid w:val="00FD280F"/>
    <w:rsid w:val="00FD30F4"/>
    <w:rsid w:val="00FF6444"/>
    <w:rsid w:val="0C2B3F10"/>
    <w:rsid w:val="1236344F"/>
    <w:rsid w:val="2DBF3D6C"/>
    <w:rsid w:val="2E975797"/>
    <w:rsid w:val="336D4937"/>
    <w:rsid w:val="3CF7831D"/>
    <w:rsid w:val="3FCC6B52"/>
    <w:rsid w:val="74F67EBC"/>
    <w:rsid w:val="FDF5FE4F"/>
    <w:rsid w:val="FF7F710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0"/>
    <w:qFormat/>
    <w:uiPriority w:val="99"/>
    <w:pPr>
      <w:keepNext/>
      <w:keepLines/>
      <w:spacing w:line="576" w:lineRule="auto"/>
      <w:outlineLvl w:val="0"/>
    </w:pPr>
    <w:rPr>
      <w:b/>
      <w:kern w:val="44"/>
      <w:sz w:val="44"/>
    </w:rPr>
  </w:style>
  <w:style w:type="paragraph" w:styleId="3">
    <w:name w:val="heading 3"/>
    <w:basedOn w:val="1"/>
    <w:next w:val="1"/>
    <w:link w:val="21"/>
    <w:qFormat/>
    <w:uiPriority w:val="99"/>
    <w:pPr>
      <w:jc w:val="left"/>
      <w:outlineLvl w:val="2"/>
    </w:pPr>
    <w:rPr>
      <w:rFonts w:ascii="宋体" w:hAnsi="宋体"/>
      <w:kern w:val="0"/>
      <w:sz w:val="24"/>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22"/>
    <w:qFormat/>
    <w:uiPriority w:val="99"/>
    <w:pPr>
      <w:tabs>
        <w:tab w:val="center" w:pos="4153"/>
        <w:tab w:val="right" w:pos="8306"/>
      </w:tabs>
      <w:snapToGrid w:val="0"/>
      <w:jc w:val="left"/>
    </w:pPr>
    <w:rPr>
      <w:sz w:val="18"/>
      <w:szCs w:val="18"/>
    </w:rPr>
  </w:style>
  <w:style w:type="paragraph" w:styleId="5">
    <w:name w:val="Normal (Web)"/>
    <w:basedOn w:val="1"/>
    <w:qFormat/>
    <w:uiPriority w:val="99"/>
    <w:pPr>
      <w:jc w:val="left"/>
    </w:pPr>
    <w:rPr>
      <w:kern w:val="0"/>
      <w:sz w:val="24"/>
    </w:rPr>
  </w:style>
  <w:style w:type="character" w:styleId="8">
    <w:name w:val="Strong"/>
    <w:basedOn w:val="7"/>
    <w:qFormat/>
    <w:uiPriority w:val="99"/>
    <w:rPr>
      <w:rFonts w:cs="Times New Roman"/>
      <w:b/>
    </w:rPr>
  </w:style>
  <w:style w:type="character" w:styleId="9">
    <w:name w:val="page number"/>
    <w:basedOn w:val="7"/>
    <w:qFormat/>
    <w:uiPriority w:val="99"/>
    <w:rPr>
      <w:rFonts w:cs="Times New Roman"/>
    </w:rPr>
  </w:style>
  <w:style w:type="character" w:styleId="10">
    <w:name w:val="FollowedHyperlink"/>
    <w:basedOn w:val="7"/>
    <w:qFormat/>
    <w:uiPriority w:val="99"/>
    <w:rPr>
      <w:rFonts w:cs="Times New Roman"/>
      <w:color w:val="800080"/>
      <w:u w:val="none"/>
    </w:rPr>
  </w:style>
  <w:style w:type="character" w:styleId="11">
    <w:name w:val="HTML Definition"/>
    <w:basedOn w:val="7"/>
    <w:qFormat/>
    <w:uiPriority w:val="99"/>
    <w:rPr>
      <w:rFonts w:cs="Times New Roman"/>
    </w:rPr>
  </w:style>
  <w:style w:type="character" w:styleId="12">
    <w:name w:val="HTML Typewriter"/>
    <w:basedOn w:val="7"/>
    <w:qFormat/>
    <w:uiPriority w:val="99"/>
    <w:rPr>
      <w:rFonts w:ascii="monospace" w:hAnsi="monospace" w:cs="monospace"/>
      <w:sz w:val="20"/>
    </w:rPr>
  </w:style>
  <w:style w:type="character" w:styleId="13">
    <w:name w:val="HTML Acronym"/>
    <w:basedOn w:val="7"/>
    <w:qFormat/>
    <w:uiPriority w:val="99"/>
    <w:rPr>
      <w:rFonts w:cs="Times New Roman"/>
    </w:rPr>
  </w:style>
  <w:style w:type="character" w:styleId="14">
    <w:name w:val="HTML Variable"/>
    <w:basedOn w:val="7"/>
    <w:qFormat/>
    <w:uiPriority w:val="99"/>
    <w:rPr>
      <w:rFonts w:cs="Times New Roman"/>
    </w:rPr>
  </w:style>
  <w:style w:type="character" w:styleId="15">
    <w:name w:val="Hyperlink"/>
    <w:basedOn w:val="7"/>
    <w:qFormat/>
    <w:uiPriority w:val="99"/>
    <w:rPr>
      <w:rFonts w:cs="Times New Roman"/>
      <w:color w:val="0000FF"/>
      <w:u w:val="none"/>
    </w:rPr>
  </w:style>
  <w:style w:type="character" w:styleId="16">
    <w:name w:val="HTML Code"/>
    <w:basedOn w:val="7"/>
    <w:qFormat/>
    <w:uiPriority w:val="99"/>
    <w:rPr>
      <w:rFonts w:ascii="monospace" w:hAnsi="monospace" w:cs="monospace"/>
      <w:sz w:val="20"/>
    </w:rPr>
  </w:style>
  <w:style w:type="character" w:styleId="17">
    <w:name w:val="HTML Cite"/>
    <w:basedOn w:val="7"/>
    <w:qFormat/>
    <w:uiPriority w:val="99"/>
    <w:rPr>
      <w:rFonts w:cs="Times New Roman"/>
    </w:rPr>
  </w:style>
  <w:style w:type="character" w:styleId="18">
    <w:name w:val="HTML Keyboard"/>
    <w:basedOn w:val="7"/>
    <w:qFormat/>
    <w:uiPriority w:val="99"/>
    <w:rPr>
      <w:rFonts w:ascii="monospace" w:hAnsi="monospace" w:cs="monospace"/>
      <w:sz w:val="20"/>
    </w:rPr>
  </w:style>
  <w:style w:type="character" w:styleId="19">
    <w:name w:val="HTML Sample"/>
    <w:basedOn w:val="7"/>
    <w:qFormat/>
    <w:uiPriority w:val="99"/>
    <w:rPr>
      <w:rFonts w:ascii="monospace" w:hAnsi="monospace" w:cs="monospace"/>
    </w:rPr>
  </w:style>
  <w:style w:type="character" w:customStyle="1" w:styleId="20">
    <w:name w:val="Heading 1 Char"/>
    <w:basedOn w:val="7"/>
    <w:link w:val="2"/>
    <w:qFormat/>
    <w:locked/>
    <w:uiPriority w:val="99"/>
    <w:rPr>
      <w:rFonts w:ascii="Calibri" w:hAnsi="Calibri" w:cs="Times New Roman"/>
      <w:b/>
      <w:bCs/>
      <w:kern w:val="44"/>
      <w:sz w:val="44"/>
      <w:szCs w:val="44"/>
    </w:rPr>
  </w:style>
  <w:style w:type="character" w:customStyle="1" w:styleId="21">
    <w:name w:val="Heading 3 Char"/>
    <w:basedOn w:val="7"/>
    <w:link w:val="3"/>
    <w:semiHidden/>
    <w:qFormat/>
    <w:locked/>
    <w:uiPriority w:val="99"/>
    <w:rPr>
      <w:rFonts w:ascii="Calibri" w:hAnsi="Calibri" w:cs="Times New Roman"/>
      <w:b/>
      <w:bCs/>
      <w:sz w:val="32"/>
      <w:szCs w:val="32"/>
    </w:rPr>
  </w:style>
  <w:style w:type="character" w:customStyle="1" w:styleId="22">
    <w:name w:val="Footer Char"/>
    <w:basedOn w:val="7"/>
    <w:link w:val="4"/>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7</Pages>
  <Words>3654</Words>
  <Characters>3768</Characters>
  <Lines>0</Lines>
  <Paragraphs>0</Paragraphs>
  <TotalTime>18</TotalTime>
  <ScaleCrop>false</ScaleCrop>
  <LinksUpToDate>false</LinksUpToDate>
  <CharactersWithSpaces>3772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2022-08-31T17:29:00Z</dcterms:created>
  <dc:creator>.com</dc:creator>
  <cp:lastModifiedBy>天微亮~~</cp:lastModifiedBy>
  <dcterms:modified xsi:type="dcterms:W3CDTF">2023-04-04T06:45:57Z</dcterms:modified>
  <dc:title>广西壮族自治区公共资源交易平台系统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342A4E37F2C04ECA9BB8EDE9DFB68C58</vt:lpwstr>
  </property>
</Properties>
</file>