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560" w:lineRule="exact"/>
        <w:jc w:val="both"/>
        <w:outlineLvl w:val="1"/>
        <w:rPr>
          <w:rFonts w:hint="eastAsia" w:ascii="方正小标宋_GBK" w:hAnsi="宋体" w:eastAsia="方正小标宋_GBK" w:cs="宋体"/>
          <w:bCs/>
          <w:sz w:val="44"/>
          <w:szCs w:val="44"/>
        </w:rPr>
      </w:pPr>
    </w:p>
    <w:p>
      <w:pPr>
        <w:spacing w:line="560" w:lineRule="exact"/>
        <w:jc w:val="center"/>
        <w:outlineLvl w:val="1"/>
        <w:rPr>
          <w:rFonts w:hint="eastAsia" w:ascii="方正小标宋_GBK" w:hAnsi="宋体" w:eastAsia="方正小标宋_GBK" w:cs="宋体"/>
          <w:bCs/>
          <w:sz w:val="44"/>
          <w:szCs w:val="44"/>
        </w:rPr>
      </w:pPr>
      <w:r>
        <w:rPr>
          <w:rFonts w:hint="eastAsia" w:ascii="方正小标宋_GBK" w:hAnsi="宋体" w:eastAsia="方正小标宋_GBK" w:cs="宋体"/>
          <w:bCs/>
          <w:sz w:val="44"/>
          <w:szCs w:val="44"/>
        </w:rPr>
        <w:t>不合格项目的说明</w:t>
      </w:r>
    </w:p>
    <w:p>
      <w:pPr>
        <w:pStyle w:val="2"/>
        <w:rPr>
          <w:rFonts w:hint="eastAsia"/>
        </w:rPr>
      </w:pPr>
    </w:p>
    <w:p>
      <w:pPr>
        <w:spacing w:line="560" w:lineRule="exact"/>
        <w:ind w:firstLine="640" w:firstLineChars="200"/>
        <w:outlineLvl w:val="2"/>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、甜蜜素(以环己基氨基磺酸计)</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color w:val="auto"/>
          <w:sz w:val="32"/>
          <w:szCs w:val="32"/>
        </w:rPr>
        <w:t>抽检样品中有</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批</w:t>
      </w:r>
      <w:r>
        <w:rPr>
          <w:rFonts w:hint="eastAsia" w:ascii="仿宋" w:hAnsi="仿宋" w:eastAsia="仿宋" w:cs="仿宋"/>
          <w:color w:val="auto"/>
          <w:sz w:val="32"/>
          <w:szCs w:val="32"/>
          <w:lang w:val="en-US" w:eastAsia="zh-CN"/>
        </w:rPr>
        <w:t>白酒</w:t>
      </w:r>
      <w:r>
        <w:rPr>
          <w:rFonts w:hint="eastAsia" w:ascii="仿宋" w:hAnsi="仿宋" w:eastAsia="仿宋" w:cs="仿宋"/>
          <w:color w:val="auto"/>
          <w:sz w:val="32"/>
          <w:szCs w:val="32"/>
        </w:rPr>
        <w:t>（糯米酒）检出甜蜜素(以环己基氨基磺酸计)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甜蜜素，其化学名称为环己基氨基磺酸钠，是一种常用的合成甜味剂。</w:t>
      </w:r>
      <w:r>
        <w:rPr>
          <w:rFonts w:hint="eastAsia" w:ascii="仿宋" w:hAnsi="仿宋" w:eastAsia="仿宋" w:cs="仿宋"/>
          <w:bCs/>
          <w:sz w:val="32"/>
          <w:szCs w:val="32"/>
        </w:rPr>
        <w:t>根据《食品安全国家标准 食品添加剂使用标准》（GB 2760-2014）规定，白酒中不得添加甜蜜素。甜蜜素是人工生产的甜味剂。此次抽检发现白酒检出甜蜜素，原因可能是生产企业为降低成本，同时增加产品的口感，在产品中添加该甜味剂来调节口感，也可能是由于其他原辅料使用不当带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长期饮用检出甜蜜素的</w:t>
      </w:r>
      <w:r>
        <w:rPr>
          <w:rFonts w:hint="eastAsia" w:ascii="仿宋" w:hAnsi="仿宋" w:eastAsia="仿宋" w:cs="仿宋"/>
          <w:bCs/>
          <w:sz w:val="32"/>
          <w:szCs w:val="32"/>
          <w:lang w:eastAsia="zh-CN"/>
        </w:rPr>
        <w:t>白</w:t>
      </w:r>
      <w:r>
        <w:rPr>
          <w:rFonts w:hint="eastAsia" w:ascii="仿宋" w:hAnsi="仿宋" w:eastAsia="仿宋" w:cs="仿宋"/>
          <w:bCs/>
          <w:sz w:val="32"/>
          <w:szCs w:val="32"/>
        </w:rPr>
        <w:t>酒，可能对人体的肝脏和神经系统造成损害。</w:t>
      </w:r>
    </w:p>
    <w:p>
      <w:pPr>
        <w:numPr>
          <w:ilvl w:val="0"/>
          <w:numId w:val="1"/>
        </w:numPr>
        <w:spacing w:line="560" w:lineRule="exact"/>
        <w:ind w:firstLine="640" w:firstLineChars="200"/>
        <w:outlineLvl w:val="2"/>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毒死蜱</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抽检样品中有</w:t>
      </w:r>
      <w:r>
        <w:rPr>
          <w:rFonts w:hint="eastAsia" w:ascii="仿宋" w:hAnsi="仿宋" w:eastAsia="仿宋" w:cs="仿宋"/>
          <w:sz w:val="32"/>
          <w:szCs w:val="32"/>
          <w:lang w:val="en-US" w:eastAsia="zh-CN"/>
        </w:rPr>
        <w:t>1</w:t>
      </w:r>
      <w:r>
        <w:rPr>
          <w:rFonts w:hint="eastAsia" w:ascii="仿宋" w:hAnsi="仿宋" w:eastAsia="仿宋" w:cs="仿宋"/>
          <w:sz w:val="32"/>
          <w:szCs w:val="32"/>
        </w:rPr>
        <w:t>批蔬菜（</w:t>
      </w:r>
      <w:r>
        <w:rPr>
          <w:rFonts w:hint="eastAsia" w:ascii="仿宋" w:hAnsi="仿宋" w:eastAsia="仿宋" w:cs="仿宋"/>
          <w:sz w:val="32"/>
          <w:szCs w:val="32"/>
          <w:lang w:eastAsia="zh-CN"/>
        </w:rPr>
        <w:t>上海青</w:t>
      </w:r>
      <w:r>
        <w:rPr>
          <w:rFonts w:hint="eastAsia" w:ascii="仿宋" w:hAnsi="仿宋" w:eastAsia="仿宋" w:cs="仿宋"/>
          <w:sz w:val="32"/>
          <w:szCs w:val="32"/>
        </w:rPr>
        <w:t>）的毒死蜱检出值超标。根据农业部2013年12月9日发布的第2032号公告要求，自2014年12月31日起，撤销毒死蜱在蔬菜上的登记，2017年1月1日起，禁止毒死蜱在蔬菜上使用。毒死蜱的适用范围很广泛，具有触杀、胃毒和熏蒸作用，在叶片上残留期不长，但在土壤中残留期较长，因此对地下害虫防治效果较好。毒死蜱残留超标原因可能是菜农为追求经济利益而不顾国家禁令违规使用；或农业部相关的公告未能传达和落实到种植户，进入2017年后种植户仍在蔬菜上使用；也有可能是以往长期使用的毒死蜱导致环境污染和在土壤中蓄积，进而导致毒死蜱在蔬菜中再残留。</w:t>
      </w:r>
    </w:p>
    <w:p>
      <w:pPr>
        <w:pStyle w:val="3"/>
        <w:spacing w:before="0" w:beforeAutospacing="0" w:after="0" w:afterAutospacing="0" w:line="56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sz w:val="32"/>
          <w:szCs w:val="32"/>
        </w:rPr>
        <w:t>危害因子毒死蜱属中等毒性有机磷杀虫剂，毒死蜱中毒可能会引起DNA损伤、基因突变、染色体畸变等遗传毒性；也可能诱导细胞癌变；影响人体激素正常分泌；干扰胚胎形成与发育，从而导致一系列出生缺陷与疾病。最重要的是，脑发育早期毒死蜱暴露还可能会对神经系统结构与功能都造成长远的影响。少量的农药残留不会导致急性中毒，但长期食用农药残留超标的蔬菜，可能对人体健康产生上述的不良影响。</w:t>
      </w:r>
    </w:p>
    <w:p>
      <w:pPr>
        <w:rPr>
          <w:rFonts w:hint="eastAsia" w:ascii="仿宋" w:hAnsi="仿宋" w:eastAsia="仿宋" w:cs="仿宋"/>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0AF17"/>
    <w:multiLevelType w:val="singleLevel"/>
    <w:tmpl w:val="2380AF1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127D9"/>
    <w:rsid w:val="77112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2020-11-04T08:34:00Z</dcterms:created>
  <dc:creator>LSGSJ</dc:creator>
  <cp:lastModifiedBy>LSGSJ</cp:lastModifiedBy>
  <dcterms:modified xsi:type="dcterms:W3CDTF">2020-11-04T08:37:07Z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