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jc w:val="distribute"/>
        <w:textAlignment w:val="auto"/>
        <w:rPr>
          <w:rFonts w:hint="eastAsia" w:ascii="方正小标宋简体" w:hAnsi="方正小标宋简体" w:eastAsia="方正小标宋简体" w:cs="方正小标宋简体"/>
          <w:color w:val="C00000"/>
          <w:sz w:val="56"/>
          <w:szCs w:val="5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pacing w:line="360" w:lineRule="auto"/>
        <w:jc w:val="distribute"/>
        <w:textAlignment w:val="auto"/>
        <w:rPr>
          <w:rFonts w:hint="eastAsia" w:ascii="方正小标宋简体" w:hAnsi="方正小标宋简体" w:eastAsia="方正小标宋简体" w:cs="方正小标宋简体"/>
          <w:color w:val="C00000"/>
          <w:sz w:val="56"/>
          <w:szCs w:val="56"/>
          <w:lang w:val="en-US" w:eastAsia="zh-CN"/>
        </w:rPr>
      </w:pPr>
      <w:r>
        <w:rPr>
          <w:rFonts w:hint="eastAsia" w:ascii="方正小标宋简体" w:hAnsi="方正小标宋简体" w:eastAsia="方正小标宋简体" w:cs="方正小标宋简体"/>
          <w:color w:val="C00000"/>
          <w:sz w:val="56"/>
          <w:szCs w:val="56"/>
          <w:lang w:val="en-US" w:eastAsia="zh-CN"/>
        </w:rPr>
        <w:t>龙胜各族自治县</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360" w:lineRule="auto"/>
        <w:jc w:val="distribute"/>
        <w:textAlignment w:val="auto"/>
        <w:rPr>
          <w:rFonts w:hint="eastAsia" w:ascii="方正小标宋简体" w:hAnsi="方正小标宋简体" w:eastAsia="方正小标宋简体" w:cs="方正小标宋简体"/>
          <w:color w:val="C00000"/>
          <w:spacing w:val="-34"/>
          <w:sz w:val="80"/>
          <w:szCs w:val="80"/>
          <w:lang w:val="en-US" w:eastAsia="zh-CN"/>
        </w:rPr>
      </w:pPr>
      <w:r>
        <w:rPr>
          <w:rFonts w:hint="eastAsia" w:ascii="方正小标宋简体" w:hAnsi="方正小标宋简体" w:eastAsia="方正小标宋简体" w:cs="方正小标宋简体"/>
          <w:color w:val="C00000"/>
          <w:spacing w:val="-34"/>
          <w:sz w:val="80"/>
          <w:szCs w:val="80"/>
          <w:lang w:val="en-US" w:eastAsia="zh-CN"/>
        </w:rPr>
        <w:t>防汛抗旱指挥部文件</w:t>
      </w:r>
    </w:p>
    <w:p>
      <w:pPr>
        <w:pStyle w:val="2"/>
        <w:keepNext w:val="0"/>
        <w:keepLines w:val="0"/>
        <w:pageBreakBefore w:val="0"/>
        <w:widowControl w:val="0"/>
        <w:kinsoku/>
        <w:wordWrap/>
        <w:overflowPunct/>
        <w:topLinePunct w:val="0"/>
        <w:autoSpaceDE/>
        <w:autoSpaceDN/>
        <w:bidi w:val="0"/>
        <w:adjustRightInd/>
        <w:snapToGrid w:val="0"/>
        <w:spacing w:line="360" w:lineRule="auto"/>
        <w:jc w:val="distribute"/>
        <w:textAlignment w:val="auto"/>
        <w:rPr>
          <w:rFonts w:hint="eastAsia" w:ascii="仿宋" w:hAnsi="仿宋" w:eastAsia="仿宋" w:cs="仿宋_GB2312"/>
          <w:color w:val="auto"/>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788035</wp:posOffset>
                </wp:positionV>
                <wp:extent cx="5750560" cy="0"/>
                <wp:effectExtent l="0" t="19050" r="2540" b="95250"/>
                <wp:wrapNone/>
                <wp:docPr id="1" name="直接连接符 1"/>
                <wp:cNvGraphicFramePr/>
                <a:graphic xmlns:a="http://schemas.openxmlformats.org/drawingml/2006/main">
                  <a:graphicData uri="http://schemas.microsoft.com/office/word/2010/wordprocessingShape">
                    <wps:wsp>
                      <wps:cNvCnPr/>
                      <wps:spPr>
                        <a:xfrm>
                          <a:off x="0" y="0"/>
                          <a:ext cx="5750560" cy="0"/>
                        </a:xfrm>
                        <a:prstGeom prst="line">
                          <a:avLst/>
                        </a:prstGeom>
                        <a:ln w="38100" cmpd="sng">
                          <a:solidFill>
                            <a:srgbClr val="C00000"/>
                          </a:solidFill>
                          <a:prstDash val="soli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85pt;margin-top:62.05pt;height:0pt;width:452.8pt;z-index:251659264;mso-width-relative:page;mso-height-relative:page;" filled="f" stroked="t" coordsize="21600,21600" o:gfxdata="UEsDBAoAAAAAAIdO4kAAAAAAAAAAAAAAAAAEAAAAZHJzL1BLAwQUAAAACACHTuJAxhytYNUAAAAK&#10;AQAADwAAAGRycy9kb3ducmV2LnhtbE2Py07DMBBF90j8gzVI7Fon4dEmxOkCwRq1RaJLN54mEfY4&#10;ip0Hf88gIcFy7hzdOVPuFmfFhEPoPClI1wkIpNqbjhoF78fX1RZEiJqMtp5QwRcG2FXXV6UujJ9p&#10;j9MhNoJLKBRaQRtjX0gZ6hadDmvfI/Hu4genI49DI82gZy53VmZJ8iid7ogvtLrH5xbrz8PoFGAy&#10;z5v05fSxjPn+7mT7KbNvF6Vub9LkCUTEJf7B8KPP6lCx09mPZIKwClYPGyY5z+5TEAxs8zwHcf5N&#10;ZFXK/y9U31BLAwQUAAAACACHTuJAvvrkii0CAABFBAAADgAAAGRycy9lMm9Eb2MueG1srVO7jhMx&#10;FO2R+AfL/WYmWbJEo0xWKNHSIIgEiNrxeDKW/JLtzSQ/wQ8g0UFFSc/fsHwGx55sCEuzBVN47vXj&#10;XJ/jc+fXe63ITvggranpeFRSIgy3jTTbmr5/d3MxoyREZhqmrBE1PYhArxdPn8x7V4mJ7axqhCcA&#10;MaHqXU27GF1VFIF3QrMwsk4YLLbWaxaR+m3ReNYDXatiUpZXRW9947zlIgTMroZFekT0jwG0bSu5&#10;WFl+q4WJA6oXikVQCp10gS7ybdtW8PimbYOIRNUUTGMeUQTxJo3FYs6qrWeuk/x4BfaYKzzgpJk0&#10;KHqCWrHIyK2X/0Bpyb0Nto0jbnUxEMmKgMW4fKDN2445kblA6uBOoof/B8tf79aeyAZOoMQwjQe/&#10;+/T958cvv358xnj37SsZJ5F6FyrsXZq1P2bBrX1ivG+9Tn9wIfss7OEkrNhHwjE5fT4tp1fQnN+v&#10;FX8OOh/iS2E1SUFNlTSJM6vY7lWIKIat91vStLE3Uqn8bsqQvqaXs3GZoBnM2MIECLUDoWC2lDC1&#10;hct59BkyWCWbdDwBBb/dLJUnOwZvLMv0JaYo99e2VHvFQjfsy0uDa7SMaAQldU1n56eVSegimw8M&#10;UuJFq2BF2BOt9QJ65GLouwbJZbo9wrXFuz4bVhqZpJhMkVLSSBg2hfjQm5DwAoxzMtDbKEq8jR9k&#10;7LJljvqDydktivSEw6OlaGObQ37LPA93ZebHTkj2Pc8Rn3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HK1g1QAAAAoBAAAPAAAAAAAAAAEAIAAAACIAAABkcnMvZG93bnJldi54bWxQSwECFAAU&#10;AAAACACHTuJAvvrkii0CAABFBAAADgAAAAAAAAABACAAAAAkAQAAZHJzL2Uyb0RvYy54bWxQSwUG&#10;AAAAAAYABgBZAQAAwwUAAAAA&#10;">
                <v:fill on="f" focussize="0,0"/>
                <v:stroke weight="3pt" color="#C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龙防指</w:t>
      </w:r>
      <w:r>
        <w:rPr>
          <w:rFonts w:hint="default" w:ascii="Times New Roman" w:hAnsi="Times New Roman" w:eastAsia="仿宋" w:cs="Times New Roman"/>
          <w:color w:val="auto"/>
          <w:sz w:val="32"/>
          <w:szCs w:val="32"/>
          <w:lang w:val="en-US" w:eastAsia="zh-CN"/>
        </w:rPr>
        <w:t xml:space="preserve">〔2024〕1 </w:t>
      </w:r>
      <w:r>
        <w:rPr>
          <w:rFonts w:hint="eastAsia" w:ascii="仿宋" w:hAnsi="仿宋" w:eastAsia="仿宋" w:cs="仿宋_GB2312"/>
          <w:color w:val="auto"/>
          <w:sz w:val="32"/>
          <w:szCs w:val="32"/>
          <w:lang w:val="en-US" w:eastAsia="zh-CN"/>
        </w:rPr>
        <w:t>号</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龙胜各族自治县</w:t>
      </w:r>
      <w:r>
        <w:rPr>
          <w:rFonts w:hint="eastAsia" w:ascii="方正小标宋_GBK" w:hAnsi="方正小标宋_GBK" w:eastAsia="方正小标宋_GBK" w:cs="方正小标宋_GBK"/>
          <w:color w:val="auto"/>
          <w:sz w:val="44"/>
          <w:szCs w:val="44"/>
        </w:rPr>
        <w:t>防汛抗旱指挥部关于印发2024年防汛抗旱工作要点的通知</w:t>
      </w:r>
    </w:p>
    <w:p>
      <w:pPr>
        <w:pStyle w:val="2"/>
        <w:rPr>
          <w:rFonts w:hint="eastAsia" w:ascii="方正小标宋简体" w:hAnsi="方正小标宋简体" w:eastAsia="方正小标宋简体" w:cs="方正小标宋简体"/>
          <w:color w:val="auto"/>
          <w:sz w:val="48"/>
          <w:szCs w:val="48"/>
        </w:rPr>
      </w:pPr>
    </w:p>
    <w:p>
      <w:pPr>
        <w:keepNext w:val="0"/>
        <w:keepLines w:val="0"/>
        <w:pageBreakBefore w:val="0"/>
        <w:widowControl w:val="0"/>
        <w:kinsoku/>
        <w:wordWrap/>
        <w:overflowPunct/>
        <w:topLinePunct w:val="0"/>
        <w:autoSpaceDE/>
        <w:autoSpaceDN/>
        <w:bidi w:val="0"/>
        <w:adjustRightInd/>
        <w:snapToGrid/>
        <w:spacing w:line="560" w:lineRule="exact"/>
        <w:ind w:left="640" w:hanging="640" w:hangingChars="200"/>
        <w:jc w:val="both"/>
        <w:textAlignment w:val="auto"/>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各乡（镇）人民政府</w:t>
      </w:r>
      <w:r>
        <w:rPr>
          <w:rFonts w:hint="eastAsia" w:ascii="楷体_GB2312" w:hAnsi="楷体_GB2312" w:eastAsia="楷体_GB2312" w:cs="楷体_GB2312"/>
        </w:rPr>
        <w:t>，</w:t>
      </w:r>
      <w:r>
        <w:rPr>
          <w:rFonts w:hint="eastAsia" w:ascii="楷体_GB2312" w:hAnsi="楷体_GB2312" w:eastAsia="楷体_GB2312" w:cs="楷体_GB2312"/>
          <w:lang w:val="en-US" w:eastAsia="zh-CN"/>
        </w:rPr>
        <w:t>县</w:t>
      </w:r>
      <w:r>
        <w:rPr>
          <w:rFonts w:hint="eastAsia" w:ascii="楷体_GB2312" w:hAnsi="楷体_GB2312" w:eastAsia="楷体_GB2312" w:cs="楷体_GB2312"/>
        </w:rPr>
        <w:t>防汛抗旱指挥部各成员</w:t>
      </w:r>
      <w:r>
        <w:rPr>
          <w:rFonts w:hint="eastAsia" w:ascii="楷体_GB2312" w:hAnsi="楷体_GB2312" w:eastAsia="楷体_GB2312" w:cs="楷体_GB2312"/>
          <w:lang w:val="en-US" w:eastAsia="zh-CN"/>
        </w:rPr>
        <w:t>单位</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龙胜各族自治县</w:t>
      </w:r>
      <w:r>
        <w:rPr>
          <w:rFonts w:hint="eastAsia" w:ascii="楷体_GB2312" w:hAnsi="楷体_GB2312" w:eastAsia="楷体_GB2312" w:cs="楷体_GB2312"/>
        </w:rPr>
        <w:t>2024年防汛抗旱工作要点》已经自治区防汛抗旱指挥部指挥长同意，现印发给你们，请认真贯彻落实。</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rPr>
      </w:pPr>
    </w:p>
    <w:p>
      <w:pPr>
        <w:pStyle w:val="2"/>
        <w:keepNext w:val="0"/>
        <w:keepLines w:val="0"/>
        <w:pageBreakBefore w:val="0"/>
        <w:widowControl w:val="0"/>
        <w:kinsoku/>
        <w:wordWrap/>
        <w:overflowPunct/>
        <w:topLinePunct w:val="0"/>
        <w:autoSpaceDE/>
        <w:autoSpaceDN/>
        <w:bidi w:val="0"/>
        <w:adjustRightInd/>
        <w:spacing w:line="560" w:lineRule="exact"/>
        <w:ind w:firstLine="3520" w:firstLineChars="11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龙胜各族自治县防汛抗旱指挥部</w:t>
      </w:r>
    </w:p>
    <w:p>
      <w:pPr>
        <w:keepNext w:val="0"/>
        <w:keepLines w:val="0"/>
        <w:pageBreakBefore w:val="0"/>
        <w:widowControl w:val="0"/>
        <w:tabs>
          <w:tab w:val="left" w:pos="5078"/>
        </w:tabs>
        <w:kinsoku/>
        <w:wordWrap/>
        <w:overflowPunct/>
        <w:topLinePunct w:val="0"/>
        <w:autoSpaceDE/>
        <w:autoSpaceDN/>
        <w:bidi w:val="0"/>
        <w:adjustRightInd/>
        <w:spacing w:line="560" w:lineRule="exact"/>
        <w:ind w:firstLine="4480" w:firstLineChars="1400"/>
        <w:jc w:val="lef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2024年4月1日</w:t>
      </w: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微软雅黑" w:hAnsi="微软雅黑" w:eastAsia="微软雅黑" w:cs="微软雅黑"/>
          <w:color w:val="auto"/>
          <w:kern w:val="2"/>
          <w:sz w:val="40"/>
          <w:szCs w:val="40"/>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color w:val="auto"/>
          <w:kern w:val="2"/>
          <w:sz w:val="32"/>
          <w:szCs w:val="32"/>
          <w:lang w:val="en-US" w:eastAsia="zh-CN" w:bidi="ar-SA"/>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kern w:val="2"/>
          <w:sz w:val="32"/>
          <w:szCs w:val="32"/>
          <w:lang w:val="en-US" w:eastAsia="zh-CN" w:bidi="ar-SA"/>
        </w:rPr>
        <w:t>（此件公开发布）</w:t>
      </w: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方正小标宋简体" w:hAnsi="方正小标宋简体" w:eastAsia="方正小标宋简体" w:cs="方正小标宋简体"/>
          <w:color w:val="auto"/>
          <w:kern w:val="2"/>
          <w:sz w:val="44"/>
          <w:szCs w:val="44"/>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 xml:space="preserve"> </w:t>
      </w:r>
      <w:r>
        <w:rPr>
          <w:rFonts w:hint="eastAsia" w:ascii="方正小标宋_GBK" w:hAnsi="方正小标宋_GBK" w:eastAsia="方正小标宋_GBK" w:cs="方正小标宋_GBK"/>
          <w:color w:val="auto"/>
          <w:kern w:val="2"/>
          <w:sz w:val="44"/>
          <w:szCs w:val="44"/>
          <w:lang w:val="en-US" w:eastAsia="zh-CN" w:bidi="ar-SA"/>
        </w:rPr>
        <w:t>龙胜各族自治县2024年防汛抗旱工作要点</w:t>
      </w:r>
    </w:p>
    <w:p>
      <w:pPr>
        <w:pStyle w:val="2"/>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黑体" w:hAnsi="黑体" w:eastAsia="黑体" w:cs="黑体"/>
          <w:color w:val="auto"/>
          <w:kern w:val="2"/>
          <w:sz w:val="40"/>
          <w:szCs w:val="40"/>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2024年是新中国</w:t>
      </w:r>
      <w:r>
        <w:rPr>
          <w:rFonts w:hint="eastAsia" w:ascii="仿宋_GB2312" w:hAnsi="仿宋_GB2312" w:eastAsia="仿宋_GB2312" w:cs="仿宋_GB2312"/>
          <w:color w:val="auto"/>
          <w:kern w:val="0"/>
          <w:sz w:val="32"/>
          <w:szCs w:val="32"/>
          <w:lang w:val="en-US" w:eastAsia="zh-CN" w:bidi="ar"/>
        </w:rPr>
        <w:t>成立</w:t>
      </w:r>
      <w:r>
        <w:rPr>
          <w:rFonts w:hint="default" w:ascii="仿宋_GB2312" w:hAnsi="仿宋_GB2312" w:eastAsia="仿宋_GB2312" w:cs="仿宋_GB2312"/>
          <w:color w:val="auto"/>
          <w:kern w:val="0"/>
          <w:sz w:val="32"/>
          <w:szCs w:val="32"/>
          <w:lang w:val="en-US" w:eastAsia="zh-CN" w:bidi="ar"/>
        </w:rPr>
        <w:t>75 周年，也是实施“十四五”规划的关键之年，做好防汛抗旱工作意义重大。据预测，今年</w:t>
      </w:r>
      <w:r>
        <w:rPr>
          <w:rFonts w:hint="eastAsia" w:ascii="仿宋_GB2312" w:hAnsi="仿宋_GB2312" w:eastAsia="仿宋_GB2312" w:cs="仿宋_GB2312"/>
          <w:color w:val="auto"/>
          <w:kern w:val="0"/>
          <w:sz w:val="32"/>
          <w:szCs w:val="32"/>
          <w:lang w:val="en-US" w:eastAsia="zh-CN" w:bidi="ar"/>
        </w:rPr>
        <w:t>龙胜</w:t>
      </w:r>
      <w:r>
        <w:rPr>
          <w:rFonts w:hint="default" w:ascii="仿宋_GB2312" w:hAnsi="仿宋_GB2312" w:eastAsia="仿宋_GB2312" w:cs="仿宋_GB2312"/>
          <w:color w:val="auto"/>
          <w:kern w:val="0"/>
          <w:sz w:val="32"/>
          <w:szCs w:val="32"/>
          <w:lang w:val="en-US" w:eastAsia="zh-CN" w:bidi="ar"/>
        </w:rPr>
        <w:t>气象年景偏差，阶段性洪涝风险较高。2024年防汛抗旱工作必须坚持以习近平新时代中国特色社会主义思想</w:t>
      </w:r>
      <w:r>
        <w:rPr>
          <w:rFonts w:hint="eastAsia" w:ascii="仿宋_GB2312" w:hAnsi="仿宋_GB2312" w:eastAsia="仿宋_GB2312" w:cs="仿宋_GB2312"/>
          <w:color w:val="auto"/>
          <w:kern w:val="0"/>
          <w:sz w:val="32"/>
          <w:szCs w:val="32"/>
          <w:lang w:val="en-US" w:eastAsia="zh-CN" w:bidi="ar"/>
        </w:rPr>
        <w:t>为指</w:t>
      </w:r>
      <w:r>
        <w:rPr>
          <w:rFonts w:hint="default" w:ascii="仿宋_GB2312" w:hAnsi="仿宋_GB2312" w:eastAsia="仿宋_GB2312" w:cs="仿宋_GB2312"/>
          <w:color w:val="auto"/>
          <w:kern w:val="0"/>
          <w:sz w:val="32"/>
          <w:szCs w:val="32"/>
          <w:lang w:val="en-US" w:eastAsia="zh-CN" w:bidi="ar"/>
        </w:rPr>
        <w:t>导，全面贯彻落实习近平总书记关于防汛抗旱工作重要指示精神和对广西重大方略要求，坚决落实国家防总和自治区党委、政府工作部署，坚持人民至上、生命至上，立足防大汛、抢大险、抗强台、救大灾锚定“不死人、少伤人、少损失”目标，强化“一线工作法”“网格化管理”“防汛十条措施”落实，坚决防范洪涝</w:t>
      </w:r>
      <w:r>
        <w:rPr>
          <w:rFonts w:hint="eastAsia" w:ascii="仿宋_GB2312" w:hAnsi="仿宋_GB2312" w:eastAsia="仿宋_GB2312" w:cs="仿宋_GB2312"/>
          <w:color w:val="auto"/>
          <w:kern w:val="0"/>
          <w:sz w:val="32"/>
          <w:szCs w:val="32"/>
          <w:lang w:val="en-US" w:eastAsia="zh-CN" w:bidi="ar"/>
        </w:rPr>
        <w:t>灾害</w:t>
      </w:r>
      <w:r>
        <w:rPr>
          <w:rFonts w:hint="default" w:ascii="仿宋_GB2312" w:hAnsi="仿宋_GB2312" w:eastAsia="仿宋_GB2312" w:cs="仿宋_GB2312"/>
          <w:color w:val="auto"/>
          <w:kern w:val="0"/>
          <w:sz w:val="32"/>
          <w:szCs w:val="32"/>
          <w:lang w:val="en-US" w:eastAsia="zh-CN" w:bidi="ar"/>
        </w:rPr>
        <w:t>及其次生灾害导致重大人员伤亡，最大程度减轻灾害损失，为奋力谱写中国式现代化广西篇章提供可靠的安全保障。</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一、全面压实责任</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(一)推动党政齐抓共管。</w:t>
      </w:r>
      <w:r>
        <w:rPr>
          <w:rFonts w:hint="default" w:ascii="仿宋_GB2312" w:hAnsi="仿宋_GB2312" w:eastAsia="仿宋_GB2312" w:cs="仿宋_GB2312"/>
          <w:color w:val="auto"/>
          <w:kern w:val="0"/>
          <w:sz w:val="32"/>
          <w:szCs w:val="32"/>
          <w:lang w:val="en-US" w:eastAsia="zh-CN" w:bidi="ar"/>
        </w:rPr>
        <w:t>发挥各级党委“总揽全局、协调各方”作用，加强党对防汛抗</w:t>
      </w:r>
      <w:r>
        <w:rPr>
          <w:rFonts w:hint="eastAsia" w:ascii="仿宋_GB2312" w:hAnsi="仿宋_GB2312" w:eastAsia="仿宋_GB2312" w:cs="仿宋_GB2312"/>
          <w:color w:val="auto"/>
          <w:kern w:val="0"/>
          <w:sz w:val="32"/>
          <w:szCs w:val="32"/>
          <w:lang w:val="en-US" w:eastAsia="zh-CN" w:bidi="ar"/>
        </w:rPr>
        <w:t>旱</w:t>
      </w:r>
      <w:r>
        <w:rPr>
          <w:rFonts w:hint="default" w:ascii="仿宋_GB2312" w:hAnsi="仿宋_GB2312" w:eastAsia="仿宋_GB2312" w:cs="仿宋_GB2312"/>
          <w:color w:val="auto"/>
          <w:kern w:val="0"/>
          <w:sz w:val="32"/>
          <w:szCs w:val="32"/>
          <w:lang w:val="en-US" w:eastAsia="zh-CN" w:bidi="ar"/>
        </w:rPr>
        <w:t>工作的全面领导;压实落细以行政首长负责制为主体的各项责任制，发挥乡镇村屯一线党员干部的预警、巡查、转移责任，把责任落实到最基层和最小工作单元，确保责任网络全覆盖、无死角</w:t>
      </w:r>
      <w:r>
        <w:rPr>
          <w:rFonts w:hint="eastAsia" w:ascii="仿宋_GB2312" w:hAnsi="仿宋_GB2312" w:eastAsia="仿宋_GB2312" w:cs="仿宋_GB2312"/>
          <w:color w:val="auto"/>
          <w:kern w:val="0"/>
          <w:sz w:val="32"/>
          <w:szCs w:val="32"/>
          <w:lang w:val="en-US" w:eastAsia="zh-CN" w:bidi="ar"/>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(二)细化部门主体责任。</w:t>
      </w:r>
      <w:r>
        <w:rPr>
          <w:rFonts w:hint="default" w:ascii="仿宋_GB2312" w:hAnsi="仿宋_GB2312" w:eastAsia="仿宋_GB2312" w:cs="仿宋_GB2312"/>
          <w:color w:val="auto"/>
          <w:kern w:val="0"/>
          <w:sz w:val="32"/>
          <w:szCs w:val="32"/>
          <w:lang w:val="en-US" w:eastAsia="zh-CN" w:bidi="ar"/>
        </w:rPr>
        <w:t>各成员单位要根据行业特点构建完善行业内防汛责任体系，切实履行监管责任。水利、住建部门要做好</w:t>
      </w:r>
      <w:r>
        <w:rPr>
          <w:rFonts w:hint="eastAsia" w:ascii="仿宋_GB2312" w:hAnsi="仿宋_GB2312" w:eastAsia="仿宋_GB2312" w:cs="仿宋_GB2312"/>
          <w:color w:val="auto"/>
          <w:kern w:val="0"/>
          <w:sz w:val="32"/>
          <w:szCs w:val="32"/>
          <w:lang w:val="en-US" w:eastAsia="zh-CN" w:bidi="ar"/>
        </w:rPr>
        <w:t>我县</w:t>
      </w:r>
      <w:r>
        <w:rPr>
          <w:rFonts w:hint="default" w:ascii="仿宋_GB2312" w:hAnsi="仿宋_GB2312" w:eastAsia="仿宋_GB2312" w:cs="仿宋_GB2312"/>
          <w:color w:val="auto"/>
          <w:kern w:val="0"/>
          <w:sz w:val="32"/>
          <w:szCs w:val="32"/>
          <w:lang w:val="en-US" w:eastAsia="zh-CN" w:bidi="ar"/>
        </w:rPr>
        <w:t>重要堤防及大中型水库水电站防汛责任人、城乡防涝责任人的公布、提醒、督导等工作。</w:t>
      </w:r>
      <w:r>
        <w:rPr>
          <w:rFonts w:hint="eastAsia" w:ascii="仿宋_GB2312" w:hAnsi="仿宋_GB2312" w:eastAsia="仿宋_GB2312" w:cs="仿宋_GB2312"/>
          <w:color w:val="auto"/>
          <w:kern w:val="0"/>
          <w:sz w:val="32"/>
          <w:szCs w:val="32"/>
          <w:lang w:val="en-US" w:eastAsia="zh-CN" w:bidi="ar"/>
        </w:rPr>
        <w:t>县</w:t>
      </w:r>
      <w:r>
        <w:rPr>
          <w:rFonts w:hint="default" w:ascii="仿宋_GB2312" w:hAnsi="仿宋_GB2312" w:eastAsia="仿宋_GB2312" w:cs="仿宋_GB2312"/>
          <w:color w:val="auto"/>
          <w:kern w:val="0"/>
          <w:sz w:val="32"/>
          <w:szCs w:val="32"/>
          <w:lang w:val="en-US" w:eastAsia="zh-CN" w:bidi="ar"/>
        </w:rPr>
        <w:t>防指要进一步明确野生景区、网红打卡点、工地营地等区域的防汛责任</w:t>
      </w:r>
      <w:r>
        <w:rPr>
          <w:rFonts w:hint="eastAsia" w:ascii="仿宋_GB2312" w:hAnsi="仿宋_GB2312" w:eastAsia="仿宋_GB2312" w:cs="仿宋_GB2312"/>
          <w:color w:val="auto"/>
          <w:kern w:val="0"/>
          <w:sz w:val="32"/>
          <w:szCs w:val="32"/>
          <w:lang w:val="en-US" w:eastAsia="zh-CN" w:bidi="ar"/>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(三)督导责任人履职。</w:t>
      </w:r>
      <w:r>
        <w:rPr>
          <w:rFonts w:hint="default" w:ascii="仿宋_GB2312" w:hAnsi="仿宋_GB2312" w:eastAsia="仿宋_GB2312" w:cs="仿宋_GB2312"/>
          <w:color w:val="auto"/>
          <w:kern w:val="0"/>
          <w:sz w:val="32"/>
          <w:szCs w:val="32"/>
          <w:lang w:val="en-US" w:eastAsia="zh-CN" w:bidi="ar"/>
        </w:rPr>
        <w:t>加强“明责、知责、履责、问责”督导检查，对擅离岗位、玩忽职守、贻误战机、不听指挥等现象严肃追责问责，对出现重大责任事故或造成严重不良影响的严厉查处。</w:t>
      </w:r>
      <w:r>
        <w:rPr>
          <w:rFonts w:hint="eastAsia" w:ascii="仿宋_GB2312" w:hAnsi="仿宋_GB2312" w:eastAsia="仿宋_GB2312" w:cs="仿宋_GB2312"/>
          <w:color w:val="auto"/>
          <w:kern w:val="0"/>
          <w:sz w:val="32"/>
          <w:szCs w:val="32"/>
          <w:lang w:val="en-US" w:eastAsia="zh-CN" w:bidi="ar"/>
        </w:rPr>
        <w:t>县</w:t>
      </w:r>
      <w:r>
        <w:rPr>
          <w:rFonts w:hint="default" w:ascii="仿宋_GB2312" w:hAnsi="仿宋_GB2312" w:eastAsia="仿宋_GB2312" w:cs="仿宋_GB2312"/>
          <w:color w:val="auto"/>
          <w:kern w:val="0"/>
          <w:sz w:val="32"/>
          <w:szCs w:val="32"/>
          <w:lang w:val="en-US" w:eastAsia="zh-CN" w:bidi="ar"/>
        </w:rPr>
        <w:t>防指要将防汛抗旱责任人履职尽责情况纳入应急管理考核。</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b w:val="0"/>
          <w:bCs w:val="0"/>
          <w:color w:val="auto"/>
          <w:kern w:val="0"/>
          <w:sz w:val="32"/>
          <w:szCs w:val="32"/>
          <w:lang w:val="en-US" w:eastAsia="zh-CN" w:bidi="ar"/>
        </w:rPr>
      </w:pPr>
      <w:r>
        <w:rPr>
          <w:rFonts w:hint="default" w:ascii="黑体" w:hAnsi="黑体" w:eastAsia="黑体" w:cs="黑体"/>
          <w:b w:val="0"/>
          <w:bCs w:val="0"/>
          <w:color w:val="auto"/>
          <w:kern w:val="0"/>
          <w:sz w:val="32"/>
          <w:szCs w:val="32"/>
          <w:lang w:val="en-US" w:eastAsia="zh-CN" w:bidi="ar"/>
        </w:rPr>
        <w:t>二、健全体制机制</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(四)优化指挥机构。</w:t>
      </w:r>
      <w:r>
        <w:rPr>
          <w:rFonts w:hint="default" w:ascii="仿宋_GB2312" w:hAnsi="仿宋_GB2312" w:eastAsia="仿宋_GB2312" w:cs="仿宋_GB2312"/>
          <w:color w:val="auto"/>
          <w:kern w:val="0"/>
          <w:sz w:val="32"/>
          <w:szCs w:val="32"/>
          <w:lang w:val="en-US" w:eastAsia="zh-CN" w:bidi="ar"/>
        </w:rPr>
        <w:t>更新完善防指机构设置、明晰各自职责，建立完善会议会商、包片分工、信息共享、值班值守等工作机制，明确工作部署、监测预警、群众转移、信息报送等工作具体责任和要求。</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(五)完善“防办”机制。</w:t>
      </w:r>
      <w:r>
        <w:rPr>
          <w:rFonts w:hint="default" w:ascii="仿宋_GB2312" w:hAnsi="仿宋_GB2312" w:eastAsia="仿宋_GB2312" w:cs="仿宋_GB2312"/>
          <w:color w:val="auto"/>
          <w:kern w:val="0"/>
          <w:sz w:val="32"/>
          <w:szCs w:val="32"/>
          <w:lang w:val="en-US" w:eastAsia="zh-CN" w:bidi="ar"/>
        </w:rPr>
        <w:t>汛前修订完善防办工作细则，落实防办组织机构，明确责任分工，充实专业支撑和值守备勤力量。强化加密预警、联合值班会商、预警发布、应急响应、转移避险物资队伍调动和水库联合调度机制“七项制度”落实。</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(六)强化协同配合。</w:t>
      </w:r>
      <w:r>
        <w:rPr>
          <w:rFonts w:hint="default" w:ascii="仿宋_GB2312" w:hAnsi="仿宋_GB2312" w:eastAsia="仿宋_GB2312" w:cs="仿宋_GB2312"/>
          <w:color w:val="auto"/>
          <w:kern w:val="0"/>
          <w:sz w:val="32"/>
          <w:szCs w:val="32"/>
          <w:lang w:val="en-US" w:eastAsia="zh-CN" w:bidi="ar"/>
        </w:rPr>
        <w:t>依据防汛抗旱应急预案和工作要求强化防指牵头抓总和组织协调、指挥调度职能，发挥成员单位专业优势和行业主管优势，加强会商研判、信息共享，密切协同配合，凝聚强大合力。</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bCs/>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三、完善预案方案</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(七)突出实效性。</w:t>
      </w:r>
      <w:r>
        <w:rPr>
          <w:rFonts w:hint="default" w:ascii="仿宋_GB2312" w:hAnsi="仿宋_GB2312" w:eastAsia="仿宋_GB2312" w:cs="仿宋_GB2312"/>
          <w:color w:val="auto"/>
          <w:kern w:val="0"/>
          <w:sz w:val="32"/>
          <w:szCs w:val="32"/>
          <w:lang w:val="en-US" w:eastAsia="zh-CN" w:bidi="ar"/>
        </w:rPr>
        <w:t>立足于极端灾害“断电、断路、断网”等情形，督导有防汛抗</w:t>
      </w:r>
      <w:r>
        <w:rPr>
          <w:rFonts w:hint="eastAsia" w:ascii="仿宋_GB2312" w:hAnsi="仿宋_GB2312" w:eastAsia="仿宋_GB2312" w:cs="仿宋_GB2312"/>
          <w:color w:val="auto"/>
          <w:kern w:val="0"/>
          <w:sz w:val="32"/>
          <w:szCs w:val="32"/>
          <w:lang w:val="en-US" w:eastAsia="zh-CN" w:bidi="ar"/>
        </w:rPr>
        <w:t>旱</w:t>
      </w:r>
      <w:r>
        <w:rPr>
          <w:rFonts w:hint="default" w:ascii="仿宋_GB2312" w:hAnsi="仿宋_GB2312" w:eastAsia="仿宋_GB2312" w:cs="仿宋_GB2312"/>
          <w:color w:val="auto"/>
          <w:kern w:val="0"/>
          <w:sz w:val="32"/>
          <w:szCs w:val="32"/>
          <w:lang w:val="en-US" w:eastAsia="zh-CN" w:bidi="ar"/>
        </w:rPr>
        <w:t>任务的部门和单位及时修订完善各类防汛抗</w:t>
      </w:r>
      <w:r>
        <w:rPr>
          <w:rFonts w:hint="eastAsia" w:ascii="仿宋_GB2312" w:hAnsi="仿宋_GB2312" w:eastAsia="仿宋_GB2312" w:cs="仿宋_GB2312"/>
          <w:color w:val="auto"/>
          <w:kern w:val="0"/>
          <w:sz w:val="32"/>
          <w:szCs w:val="32"/>
          <w:lang w:val="en-US" w:eastAsia="zh-CN" w:bidi="ar"/>
        </w:rPr>
        <w:t>旱</w:t>
      </w:r>
      <w:r>
        <w:rPr>
          <w:rFonts w:hint="default" w:ascii="仿宋_GB2312" w:hAnsi="仿宋_GB2312" w:eastAsia="仿宋_GB2312" w:cs="仿宋_GB2312"/>
          <w:color w:val="auto"/>
          <w:kern w:val="0"/>
          <w:sz w:val="32"/>
          <w:szCs w:val="32"/>
          <w:lang w:val="en-US" w:eastAsia="zh-CN" w:bidi="ar"/>
        </w:rPr>
        <w:t>应急预案;</w:t>
      </w:r>
      <w:r>
        <w:rPr>
          <w:rFonts w:hint="eastAsia" w:ascii="仿宋_GB2312" w:hAnsi="仿宋_GB2312" w:eastAsia="仿宋_GB2312" w:cs="仿宋_GB2312"/>
          <w:color w:val="auto"/>
          <w:kern w:val="0"/>
          <w:sz w:val="32"/>
          <w:szCs w:val="32"/>
          <w:lang w:val="en-US" w:eastAsia="zh-CN" w:bidi="ar"/>
        </w:rPr>
        <w:t>各乡（镇）</w:t>
      </w:r>
      <w:r>
        <w:rPr>
          <w:rFonts w:hint="default" w:ascii="仿宋_GB2312" w:hAnsi="仿宋_GB2312" w:eastAsia="仿宋_GB2312" w:cs="仿宋_GB2312"/>
          <w:color w:val="auto"/>
          <w:kern w:val="0"/>
          <w:sz w:val="32"/>
          <w:szCs w:val="32"/>
          <w:lang w:val="en-US" w:eastAsia="zh-CN" w:bidi="ar"/>
        </w:rPr>
        <w:t>、行政村(社区)可采用文字图表等简易明了的编制形式。</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(八)提高针对性。</w:t>
      </w:r>
      <w:r>
        <w:rPr>
          <w:rFonts w:hint="default" w:ascii="仿宋_GB2312" w:hAnsi="仿宋_GB2312" w:eastAsia="仿宋_GB2312" w:cs="仿宋_GB2312"/>
          <w:color w:val="auto"/>
          <w:kern w:val="0"/>
          <w:sz w:val="32"/>
          <w:szCs w:val="32"/>
          <w:lang w:val="en-US" w:eastAsia="zh-CN" w:bidi="ar"/>
        </w:rPr>
        <w:t>合理确定应急响应启动条件，重点明确风险评估、监测预警、隐患排查、会商研判、应急处置、抢险救援、人员转移、巡查防守、队伍物资调度、信息报送等环节，细化应急处置流程，</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(九)注重实战化。</w:t>
      </w:r>
      <w:r>
        <w:rPr>
          <w:rFonts w:hint="default" w:ascii="仿宋_GB2312" w:hAnsi="仿宋_GB2312" w:eastAsia="仿宋_GB2312" w:cs="仿宋_GB2312"/>
          <w:color w:val="auto"/>
          <w:kern w:val="0"/>
          <w:sz w:val="32"/>
          <w:szCs w:val="32"/>
          <w:lang w:val="en-US" w:eastAsia="zh-CN" w:bidi="ar"/>
        </w:rPr>
        <w:t>突出实战实训、实用实效，分级分类组织开展桌面推演、现场演练、综合实战演练等多种形式的防汛演练，磨合防汛工作机制，畅通应急处置流程，不断提高防汛抢险救灾实战能力。</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四、闭环管控风险</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(十)常态化排查。</w:t>
      </w:r>
      <w:r>
        <w:rPr>
          <w:rFonts w:hint="default" w:ascii="仿宋_GB2312" w:hAnsi="仿宋_GB2312" w:eastAsia="仿宋_GB2312" w:cs="仿宋_GB2312"/>
          <w:color w:val="auto"/>
          <w:kern w:val="0"/>
          <w:sz w:val="32"/>
          <w:szCs w:val="32"/>
          <w:lang w:val="en-US" w:eastAsia="zh-CN" w:bidi="ar"/>
        </w:rPr>
        <w:t>按照“横向到边、纵向到底、不留死角”的要求，突出防洪工程、城市防汛、山洪地质灾害易发区等防汛重点，</w:t>
      </w:r>
      <w:r>
        <w:rPr>
          <w:rFonts w:hint="eastAsia" w:ascii="仿宋_GB2312" w:hAnsi="仿宋_GB2312" w:eastAsia="仿宋_GB2312" w:cs="仿宋_GB2312"/>
          <w:color w:val="auto"/>
          <w:kern w:val="0"/>
          <w:sz w:val="32"/>
          <w:szCs w:val="32"/>
          <w:lang w:val="en-US" w:eastAsia="zh-CN" w:bidi="ar"/>
        </w:rPr>
        <w:t>积极发挥由党员先锋带领，结合八桂应急先锋队伍、抢险应急排等综合性救援队伍，</w:t>
      </w:r>
      <w:r>
        <w:rPr>
          <w:rFonts w:hint="default" w:ascii="仿宋_GB2312" w:hAnsi="仿宋_GB2312" w:eastAsia="仿宋_GB2312" w:cs="仿宋_GB2312"/>
          <w:color w:val="auto"/>
          <w:kern w:val="0"/>
          <w:sz w:val="32"/>
          <w:szCs w:val="32"/>
          <w:lang w:val="en-US" w:eastAsia="zh-CN" w:bidi="ar"/>
        </w:rPr>
        <w:t>加强雨前排查、雨中巡查、雨后核查，全面开展防汛隐患排查整治。</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(十一)不定期检查。</w:t>
      </w:r>
      <w:r>
        <w:rPr>
          <w:rFonts w:hint="default" w:ascii="仿宋_GB2312" w:hAnsi="仿宋_GB2312" w:eastAsia="仿宋_GB2312" w:cs="仿宋_GB2312"/>
          <w:color w:val="auto"/>
          <w:kern w:val="0"/>
          <w:sz w:val="32"/>
          <w:szCs w:val="32"/>
          <w:lang w:val="en-US" w:eastAsia="zh-CN" w:bidi="ar"/>
        </w:rPr>
        <w:t>以查组织领导、责任落实、预案修编值班值守、物资队伍、水毁工程修复、河湖设障整治、山洪灾害防御等为重点内容，加大防汛备汛检查力度，督导各地落实安全度汛措施。</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(十二)清单化管控。</w:t>
      </w:r>
      <w:r>
        <w:rPr>
          <w:rFonts w:hint="default" w:ascii="仿宋_GB2312" w:hAnsi="仿宋_GB2312" w:eastAsia="仿宋_GB2312" w:cs="仿宋_GB2312"/>
          <w:color w:val="auto"/>
          <w:kern w:val="0"/>
          <w:sz w:val="32"/>
          <w:szCs w:val="32"/>
          <w:lang w:val="en-US" w:eastAsia="zh-CN" w:bidi="ar"/>
        </w:rPr>
        <w:t>采取“一行业一单</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“一</w:t>
      </w:r>
      <w:r>
        <w:rPr>
          <w:rFonts w:hint="eastAsia" w:ascii="仿宋_GB2312" w:hAnsi="仿宋_GB2312" w:eastAsia="仿宋_GB2312" w:cs="仿宋_GB2312"/>
          <w:color w:val="auto"/>
          <w:kern w:val="0"/>
          <w:sz w:val="32"/>
          <w:szCs w:val="32"/>
          <w:lang w:val="en-US" w:eastAsia="zh-CN" w:bidi="ar"/>
        </w:rPr>
        <w:t>县</w:t>
      </w:r>
      <w:r>
        <w:rPr>
          <w:rFonts w:hint="default" w:ascii="仿宋_GB2312" w:hAnsi="仿宋_GB2312" w:eastAsia="仿宋_GB2312" w:cs="仿宋_GB2312"/>
          <w:color w:val="auto"/>
          <w:kern w:val="0"/>
          <w:sz w:val="32"/>
          <w:szCs w:val="32"/>
          <w:lang w:val="en-US" w:eastAsia="zh-CN" w:bidi="ar"/>
        </w:rPr>
        <w:t>一单”形式建立防汛隐患清单台账，加强“一点一策”风险管控，强化跟踪督办和动态销号管理，汛前难以完成整治的要落实应急度汛措施。</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b w:val="0"/>
          <w:bCs w:val="0"/>
          <w:color w:val="auto"/>
          <w:kern w:val="0"/>
          <w:sz w:val="32"/>
          <w:szCs w:val="32"/>
          <w:lang w:val="en-US" w:eastAsia="zh-CN" w:bidi="ar"/>
        </w:rPr>
      </w:pPr>
      <w:r>
        <w:rPr>
          <w:rFonts w:hint="default" w:ascii="黑体" w:hAnsi="黑体" w:eastAsia="黑体" w:cs="黑体"/>
          <w:b w:val="0"/>
          <w:bCs w:val="0"/>
          <w:color w:val="auto"/>
          <w:kern w:val="0"/>
          <w:sz w:val="32"/>
          <w:szCs w:val="32"/>
          <w:lang w:val="en-US" w:eastAsia="zh-CN" w:bidi="ar"/>
        </w:rPr>
        <w:t>五、夯实基层基础</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(十三)抓好项目建设。</w:t>
      </w:r>
      <w:r>
        <w:rPr>
          <w:rFonts w:hint="default" w:ascii="仿宋_GB2312" w:hAnsi="仿宋_GB2312" w:eastAsia="仿宋_GB2312" w:cs="仿宋_GB2312"/>
          <w:color w:val="auto"/>
          <w:kern w:val="0"/>
          <w:sz w:val="32"/>
          <w:szCs w:val="32"/>
          <w:lang w:val="en-US" w:eastAsia="zh-CN" w:bidi="ar"/>
        </w:rPr>
        <w:t>利用增发国债有利机遇，积极对接协调，强化规范管理、跟踪问效，高质量推进自然灾害应急能力提升工程、重点防洪工程、灌区建设改造和重点水土流失治理工程、城市排水防涝能力提升行动、重点自然灾害综合防治体系建设工程等组织实施。</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(十四)建强基层队伍。</w:t>
      </w:r>
      <w:r>
        <w:rPr>
          <w:rFonts w:hint="default" w:ascii="仿宋_GB2312" w:hAnsi="仿宋_GB2312" w:eastAsia="仿宋_GB2312" w:cs="仿宋_GB2312"/>
          <w:color w:val="auto"/>
          <w:kern w:val="0"/>
          <w:sz w:val="32"/>
          <w:szCs w:val="32"/>
          <w:lang w:val="en-US" w:eastAsia="zh-CN" w:bidi="ar"/>
        </w:rPr>
        <w:t>以乡镇、村(社区)干部和工作人员为骨干，依托乡村消防站、</w:t>
      </w:r>
      <w:r>
        <w:rPr>
          <w:rFonts w:hint="eastAsia" w:ascii="仿宋_GB2312" w:hAnsi="仿宋_GB2312" w:eastAsia="仿宋_GB2312" w:cs="仿宋_GB2312"/>
          <w:color w:val="auto"/>
          <w:kern w:val="0"/>
          <w:sz w:val="32"/>
          <w:szCs w:val="32"/>
          <w:lang w:val="en-US" w:eastAsia="zh-CN" w:bidi="ar"/>
        </w:rPr>
        <w:t>八桂应急先锋、</w:t>
      </w:r>
      <w:r>
        <w:rPr>
          <w:rFonts w:hint="default" w:ascii="仿宋_GB2312" w:hAnsi="仿宋_GB2312" w:eastAsia="仿宋_GB2312" w:cs="仿宋_GB2312"/>
          <w:color w:val="auto"/>
          <w:kern w:val="0"/>
          <w:sz w:val="32"/>
          <w:szCs w:val="32"/>
          <w:lang w:val="en-US" w:eastAsia="zh-CN" w:bidi="ar"/>
        </w:rPr>
        <w:t>民兵应急分队</w:t>
      </w:r>
      <w:r>
        <w:rPr>
          <w:rFonts w:hint="eastAsia" w:ascii="仿宋_GB2312" w:hAnsi="仿宋_GB2312" w:eastAsia="仿宋_GB2312" w:cs="仿宋_GB2312"/>
          <w:color w:val="auto"/>
          <w:kern w:val="0"/>
          <w:sz w:val="32"/>
          <w:szCs w:val="32"/>
          <w:lang w:val="en-US" w:eastAsia="zh-CN" w:bidi="ar"/>
        </w:rPr>
        <w:t>、乡镇抢险应急排</w:t>
      </w:r>
      <w:r>
        <w:rPr>
          <w:rFonts w:hint="default" w:ascii="仿宋_GB2312" w:hAnsi="仿宋_GB2312" w:eastAsia="仿宋_GB2312" w:cs="仿宋_GB2312"/>
          <w:color w:val="auto"/>
          <w:kern w:val="0"/>
          <w:sz w:val="32"/>
          <w:szCs w:val="32"/>
          <w:lang w:val="en-US" w:eastAsia="zh-CN" w:bidi="ar"/>
        </w:rPr>
        <w:t>和有关志愿者，优化整合基层各类应急力量，防汛任务重的乡镇(街道)要组建一定数量的基层防汛抗旱应急队伍。</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(十五)充实物资装备。</w:t>
      </w:r>
      <w:r>
        <w:rPr>
          <w:rFonts w:hint="default" w:ascii="仿宋_GB2312" w:hAnsi="仿宋_GB2312" w:eastAsia="仿宋_GB2312" w:cs="仿宋_GB2312"/>
          <w:color w:val="auto"/>
          <w:kern w:val="0"/>
          <w:sz w:val="32"/>
          <w:szCs w:val="32"/>
          <w:lang w:val="en-US" w:eastAsia="zh-CN" w:bidi="ar"/>
        </w:rPr>
        <w:t>汛前全面盘点防汛抗旱物资储备情况，及时补充更新物资，加强物资装备维护保养。按照实物储备产能储备、协议储备、社会化储备相结合方式，完善物资快速调拨机制，满足启动二级响应保障需求。</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(十六)提升科技赋能。</w:t>
      </w:r>
      <w:r>
        <w:rPr>
          <w:rFonts w:hint="default" w:ascii="仿宋_GB2312" w:hAnsi="仿宋_GB2312" w:eastAsia="仿宋_GB2312" w:cs="仿宋_GB2312"/>
          <w:color w:val="auto"/>
          <w:kern w:val="0"/>
          <w:sz w:val="32"/>
          <w:szCs w:val="32"/>
          <w:lang w:val="en-US" w:eastAsia="zh-CN" w:bidi="ar"/>
        </w:rPr>
        <w:t>加强</w:t>
      </w:r>
      <w:r>
        <w:rPr>
          <w:rFonts w:hint="eastAsia" w:ascii="仿宋_GB2312" w:hAnsi="仿宋_GB2312" w:eastAsia="仿宋_GB2312" w:cs="仿宋_GB2312"/>
          <w:color w:val="auto"/>
          <w:kern w:val="0"/>
          <w:sz w:val="32"/>
          <w:szCs w:val="32"/>
          <w:lang w:val="en-US" w:eastAsia="zh-CN" w:bidi="ar"/>
        </w:rPr>
        <w:t>基层</w:t>
      </w:r>
      <w:r>
        <w:rPr>
          <w:rFonts w:hint="default" w:ascii="仿宋_GB2312" w:hAnsi="仿宋_GB2312" w:eastAsia="仿宋_GB2312" w:cs="仿宋_GB2312"/>
          <w:color w:val="auto"/>
          <w:kern w:val="0"/>
          <w:sz w:val="32"/>
          <w:szCs w:val="32"/>
          <w:lang w:val="en-US" w:eastAsia="zh-CN" w:bidi="ar"/>
        </w:rPr>
        <w:t>应急指挥部信息化建设:</w:t>
      </w:r>
      <w:r>
        <w:rPr>
          <w:rFonts w:hint="eastAsia" w:ascii="仿宋_GB2312" w:hAnsi="仿宋_GB2312" w:eastAsia="仿宋_GB2312" w:cs="仿宋_GB2312"/>
          <w:color w:val="auto"/>
          <w:kern w:val="0"/>
          <w:sz w:val="32"/>
          <w:szCs w:val="32"/>
          <w:lang w:val="en-US" w:eastAsia="zh-CN" w:bidi="ar"/>
        </w:rPr>
        <w:t>用好</w:t>
      </w:r>
      <w:r>
        <w:rPr>
          <w:rFonts w:hint="default" w:ascii="仿宋_GB2312" w:hAnsi="仿宋_GB2312" w:eastAsia="仿宋_GB2312" w:cs="仿宋_GB2312"/>
          <w:color w:val="auto"/>
          <w:kern w:val="0"/>
          <w:sz w:val="32"/>
          <w:szCs w:val="32"/>
          <w:lang w:val="en-US" w:eastAsia="zh-CN" w:bidi="ar"/>
        </w:rPr>
        <w:t>应急管理“一张图”应用功能，常态化保持</w:t>
      </w:r>
      <w:r>
        <w:rPr>
          <w:rFonts w:hint="eastAsia" w:ascii="仿宋_GB2312" w:hAnsi="仿宋_GB2312" w:eastAsia="仿宋_GB2312" w:cs="仿宋_GB2312"/>
          <w:color w:val="auto"/>
          <w:kern w:val="0"/>
          <w:sz w:val="32"/>
          <w:szCs w:val="32"/>
          <w:lang w:val="en-US" w:eastAsia="zh-CN" w:bidi="ar"/>
        </w:rPr>
        <w:t>视频调度、电话调度、</w:t>
      </w:r>
      <w:r>
        <w:rPr>
          <w:rFonts w:hint="default" w:ascii="仿宋_GB2312" w:hAnsi="仿宋_GB2312" w:eastAsia="仿宋_GB2312" w:cs="仿宋_GB2312"/>
          <w:color w:val="auto"/>
          <w:kern w:val="0"/>
          <w:sz w:val="32"/>
          <w:szCs w:val="32"/>
          <w:lang w:val="en-US" w:eastAsia="zh-CN" w:bidi="ar"/>
        </w:rPr>
        <w:t>充分发挥</w:t>
      </w:r>
      <w:r>
        <w:rPr>
          <w:rFonts w:hint="eastAsia" w:ascii="仿宋_GB2312" w:hAnsi="仿宋_GB2312" w:eastAsia="仿宋_GB2312" w:cs="仿宋_GB2312"/>
          <w:color w:val="auto"/>
          <w:kern w:val="0"/>
          <w:sz w:val="32"/>
          <w:szCs w:val="32"/>
          <w:lang w:val="en-US" w:eastAsia="zh-CN" w:bidi="ar"/>
        </w:rPr>
        <w:t>县级</w:t>
      </w:r>
      <w:r>
        <w:rPr>
          <w:rFonts w:hint="default" w:ascii="仿宋_GB2312" w:hAnsi="仿宋_GB2312" w:eastAsia="仿宋_GB2312" w:cs="仿宋_GB2312"/>
          <w:color w:val="auto"/>
          <w:kern w:val="0"/>
          <w:sz w:val="32"/>
          <w:szCs w:val="32"/>
          <w:lang w:val="en-US" w:eastAsia="zh-CN" w:bidi="ar"/>
        </w:rPr>
        <w:t>防汛抗旱专家辅助决策作用</w:t>
      </w:r>
      <w:r>
        <w:rPr>
          <w:rFonts w:hint="eastAsia" w:ascii="仿宋_GB2312" w:hAnsi="仿宋_GB2312" w:eastAsia="仿宋_GB2312" w:cs="仿宋_GB2312"/>
          <w:color w:val="auto"/>
          <w:kern w:val="0"/>
          <w:sz w:val="32"/>
          <w:szCs w:val="32"/>
          <w:lang w:val="en-US" w:eastAsia="zh-CN" w:bidi="ar"/>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(十七)广泛宣传培训。</w:t>
      </w:r>
      <w:r>
        <w:rPr>
          <w:rFonts w:hint="eastAsia" w:ascii="仿宋_GB2312" w:hAnsi="仿宋_GB2312" w:eastAsia="仿宋_GB2312" w:cs="仿宋_GB2312"/>
          <w:b w:val="0"/>
          <w:bCs w:val="0"/>
          <w:color w:val="auto"/>
          <w:kern w:val="0"/>
          <w:sz w:val="32"/>
          <w:szCs w:val="32"/>
          <w:lang w:val="en-US" w:eastAsia="zh-CN" w:bidi="ar"/>
        </w:rPr>
        <w:t>广泛</w:t>
      </w:r>
      <w:r>
        <w:rPr>
          <w:rFonts w:hint="default" w:ascii="仿宋_GB2312" w:hAnsi="仿宋_GB2312" w:eastAsia="仿宋_GB2312" w:cs="仿宋_GB2312"/>
          <w:color w:val="auto"/>
          <w:kern w:val="0"/>
          <w:sz w:val="32"/>
          <w:szCs w:val="32"/>
          <w:lang w:val="en-US" w:eastAsia="zh-CN" w:bidi="ar"/>
        </w:rPr>
        <w:t>开展防灾减灾救灾知识宣传教育培训，</w:t>
      </w:r>
      <w:r>
        <w:rPr>
          <w:rFonts w:hint="eastAsia" w:ascii="仿宋_GB2312" w:hAnsi="仿宋_GB2312" w:eastAsia="仿宋_GB2312" w:cs="仿宋_GB2312"/>
          <w:color w:val="auto"/>
          <w:kern w:val="0"/>
          <w:sz w:val="32"/>
          <w:szCs w:val="32"/>
          <w:lang w:val="en-US" w:eastAsia="zh-CN" w:bidi="ar"/>
        </w:rPr>
        <w:t>结合防灾减灾日、安全生产活动月等活动，</w:t>
      </w:r>
      <w:r>
        <w:rPr>
          <w:rFonts w:hint="default" w:ascii="仿宋_GB2312" w:hAnsi="仿宋_GB2312" w:eastAsia="仿宋_GB2312" w:cs="仿宋_GB2312"/>
          <w:color w:val="auto"/>
          <w:kern w:val="0"/>
          <w:sz w:val="32"/>
          <w:szCs w:val="32"/>
          <w:lang w:val="en-US" w:eastAsia="zh-CN" w:bidi="ar"/>
        </w:rPr>
        <w:t>大力开展“五进活动”(进企业、进农村、进社区、进学校、进家庭)，持续加强以郑州“7.20”特大暴雨灾害为典型的案例警示教育，提高全社会防灾避险意识</w:t>
      </w:r>
      <w:r>
        <w:rPr>
          <w:rFonts w:hint="eastAsia" w:ascii="仿宋_GB2312" w:hAnsi="仿宋_GB2312" w:eastAsia="仿宋_GB2312" w:cs="仿宋_GB2312"/>
          <w:color w:val="auto"/>
          <w:kern w:val="0"/>
          <w:sz w:val="32"/>
          <w:szCs w:val="32"/>
          <w:lang w:val="en-US" w:eastAsia="zh-CN" w:bidi="ar"/>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六、强化应对准备</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(十八)精准监测预警。</w:t>
      </w:r>
      <w:r>
        <w:rPr>
          <w:rFonts w:hint="default" w:ascii="仿宋_GB2312" w:hAnsi="仿宋_GB2312" w:eastAsia="仿宋_GB2312" w:cs="仿宋_GB2312"/>
          <w:b w:val="0"/>
          <w:bCs w:val="0"/>
          <w:color w:val="auto"/>
          <w:kern w:val="0"/>
          <w:sz w:val="32"/>
          <w:szCs w:val="32"/>
          <w:lang w:val="en-US" w:eastAsia="zh-CN" w:bidi="ar"/>
        </w:rPr>
        <w:t>气象、水文、水利、自然资源、住房城乡建设等部门要充分发挥自身专业优势，加强对暴雨台风、江河洪水、山洪、地质灾害、城乡内涝的监测，做好重点时段重点部位短历时临近预报预警，提高精准度、延长预见期，完善应急广播、卫星通讯、手机短信等预警传播渠道，实现预警直达责任人和受威胁群众。</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(十九)前瞻会商研判。</w:t>
      </w:r>
      <w:r>
        <w:rPr>
          <w:rFonts w:hint="default" w:ascii="仿宋_GB2312" w:hAnsi="仿宋_GB2312" w:eastAsia="仿宋_GB2312" w:cs="仿宋_GB2312"/>
          <w:b w:val="0"/>
          <w:bCs w:val="0"/>
          <w:color w:val="auto"/>
          <w:kern w:val="0"/>
          <w:sz w:val="32"/>
          <w:szCs w:val="32"/>
          <w:lang w:val="en-US" w:eastAsia="zh-CN" w:bidi="ar"/>
        </w:rPr>
        <w:t>紧盯汛情、旱情发展变化，组织召开会商研判会议，分析灾害影响区域和程度，评估可能出现的灾害风险和不利影响，提前落实防范应对措施。水利、气象、水文自然资源、住房城乡建设等部门加强部门专项会商分析研判，会商结果和对策建议及时通报本级防指。</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(二十)贯穿体系“叫应”。</w:t>
      </w:r>
      <w:r>
        <w:rPr>
          <w:rFonts w:hint="default" w:ascii="仿宋_GB2312" w:hAnsi="仿宋_GB2312" w:eastAsia="仿宋_GB2312" w:cs="仿宋_GB2312"/>
          <w:b w:val="0"/>
          <w:bCs w:val="0"/>
          <w:color w:val="auto"/>
          <w:kern w:val="0"/>
          <w:sz w:val="32"/>
          <w:szCs w:val="32"/>
          <w:lang w:val="en-US" w:eastAsia="zh-CN" w:bidi="ar"/>
        </w:rPr>
        <w:t>大力推行“红警双叫应”(发现有强降雨苗头，提前“叫应”提醒相关部门和党政主要负责人，发布红色预警信号后再次“叫应”提醒),持续推动危险区域临灾预警到户到人“六条措施”落地见效，强化叫应叫醒关键人，激活基层应急体系。</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(二十一)高效响应联动。</w:t>
      </w:r>
      <w:r>
        <w:rPr>
          <w:rFonts w:hint="default" w:ascii="仿宋_GB2312" w:hAnsi="仿宋_GB2312" w:eastAsia="仿宋_GB2312" w:cs="仿宋_GB2312"/>
          <w:b w:val="0"/>
          <w:bCs w:val="0"/>
          <w:color w:val="auto"/>
          <w:kern w:val="0"/>
          <w:sz w:val="32"/>
          <w:szCs w:val="32"/>
          <w:lang w:val="en-US" w:eastAsia="zh-CN" w:bidi="ar"/>
        </w:rPr>
        <w:t>建立健全以气象预报预警为先导的应急响应联动机制，完善停课、停工、停业实施细则，收到气象红色预警信息后立即加强指挥调度，及时启动或调整应急响应，果断采取“关、停、撤、转”等刚性措施。</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(二十二)科学防洪调度。</w:t>
      </w:r>
      <w:r>
        <w:rPr>
          <w:rFonts w:hint="default" w:ascii="仿宋_GB2312" w:hAnsi="仿宋_GB2312" w:eastAsia="仿宋_GB2312" w:cs="仿宋_GB2312"/>
          <w:b w:val="0"/>
          <w:bCs w:val="0"/>
          <w:color w:val="auto"/>
          <w:kern w:val="0"/>
          <w:sz w:val="32"/>
          <w:szCs w:val="32"/>
          <w:lang w:val="en-US" w:eastAsia="zh-CN" w:bidi="ar"/>
        </w:rPr>
        <w:t>水利部门要做好权限范围内水工程防汛抗旱调度、应急水量调度工作，建立健全防洪排涝工程体系联合调度工作机制,严格督促落实调度命令执行，系统运用“拦</w:t>
      </w:r>
      <w:r>
        <w:rPr>
          <w:rFonts w:hint="eastAsia" w:ascii="仿宋_GB2312" w:hAnsi="仿宋_GB2312" w:eastAsia="仿宋_GB2312" w:cs="仿宋_GB2312"/>
          <w:b w:val="0"/>
          <w:bCs w:val="0"/>
          <w:color w:val="auto"/>
          <w:kern w:val="0"/>
          <w:sz w:val="32"/>
          <w:szCs w:val="32"/>
          <w:lang w:val="en-US" w:eastAsia="zh-CN" w:bidi="ar"/>
        </w:rPr>
        <w:t>、分、蓄、滞、排”等措施，最大程度发挥工程体系的防灾减灾效益。</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七、</w:t>
      </w:r>
      <w:r>
        <w:rPr>
          <w:rFonts w:hint="default" w:ascii="黑体" w:hAnsi="黑体" w:eastAsia="黑体" w:cs="黑体"/>
          <w:b w:val="0"/>
          <w:bCs w:val="0"/>
          <w:color w:val="auto"/>
          <w:kern w:val="0"/>
          <w:sz w:val="32"/>
          <w:szCs w:val="32"/>
          <w:lang w:val="en-US" w:eastAsia="zh-CN" w:bidi="ar"/>
        </w:rPr>
        <w:t>及时响应行动</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(二十三)加强巡查部署。</w:t>
      </w:r>
      <w:r>
        <w:rPr>
          <w:rFonts w:hint="default" w:ascii="仿宋_GB2312" w:hAnsi="仿宋_GB2312" w:eastAsia="仿宋_GB2312" w:cs="仿宋_GB2312"/>
          <w:b w:val="0"/>
          <w:bCs w:val="0"/>
          <w:color w:val="auto"/>
          <w:kern w:val="0"/>
          <w:sz w:val="32"/>
          <w:szCs w:val="32"/>
          <w:lang w:val="en-US" w:eastAsia="zh-CN" w:bidi="ar"/>
        </w:rPr>
        <w:t>加强水库、尾矿库、在建工程城市低洼易涝点、地质灾害隐患点和历史险工险段、穿堤建筑物、涉河工程、漫水路(桥)、下穿立交等重点部位、薄弱环节巡查防守，提前预置抢险力量、料物和设备，确保发生险情时能及时处理。</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(二十四)果断避险转移。</w:t>
      </w:r>
      <w:r>
        <w:rPr>
          <w:rFonts w:hint="default" w:ascii="仿宋_GB2312" w:hAnsi="仿宋_GB2312" w:eastAsia="仿宋_GB2312" w:cs="仿宋_GB2312"/>
          <w:b w:val="0"/>
          <w:bCs w:val="0"/>
          <w:color w:val="auto"/>
          <w:kern w:val="0"/>
          <w:sz w:val="32"/>
          <w:szCs w:val="32"/>
          <w:lang w:val="en-US" w:eastAsia="zh-CN" w:bidi="ar"/>
        </w:rPr>
        <w:t>强化山洪灾害危险区、地质灾害隐患点、偏远山区、野生景点等重点区域和流动人员转移避险落实孤寡老人、留守儿童、病人、残疾人等的“一对一”转移避险措施，</w:t>
      </w:r>
      <w:r>
        <w:rPr>
          <w:rFonts w:hint="eastAsia" w:ascii="仿宋_GB2312" w:hAnsi="仿宋_GB2312" w:eastAsia="仿宋_GB2312" w:cs="仿宋_GB2312"/>
          <w:b w:val="0"/>
          <w:bCs w:val="0"/>
          <w:color w:val="auto"/>
          <w:kern w:val="0"/>
          <w:sz w:val="32"/>
          <w:szCs w:val="32"/>
          <w:lang w:val="en-US" w:eastAsia="zh-CN" w:bidi="ar"/>
        </w:rPr>
        <w:t>做好汛期叫应机制，</w:t>
      </w:r>
      <w:r>
        <w:rPr>
          <w:rFonts w:hint="default" w:ascii="仿宋_GB2312" w:hAnsi="仿宋_GB2312" w:eastAsia="仿宋_GB2312" w:cs="仿宋_GB2312"/>
          <w:b w:val="0"/>
          <w:bCs w:val="0"/>
          <w:color w:val="auto"/>
          <w:kern w:val="0"/>
          <w:sz w:val="32"/>
          <w:szCs w:val="32"/>
          <w:lang w:val="en-US" w:eastAsia="zh-CN" w:bidi="ar"/>
        </w:rPr>
        <w:t>抓好“五个关键环节”(转移谁、谁组织、何时转、往哪转转移人员管理)，做到“三个必转”(应转必转、应转早转、应转尽转)，最大限度避免人员伤亡。</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(二十五)合力抢险救援。</w:t>
      </w:r>
      <w:r>
        <w:rPr>
          <w:rFonts w:hint="default" w:ascii="仿宋_GB2312" w:hAnsi="仿宋_GB2312" w:eastAsia="仿宋_GB2312" w:cs="仿宋_GB2312"/>
          <w:b w:val="0"/>
          <w:bCs w:val="0"/>
          <w:color w:val="auto"/>
          <w:kern w:val="0"/>
          <w:sz w:val="32"/>
          <w:szCs w:val="32"/>
          <w:lang w:val="en-US" w:eastAsia="zh-CN" w:bidi="ar"/>
        </w:rPr>
        <w:t>加强消防救援队伍、专业抢险队伍、解放军和武警部队以及社会应急队伍等抢险救援力量统筹，充分发挥“综合防、专业救”效能，完善协同联动工作机制，强化前后方指挥协调，提前向预报重点区域、易灾区域预置救援力量。</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(二十六)精准救灾救助</w:t>
      </w:r>
      <w:r>
        <w:rPr>
          <w:rFonts w:hint="default"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及时下拨救援救灾资金，快速调动救灾物资，扎实细致报灾、查灾、核灾，保证受灾群众有饭吃、有衣穿、有干净水喝、有临时安全住所、有医疗服务，切实保障受灾群众基本生活。加快推进灾后基础设施修复、因灾倒损房重建等工作，尽快恢复正常生产生活秩序。</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(二十七)强化舆情引导。</w:t>
      </w:r>
      <w:r>
        <w:rPr>
          <w:rFonts w:hint="default" w:ascii="仿宋_GB2312" w:hAnsi="仿宋_GB2312" w:eastAsia="仿宋_GB2312" w:cs="仿宋_GB2312"/>
          <w:b w:val="0"/>
          <w:bCs w:val="0"/>
          <w:color w:val="auto"/>
          <w:kern w:val="0"/>
          <w:sz w:val="32"/>
          <w:szCs w:val="32"/>
          <w:lang w:val="en-US" w:eastAsia="zh-CN" w:bidi="ar"/>
        </w:rPr>
        <w:t>统筹组织电视、广播、网络新媒体等媒体渠道，及时报道水旱灾害形势和险情灾情、重大抢险救援进展等信息，大力宣传防汛抗洪的典型案例和感人事迹，做好舆情监测、分析研判和热点引导，妥善处置负面舆情，主动发声回应社会关切，营造防汛抗旱良好舆论氛围。</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w:t>
      </w:r>
      <w:r>
        <w:rPr>
          <w:rFonts w:hint="eastAsia" w:ascii="仿宋_GB2312" w:hAnsi="仿宋_GB2312" w:eastAsia="仿宋_GB2312" w:cs="仿宋_GB2312"/>
          <w:b/>
          <w:bCs/>
          <w:color w:val="auto"/>
          <w:kern w:val="0"/>
          <w:sz w:val="32"/>
          <w:szCs w:val="32"/>
          <w:lang w:val="en-US" w:eastAsia="zh-CN" w:bidi="ar"/>
        </w:rPr>
        <w:t>八</w:t>
      </w:r>
      <w:r>
        <w:rPr>
          <w:rFonts w:hint="default" w:ascii="仿宋_GB2312" w:hAnsi="仿宋_GB2312" w:eastAsia="仿宋_GB2312" w:cs="仿宋_GB2312"/>
          <w:b/>
          <w:bCs/>
          <w:color w:val="auto"/>
          <w:kern w:val="0"/>
          <w:sz w:val="32"/>
          <w:szCs w:val="32"/>
          <w:lang w:val="en-US" w:eastAsia="zh-CN" w:bidi="ar"/>
        </w:rPr>
        <w:t>)统筹抗旱减灾。</w:t>
      </w:r>
      <w:r>
        <w:rPr>
          <w:rFonts w:hint="default" w:ascii="仿宋_GB2312" w:hAnsi="仿宋_GB2312" w:eastAsia="仿宋_GB2312" w:cs="仿宋_GB2312"/>
          <w:b w:val="0"/>
          <w:bCs w:val="0"/>
          <w:color w:val="auto"/>
          <w:kern w:val="0"/>
          <w:sz w:val="32"/>
          <w:szCs w:val="32"/>
          <w:lang w:val="en-US" w:eastAsia="zh-CN" w:bidi="ar"/>
        </w:rPr>
        <w:t>加强综合会商研判，落实防御措施，防止旱涝急转并发。立足抗大旱、抗连旱，加强水工程调度和雨洪资源利用，适时开展人工增雨、增打机井、拉水送水，做好生产、生活、生态用水统筹，全力保障群众饮水安全。</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bCs/>
          <w:color w:val="auto"/>
          <w:kern w:val="0"/>
          <w:sz w:val="32"/>
          <w:szCs w:val="32"/>
          <w:lang w:val="en-US" w:eastAsia="zh-CN" w:bidi="ar"/>
        </w:rPr>
        <w:t>(二十九)抓好复盘总结。</w:t>
      </w:r>
      <w:r>
        <w:rPr>
          <w:rFonts w:hint="default" w:ascii="仿宋_GB2312" w:hAnsi="仿宋_GB2312" w:eastAsia="仿宋_GB2312" w:cs="仿宋_GB2312"/>
          <w:b w:val="0"/>
          <w:bCs w:val="0"/>
          <w:color w:val="auto"/>
          <w:kern w:val="0"/>
          <w:sz w:val="32"/>
          <w:szCs w:val="32"/>
          <w:lang w:val="en-US" w:eastAsia="zh-CN" w:bidi="ar"/>
        </w:rPr>
        <w:t>及时总结评估，查找问题不足，提出改进措施，积极向上级部门和同级党委、政府报告防汛抗旱工作情况，争取支持、解决困难，大力宣传推广</w:t>
      </w:r>
      <w:r>
        <w:rPr>
          <w:rFonts w:hint="eastAsia" w:ascii="仿宋_GB2312" w:hAnsi="仿宋_GB2312" w:eastAsia="仿宋_GB2312" w:cs="仿宋_GB2312"/>
          <w:b w:val="0"/>
          <w:bCs w:val="0"/>
          <w:color w:val="auto"/>
          <w:kern w:val="0"/>
          <w:sz w:val="32"/>
          <w:szCs w:val="32"/>
          <w:lang w:val="en-US" w:eastAsia="zh-CN" w:bidi="ar"/>
        </w:rPr>
        <w:t>防汛抗旱</w:t>
      </w:r>
      <w:r>
        <w:rPr>
          <w:rFonts w:hint="default" w:ascii="仿宋_GB2312" w:hAnsi="仿宋_GB2312" w:eastAsia="仿宋_GB2312" w:cs="仿宋_GB2312"/>
          <w:b w:val="0"/>
          <w:bCs w:val="0"/>
          <w:color w:val="auto"/>
          <w:kern w:val="0"/>
          <w:sz w:val="32"/>
          <w:szCs w:val="32"/>
          <w:lang w:val="en-US" w:eastAsia="zh-CN" w:bidi="ar"/>
        </w:rPr>
        <w:t>经验做法。</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720" w:firstLineChars="200"/>
        <w:textAlignment w:val="auto"/>
        <w:rPr>
          <w:rFonts w:hint="default" w:ascii="仿宋_GB2312" w:hAnsi="仿宋_GB2312" w:eastAsia="仿宋_GB2312" w:cs="仿宋_GB2312"/>
          <w:b w:val="0"/>
          <w:bCs w:val="0"/>
          <w:color w:val="auto"/>
          <w:kern w:val="0"/>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line="570" w:lineRule="exact"/>
        <w:jc w:val="distribute"/>
        <w:textAlignment w:val="auto"/>
        <w:rPr>
          <w:rFonts w:hint="default" w:ascii="仿宋_GB2312" w:hAnsi="仿宋_GB2312" w:eastAsia="仿宋_GB2312" w:cs="仿宋_GB2312"/>
          <w:b w:val="0"/>
          <w:bCs w:val="0"/>
          <w:color w:val="auto"/>
          <w:kern w:val="0"/>
          <w:sz w:val="36"/>
          <w:szCs w:val="36"/>
          <w:lang w:val="en-US" w:eastAsia="zh-CN" w:bidi="ar"/>
        </w:rPr>
      </w:pPr>
      <w:r>
        <w:rPr>
          <w:rFonts w:hint="eastAsia" w:ascii="仿宋_GB2312" w:hAnsi="仿宋_GB2312" w:eastAsia="仿宋_GB2312" w:cs="仿宋_GB2312"/>
          <w:color w:val="auto"/>
          <w:spacing w:val="-20"/>
          <w:sz w:val="28"/>
          <w:szCs w:val="28"/>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42545</wp:posOffset>
                </wp:positionV>
                <wp:extent cx="5760085" cy="0"/>
                <wp:effectExtent l="0" t="4445" r="0" b="5080"/>
                <wp:wrapNone/>
                <wp:docPr id="6" name="直接连接符 6"/>
                <wp:cNvGraphicFramePr/>
                <a:graphic xmlns:a="http://schemas.openxmlformats.org/drawingml/2006/main">
                  <a:graphicData uri="http://schemas.microsoft.com/office/word/2010/wordprocessingShape">
                    <wps:wsp>
                      <wps:cNvCnPr/>
                      <wps:spPr>
                        <a:xfrm>
                          <a:off x="1030605" y="8975725"/>
                          <a:ext cx="576008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75pt;margin-top:3.35pt;height:0pt;width:453.55pt;z-index:251660288;mso-width-relative:page;mso-height-relative:page;" filled="f" stroked="t" coordsize="21600,21600" o:gfxdata="UEsDBAoAAAAAAIdO4kAAAAAAAAAAAAAAAAAEAAAAZHJzL1BLAwQUAAAACACHTuJAYnaH6tUAAAAH&#10;AQAADwAAAGRycy9kb3ducmV2LnhtbE2OTU/DMBBE70j9D9YicalaO40IJcTpoZAbF9oirtt4SSLi&#10;dRq7H/DrMVzgOJrRm1esLrYXJxp951hDMlcgiGtnOm407LbVbAnCB2SDvWPS8EkeVuXkqsDcuDO/&#10;0GkTGhEh7HPU0IYw5FL6uiWLfu4G4ti9u9FiiHFspBnxHOG2lwulMmmx4/jQ4kDrluqPzdFq8NUr&#10;HaqvaT1Vb2njaHF4fH5CrW+uE/UAItAl/I3hRz+qQxmd9u7IxotewyxJb+NUQ3YHIvbL+zQDsf/N&#10;sizkf//yG1BLAwQUAAAACACHTuJAVIng+uwBAAC0AwAADgAAAGRycy9lMm9Eb2MueG1srVPNjtMw&#10;EL4j8Q6W7zTZorTdqOketlouCCoBD+A6dmLJf/J4m/YleAEkbnDiyJ23YfcxGDvZH5bLHsjBmbG/&#10;fDPf58n64mg0OYgAytmGns1KSoTlrlW2a+inj1evVpRAZLZl2lnR0JMAerF5+WI9+FrMXe90KwJB&#10;Egv14Bvax+jrogDeC8Ng5ryweChdMCxiGrqiDWxAdqOLeVkuisGF1gfHBQDubsdDOjGG5xA6KRUX&#10;W8evjbBxZA1Cs4iSoFce6CZ3K6Xg8b2UICLRDUWlMa9YBON9WovNmtVdYL5XfGqBPaeFJ5oMUxaL&#10;3lNtWWTkOqh/qIziwYGTccadKUYh2RFUcVY+8eZDz7zIWtBq8Pemw/+j5e8Ou0BU29AFJZYZvPCb&#10;Lz9/f/52++srrjc/vpNFMmnwUCP20u7ClIHfhaT4KINJb9RCjjhQ5etyUVaUnBq6Ol9Wy3k1miyO&#10;kXAEVMtFWa4QwBGRL6B4IPEB4hvhDElBQ7WyST+r2eEtRCyM0DtI2rbuSmmd71BbMjT0vMJyhDOc&#10;S4nzgKHxqA1sRwnTHQ48jyEzgtOqTV8nHgjd/lIHcmBpTPKTmsZqf8FS6S2DfsTlowmmbaIReeCm&#10;TpNjo0cp2rv2lK0rUoaXmdmnwUvT8jjH+PHPtv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naH&#10;6tUAAAAHAQAADwAAAAAAAAABACAAAAAiAAAAZHJzL2Rvd25yZXYueG1sUEsBAhQAFAAAAAgAh07i&#10;QFSJ4PrsAQAAt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20"/>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406400</wp:posOffset>
                </wp:positionV>
                <wp:extent cx="5760085" cy="0"/>
                <wp:effectExtent l="0" t="4445" r="0" b="5080"/>
                <wp:wrapNone/>
                <wp:docPr id="7" name="直接连接符 7"/>
                <wp:cNvGraphicFramePr/>
                <a:graphic xmlns:a="http://schemas.openxmlformats.org/drawingml/2006/main">
                  <a:graphicData uri="http://schemas.microsoft.com/office/word/2010/wordprocessingShape">
                    <wps:wsp>
                      <wps:cNvCnPr/>
                      <wps:spPr>
                        <a:xfrm>
                          <a:off x="1030605" y="9339580"/>
                          <a:ext cx="576008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pt;margin-top:32pt;height:0pt;width:453.55pt;z-index:251661312;mso-width-relative:page;mso-height-relative:page;" filled="f" stroked="t" coordsize="21600,21600" o:gfxdata="UEsDBAoAAAAAAIdO4kAAAAAAAAAAAAAAAAAEAAAAZHJzL1BLAwQUAAAACACHTuJAdy1Is9cAAAAJ&#10;AQAADwAAAGRycy9kb3ducmV2LnhtbE2PzU7DQAyE70i8w8pIXKp2kwBVG7LpAciNCwXUq5s1SUTW&#10;m2a3P/D0GPUAJ8ue0fibYnVyvTrQGDrPBtJZAoq49rbjxsDbazVdgAoR2WLvmQx8UYBVeXlRYG79&#10;kV/osI6NkhAOORpoYxxyrUPdksMw8wOxaB9+dBhlHRttRzxKuOt1liRz7bBj+dDiQA8t1Z/rvTMQ&#10;qnfaVd+TepJsbhpP2e7x+QmNub5Kk3tQkU7xzwy/+IIOpTBt/Z5tUL2BaZpJl2hgfitTDIvlXQpq&#10;ez7ostD/G5Q/UEsDBBQAAAAIAIdO4kDJ2ECv6QEAALQDAAAOAAAAZHJzL2Uyb0RvYy54bWytU82O&#10;0zAQviPxDpbvNNlW/dmo6R62Wi4IKgEP4DpOYsl/mvE27UvwAkjc4MSRO2/D8hiM3bAsy2UP5ODM&#10;2F++me/zZH11tIYdFKD2ruYXk5Iz5aRvtOtq/v7dzYsVZxiFa4TxTtX8pJBfbZ4/Ww+hUlPfe9Mo&#10;YETisBpCzfsYQ1UUKHtlBU58UI4OWw9WREqhKxoQA7FbU0zLclEMHpoAXipE2t2eD/nICE8h9G2r&#10;pdp6eWuVi2dWUEZEkoS9Dsg3udu2VTK+aVtUkZmak9KYVypC8T6txWYtqg5E6LUcWxBPaeGRJiu0&#10;o6L3VFsRBbsF/Q+V1RI8+jZOpLfFWUh2hFRclI+8eduLoLIWshrDven4/2jl68MOmG5qvuTMCUsX&#10;fvfx248Pn39+/0Tr3dcvbJlMGgJWhL12OxgzDDtIio8t2PQmLexIA1XOykU55+xU88vZ7HK+Gk1W&#10;x8gkAebLRVmuCCAJkc+KPyQBML5U3rIU1Nxol/SLShxeYaTCBP0NSdvO32hj8h0axwaqOJ8mZkFz&#10;2dI8UGgDaUPXcSZMRwMvI2RG9EY36evEg9Dtrw2wg0hjkp8kmqr9BUultwL7My4fjTDjEo3KAzd2&#10;mhw7e5SivW9O2boiZXSZmX0cvDQtD3OKH/5s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3LUiz&#10;1wAAAAkBAAAPAAAAAAAAAAEAIAAAACIAAABkcnMvZG93bnJldi54bWxQSwECFAAUAAAACACHTuJA&#10;ydhAr+kBAAC0AwAADgAAAAAAAAABACAAAAAmAQAAZHJzL2Uyb0RvYy54bWxQSwUGAAAAAAYABgBZ&#10;AQAAg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20"/>
          <w:sz w:val="28"/>
          <w:szCs w:val="28"/>
          <w:lang w:val="en-US" w:eastAsia="zh-CN"/>
        </w:rPr>
        <w:t xml:space="preserve">龙胜各族自治县防汛抗旱指挥部              </w:t>
      </w:r>
      <w:r>
        <w:rPr>
          <w:rFonts w:hint="default" w:ascii="Times New Roman" w:hAnsi="Times New Roman" w:eastAsia="仿宋_GB2312" w:cs="Times New Roman"/>
          <w:color w:val="auto"/>
          <w:spacing w:val="-20"/>
          <w:sz w:val="28"/>
          <w:szCs w:val="28"/>
          <w:lang w:val="en-US" w:eastAsia="zh-CN"/>
        </w:rPr>
        <w:t>202</w:t>
      </w:r>
      <w:r>
        <w:rPr>
          <w:rFonts w:hint="eastAsia" w:ascii="Times New Roman" w:hAnsi="Times New Roman" w:eastAsia="仿宋_GB2312" w:cs="Times New Roman"/>
          <w:color w:val="auto"/>
          <w:spacing w:val="-20"/>
          <w:sz w:val="28"/>
          <w:szCs w:val="28"/>
          <w:lang w:val="en-US" w:eastAsia="zh-CN"/>
        </w:rPr>
        <w:t>4</w:t>
      </w:r>
      <w:r>
        <w:rPr>
          <w:rFonts w:hint="eastAsia" w:ascii="仿宋_GB2312" w:hAnsi="仿宋_GB2312" w:eastAsia="仿宋_GB2312" w:cs="仿宋_GB2312"/>
          <w:color w:val="auto"/>
          <w:spacing w:val="-20"/>
          <w:sz w:val="28"/>
          <w:szCs w:val="28"/>
          <w:lang w:val="en-US" w:eastAsia="zh-CN"/>
        </w:rPr>
        <w:t>年</w:t>
      </w:r>
      <w:r>
        <w:rPr>
          <w:rFonts w:hint="eastAsia" w:ascii="Times New Roman" w:hAnsi="Times New Roman" w:eastAsia="仿宋_GB2312" w:cs="Times New Roman"/>
          <w:color w:val="auto"/>
          <w:spacing w:val="-20"/>
          <w:sz w:val="28"/>
          <w:szCs w:val="28"/>
          <w:lang w:val="en-US" w:eastAsia="zh-CN"/>
        </w:rPr>
        <w:t>4</w:t>
      </w:r>
      <w:r>
        <w:rPr>
          <w:rFonts w:hint="eastAsia" w:ascii="仿宋_GB2312" w:hAnsi="仿宋_GB2312" w:eastAsia="仿宋_GB2312" w:cs="仿宋_GB2312"/>
          <w:color w:val="auto"/>
          <w:spacing w:val="-20"/>
          <w:sz w:val="28"/>
          <w:szCs w:val="28"/>
          <w:lang w:val="en-US" w:eastAsia="zh-CN"/>
        </w:rPr>
        <w:t>月</w:t>
      </w:r>
      <w:r>
        <w:rPr>
          <w:rFonts w:hint="eastAsia" w:ascii="Times New Roman" w:hAnsi="Times New Roman" w:eastAsia="仿宋_GB2312" w:cs="Times New Roman"/>
          <w:color w:val="auto"/>
          <w:spacing w:val="-20"/>
          <w:sz w:val="28"/>
          <w:szCs w:val="28"/>
          <w:lang w:val="en-US" w:eastAsia="zh-CN"/>
        </w:rPr>
        <w:t>1</w:t>
      </w:r>
      <w:r>
        <w:rPr>
          <w:rFonts w:hint="eastAsia" w:ascii="仿宋_GB2312" w:hAnsi="仿宋_GB2312" w:eastAsia="仿宋_GB2312" w:cs="仿宋_GB2312"/>
          <w:color w:val="auto"/>
          <w:spacing w:val="-20"/>
          <w:sz w:val="28"/>
          <w:szCs w:val="28"/>
          <w:lang w:val="en-US" w:eastAsia="zh-CN"/>
        </w:rPr>
        <w:t>日印发</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2M3MDA1NDA1YWQ2ZmZjMWI2NThiNzdlZDc5NzIifQ=="/>
  </w:docVars>
  <w:rsids>
    <w:rsidRoot w:val="77B4040B"/>
    <w:rsid w:val="0AFC15E8"/>
    <w:rsid w:val="2628001E"/>
    <w:rsid w:val="2C42277B"/>
    <w:rsid w:val="2FD25781"/>
    <w:rsid w:val="34344DBF"/>
    <w:rsid w:val="49D40A5E"/>
    <w:rsid w:val="5A8913F1"/>
    <w:rsid w:val="676E6F80"/>
    <w:rsid w:val="6B9709FF"/>
    <w:rsid w:val="70EF5568"/>
    <w:rsid w:val="77B4040B"/>
    <w:rsid w:val="7E3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方正仿宋_GBK" w:hAnsi="方正仿宋_GBK" w:eastAsia="方正仿宋_GBK" w:cstheme="minorBidi"/>
      <w:kern w:val="2"/>
      <w:sz w:val="32"/>
      <w:szCs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3741</Words>
  <Characters>3770</Characters>
  <Lines>0</Lines>
  <Paragraphs>0</Paragraphs>
  <TotalTime>10</TotalTime>
  <ScaleCrop>false</ScaleCrop>
  <LinksUpToDate>false</LinksUpToDate>
  <CharactersWithSpaces>3787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2024-04-01T08:41:00Z</dcterms:created>
  <dc:creator>Bruce</dc:creator>
  <cp:lastModifiedBy>Administrator</cp:lastModifiedBy>
  <cp:lastPrinted>2024-04-03T03:13:00Z</cp:lastPrinted>
  <dcterms:modified xsi:type="dcterms:W3CDTF">2024-06-14T02:40:46Z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21E14F6601514014B315A6FCD25D4374_11</vt:lpwstr>
  </property>
</Properties>
</file>