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ascii="Times New Roman" w:hAnsi="Times New Roman"/>
          <w:b/>
          <w:color w:val="FF0000"/>
          <w:sz w:val="56"/>
          <w:szCs w:val="56"/>
        </w:rPr>
      </w:pPr>
      <w:bookmarkStart w:id="0" w:name="_GoBack"/>
      <w:bookmarkEnd w:id="0"/>
      <w:r>
        <w:rPr>
          <w:rFonts w:hint="eastAsia" w:ascii="Times New Roman" w:hAnsi="Times New Roman"/>
          <w:b/>
          <w:color w:val="FF0000"/>
          <w:sz w:val="56"/>
          <w:szCs w:val="56"/>
        </w:rPr>
        <w:t>龙</w:t>
      </w:r>
      <w:r>
        <w:rPr>
          <w:rFonts w:ascii="Times New Roman" w:hAnsi="Times New Roman"/>
          <w:b/>
          <w:color w:val="FF0000"/>
          <w:sz w:val="56"/>
          <w:szCs w:val="56"/>
        </w:rPr>
        <w:t xml:space="preserve"> </w:t>
      </w:r>
      <w:r>
        <w:rPr>
          <w:rFonts w:hint="eastAsia" w:ascii="Times New Roman" w:hAnsi="Times New Roman"/>
          <w:b/>
          <w:color w:val="FF0000"/>
          <w:sz w:val="56"/>
          <w:szCs w:val="56"/>
        </w:rPr>
        <w:t>胜</w:t>
      </w:r>
      <w:r>
        <w:rPr>
          <w:rFonts w:ascii="Times New Roman" w:hAnsi="Times New Roman"/>
          <w:b/>
          <w:color w:val="FF0000"/>
          <w:sz w:val="56"/>
          <w:szCs w:val="56"/>
        </w:rPr>
        <w:t xml:space="preserve"> </w:t>
      </w:r>
      <w:r>
        <w:rPr>
          <w:rFonts w:hint="eastAsia" w:ascii="Times New Roman" w:hAnsi="Times New Roman"/>
          <w:b/>
          <w:color w:val="FF0000"/>
          <w:sz w:val="56"/>
          <w:szCs w:val="56"/>
        </w:rPr>
        <w:t>各</w:t>
      </w:r>
      <w:r>
        <w:rPr>
          <w:rFonts w:ascii="Times New Roman" w:hAnsi="Times New Roman"/>
          <w:b/>
          <w:color w:val="FF0000"/>
          <w:sz w:val="56"/>
          <w:szCs w:val="56"/>
        </w:rPr>
        <w:t xml:space="preserve"> </w:t>
      </w:r>
      <w:r>
        <w:rPr>
          <w:rFonts w:hint="eastAsia" w:ascii="Times New Roman" w:hAnsi="Times New Roman"/>
          <w:b/>
          <w:color w:val="FF0000"/>
          <w:sz w:val="56"/>
          <w:szCs w:val="56"/>
        </w:rPr>
        <w:t>族</w:t>
      </w:r>
      <w:r>
        <w:rPr>
          <w:rFonts w:ascii="Times New Roman" w:hAnsi="Times New Roman"/>
          <w:b/>
          <w:color w:val="FF0000"/>
          <w:sz w:val="56"/>
          <w:szCs w:val="56"/>
        </w:rPr>
        <w:t xml:space="preserve"> </w:t>
      </w:r>
      <w:r>
        <w:rPr>
          <w:rFonts w:hint="eastAsia" w:ascii="Times New Roman" w:hAnsi="Times New Roman"/>
          <w:b/>
          <w:color w:val="FF0000"/>
          <w:sz w:val="56"/>
          <w:szCs w:val="56"/>
        </w:rPr>
        <w:t>自</w:t>
      </w:r>
      <w:r>
        <w:rPr>
          <w:rFonts w:ascii="Times New Roman" w:hAnsi="Times New Roman"/>
          <w:b/>
          <w:color w:val="FF0000"/>
          <w:sz w:val="56"/>
          <w:szCs w:val="56"/>
        </w:rPr>
        <w:t xml:space="preserve"> </w:t>
      </w:r>
      <w:r>
        <w:rPr>
          <w:rFonts w:hint="eastAsia" w:ascii="Times New Roman" w:hAnsi="Times New Roman"/>
          <w:b/>
          <w:color w:val="FF0000"/>
          <w:sz w:val="56"/>
          <w:szCs w:val="56"/>
        </w:rPr>
        <w:t>治</w:t>
      </w:r>
      <w:r>
        <w:rPr>
          <w:rFonts w:ascii="Times New Roman" w:hAnsi="Times New Roman"/>
          <w:b/>
          <w:color w:val="FF0000"/>
          <w:sz w:val="56"/>
          <w:szCs w:val="56"/>
        </w:rPr>
        <w:t xml:space="preserve"> </w:t>
      </w:r>
      <w:r>
        <w:rPr>
          <w:rFonts w:hint="eastAsia" w:ascii="Times New Roman" w:hAnsi="Times New Roman"/>
          <w:b/>
          <w:color w:val="FF0000"/>
          <w:sz w:val="56"/>
          <w:szCs w:val="56"/>
        </w:rPr>
        <w:t>县</w:t>
      </w:r>
    </w:p>
    <w:p>
      <w:pPr>
        <w:spacing w:line="1400" w:lineRule="exact"/>
        <w:jc w:val="center"/>
        <w:rPr>
          <w:rFonts w:ascii="Times New Roman" w:hAnsi="Times New Roman" w:eastAsia="黑体"/>
          <w:color w:val="FF0000"/>
          <w:spacing w:val="-54"/>
          <w:sz w:val="96"/>
          <w:szCs w:val="96"/>
        </w:rPr>
      </w:pPr>
      <w:r>
        <w:rPr>
          <w:rFonts w:hint="eastAsia" w:ascii="Times New Roman" w:hAnsi="Times New Roman" w:eastAsia="黑体"/>
          <w:color w:val="FF0000"/>
          <w:spacing w:val="-54"/>
          <w:sz w:val="96"/>
          <w:szCs w:val="96"/>
        </w:rPr>
        <w:t>泗水乡人民政府文件</w:t>
      </w:r>
    </w:p>
    <w:p>
      <w:pPr>
        <w:spacing w:line="400" w:lineRule="exact"/>
        <w:jc w:val="center"/>
        <w:rPr>
          <w:rFonts w:ascii="Times New Roman" w:hAnsi="Times New Roman" w:eastAsia="仿宋_GB2312"/>
          <w:b/>
          <w:bCs/>
          <w:kern w:val="0"/>
          <w:sz w:val="48"/>
          <w:szCs w:val="84"/>
        </w:rPr>
      </w:pPr>
    </w:p>
    <w:p>
      <w:pPr>
        <w:spacing w:line="59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泗政发〔2020〕17号</w:t>
      </w:r>
    </w:p>
    <w:p>
      <w:pPr>
        <w:rPr>
          <w:rFonts w:ascii="Times New Roman" w:hAnsi="Times New Roman" w:eastAsia="仿宋_GB2312"/>
          <w:kern w:val="0"/>
          <w:sz w:val="32"/>
          <w:szCs w:val="32"/>
          <w:u w:val="thick" w:color="FF0000"/>
        </w:rPr>
      </w:pPr>
      <w:r>
        <w:rPr>
          <w:rFonts w:ascii="Times New Roman" w:hAnsi="Times New Roman" w:eastAsia="仿宋_GB2312"/>
          <w:kern w:val="0"/>
          <w:sz w:val="32"/>
          <w:szCs w:val="32"/>
          <w:u w:val="thick" w:color="FF0000"/>
        </w:rPr>
        <w:t xml:space="preserve">                                                        </w:t>
      </w:r>
    </w:p>
    <w:p>
      <w:pPr>
        <w:spacing w:line="580" w:lineRule="exact"/>
        <w:rPr>
          <w:rFonts w:ascii="方正小标宋简体" w:hAnsi="方正小标宋简体" w:eastAsia="方正小标宋简体" w:cs="方正小标宋简体"/>
          <w:sz w:val="44"/>
          <w:szCs w:val="44"/>
        </w:rPr>
      </w:pPr>
    </w:p>
    <w:p>
      <w:pPr>
        <w:pStyle w:val="3"/>
        <w:widowControl/>
        <w:shd w:val="clear" w:color="auto" w:fill="FFFFFF"/>
        <w:spacing w:beforeAutospacing="0" w:afterAutospacing="0" w:line="640" w:lineRule="exact"/>
        <w:jc w:val="center"/>
        <w:rPr>
          <w:rFonts w:ascii="方正小标宋_GBK" w:hAnsi="方正小标宋_GBK" w:eastAsia="方正小标宋_GBK" w:cs="方正小标宋_GBK"/>
          <w:b w:val="0"/>
          <w:kern w:val="2"/>
          <w:sz w:val="44"/>
          <w:szCs w:val="44"/>
        </w:rPr>
      </w:pPr>
      <w:r>
        <w:rPr>
          <w:rFonts w:hint="eastAsia" w:ascii="方正小标宋_GBK" w:hAnsi="方正小标宋_GBK" w:eastAsia="方正小标宋_GBK" w:cs="方正小标宋_GBK"/>
          <w:b w:val="0"/>
          <w:color w:val="000000"/>
          <w:spacing w:val="8"/>
          <w:sz w:val="44"/>
          <w:szCs w:val="44"/>
          <w:shd w:val="clear" w:color="auto" w:fill="FFFFFF"/>
        </w:rPr>
        <w:t>泗水乡</w:t>
      </w:r>
      <w:r>
        <w:rPr>
          <w:rFonts w:hint="eastAsia" w:ascii="方正小标宋_GBK" w:hAnsi="方正小标宋_GBK" w:eastAsia="方正小标宋_GBK" w:cs="方正小标宋_GBK"/>
          <w:b w:val="0"/>
          <w:kern w:val="2"/>
          <w:sz w:val="44"/>
          <w:szCs w:val="44"/>
        </w:rPr>
        <w:t>关于集中开展非煤矿山“打非治违”</w:t>
      </w:r>
    </w:p>
    <w:p>
      <w:pPr>
        <w:pStyle w:val="3"/>
        <w:widowControl/>
        <w:shd w:val="clear" w:color="auto" w:fill="FFFFFF"/>
        <w:spacing w:beforeAutospacing="0" w:afterAutospacing="0" w:line="640" w:lineRule="exact"/>
        <w:jc w:val="center"/>
        <w:rPr>
          <w:rFonts w:ascii="仿宋_GB2312" w:eastAsia="仿宋_GB2312" w:cs="仿宋_GB2312"/>
          <w:color w:val="666666"/>
          <w:kern w:val="0"/>
          <w:sz w:val="32"/>
          <w:szCs w:val="32"/>
          <w:shd w:val="clear" w:color="auto" w:fill="FFFFFF"/>
        </w:rPr>
      </w:pPr>
      <w:r>
        <w:rPr>
          <w:rFonts w:hint="eastAsia" w:ascii="方正小标宋_GBK" w:hAnsi="方正小标宋_GBK" w:eastAsia="方正小标宋_GBK" w:cs="方正小标宋_GBK"/>
          <w:b w:val="0"/>
          <w:kern w:val="2"/>
          <w:sz w:val="44"/>
          <w:szCs w:val="44"/>
        </w:rPr>
        <w:t>专项行动的通知</w:t>
      </w:r>
    </w:p>
    <w:p>
      <w:pPr>
        <w:spacing w:line="586" w:lineRule="exact"/>
        <w:rPr>
          <w:rFonts w:ascii="仿宋_GB2312" w:hAnsi="仿宋_GB2312" w:eastAsia="仿宋_GB2312" w:cs="仿宋_GB2312"/>
          <w:color w:val="000000"/>
          <w:sz w:val="32"/>
          <w:szCs w:val="32"/>
        </w:rPr>
      </w:pPr>
    </w:p>
    <w:p>
      <w:pPr>
        <w:spacing w:line="586"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村民委员会</w:t>
      </w:r>
      <w:r>
        <w:rPr>
          <w:rFonts w:hint="eastAsia" w:ascii="仿宋_GB2312" w:hAnsi="仿宋_GB2312" w:eastAsia="仿宋_GB2312" w:cs="仿宋_GB2312"/>
          <w:color w:val="000000"/>
          <w:sz w:val="32"/>
          <w:szCs w:val="32"/>
        </w:rPr>
        <w:t>、乡直各单位：</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全乡非煤矿山领域安全生产工作，解决当前非煤矿山领域存在的突出非法违法问题，有效防范和坚决遏制重特大事故。根据广西壮族自治区安全生产委员会关于印发《全区安全生产专项整治三年行动计划》（桂安委〔2020〕9号）以及市、县党委政府的工作部署，泗水乡人民政府决定在全乡集中开展非煤矿山“打非治违”专项行动，现将有关事项通知如下：</w:t>
      </w:r>
    </w:p>
    <w:p>
      <w:pPr>
        <w:widowControl/>
        <w:shd w:val="clear" w:color="auto" w:fill="FFFFFF"/>
        <w:spacing w:line="58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一、总体要求</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总书记关于加强安全生产工作的一系列重要指示批示精神为指导，充分利用“双随机、一公开”机制，扎实开展“打非治违”专项行动，从严、从重，集中打击、整治一批当前表现突出的非煤矿山非法违法、违规违章行为，进一步规范全乡非煤矿山安全生产法治秩序，切实提升非煤矿山本质安全水平。</w:t>
      </w:r>
    </w:p>
    <w:p>
      <w:pPr>
        <w:widowControl/>
        <w:shd w:val="clear" w:color="auto" w:fill="FFFFFF"/>
        <w:spacing w:line="58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二、专项行动的重点</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（一）矿山企业未经批准或手续不全建设、无证开采、超层越界开采的。无勘查许可证、采矿许可证、安全生产许可证、爆破作业单位许可证，非法组织勘查、开采和以采代探、私挖盗采、超层越界开采的。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（二）关闭取缔后又擅自生产经营建设，以及应关未关或关闭不到位的。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（三）图纸造假、图实不符的。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（四）非法转让探矿权、采矿权以及倒卖、承包、出借等行为的。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（五）涉爆作业单位无爆破作业单位许可证、涉爆作业人员无爆破作业资质证，违法违规进行爆破作业的。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（六）向无勘查许可证、采矿许可证及安全生产许可证的单位提供电源的。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（七）向无勘查许可证、采矿许可证、安全生产许可证的单位和个人提供民用爆炸物品的。</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（八）其它非法违法私挖盗采矿产资源的行为。</w:t>
      </w:r>
    </w:p>
    <w:p>
      <w:pPr>
        <w:spacing w:line="586" w:lineRule="exact"/>
        <w:ind w:firstLine="640" w:firstLineChars="200"/>
        <w:rPr>
          <w:rFonts w:ascii="黑体" w:hAnsi="黑体" w:eastAsia="黑体" w:cs="黑体"/>
          <w:sz w:val="32"/>
          <w:szCs w:val="32"/>
        </w:rPr>
      </w:pPr>
      <w:r>
        <w:rPr>
          <w:rFonts w:hint="eastAsia" w:ascii="黑体" w:hAnsi="黑体" w:eastAsia="黑体" w:cs="黑体"/>
          <w:sz w:val="32"/>
          <w:szCs w:val="32"/>
        </w:rPr>
        <w:t>三、组织领导</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按照本次专项行动的具体要求，成立非煤矿山“打非治违”专项行动领导小组，成员如下：</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长：谭胜武   乡党委副书记、乡人民政府乡长</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副组长：洪建平   乡党委挂职副书记</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王月梅   乡党委委员、纪委书记</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黄传政   乡党委委员</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谭维新   乡党委委员、武装部长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秦杨艳   乡党委委员、乡人民政府副乡长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陈兴华   乡党委委员、乡人民政府副乡长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龙飞宇   乡党委委员、乡人民政府副乡长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吴肖裕   乡人民政府副乡长</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  晗   乡人大副主席</w:t>
      </w:r>
    </w:p>
    <w:p>
      <w:pPr>
        <w:tabs>
          <w:tab w:val="left" w:pos="360"/>
        </w:tabs>
        <w:spacing w:line="58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员：蒙曾荣   乡国土规建环保安监站站长兼安全助理</w:t>
      </w:r>
    </w:p>
    <w:p>
      <w:pPr>
        <w:tabs>
          <w:tab w:val="left" w:pos="360"/>
        </w:tabs>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邓妙杰   乡国土规建环保安监站副站长兼安</w:t>
      </w:r>
      <w:r>
        <w:rPr>
          <w:rFonts w:hint="eastAsia" w:ascii="仿宋_GB2312" w:hAnsi="仿宋_GB2312" w:eastAsia="仿宋_GB2312" w:cs="仿宋_GB2312"/>
          <w:sz w:val="32"/>
          <w:szCs w:val="32"/>
        </w:rPr>
        <w:t>全员</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阳文奇   乡派出所所长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邓仁瑞   乡司法所所长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粟新政   乡林业工作站站长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陈伟宏   乡财政所所长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黄进炳   乡农业技术推广站站长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吴军航   乡畜牧兽医站站长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sz w:val="32"/>
          <w:szCs w:val="32"/>
        </w:rPr>
        <w:t>黄尚富   乡供电所所长</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李运友   周家村民委员会主任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余松茂   细门村民委员会主任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蒋永根   龙甸村民委员会主任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黄晓艳   三舍村民委员会主任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吴兴高   泗水村民委员会主任</w:t>
      </w:r>
    </w:p>
    <w:p>
      <w:pPr>
        <w:tabs>
          <w:tab w:val="left" w:pos="360"/>
        </w:tabs>
        <w:spacing w:line="586" w:lineRule="exact"/>
        <w:ind w:firstLine="1977" w:firstLineChars="61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粟胜忠   潘内村民委员会主任</w:t>
      </w:r>
    </w:p>
    <w:p>
      <w:pPr>
        <w:spacing w:line="58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潘德生   马骆村民委员会主任</w:t>
      </w:r>
    </w:p>
    <w:p>
      <w:pPr>
        <w:spacing w:line="58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白明峰   里茶村民委员会主任</w:t>
      </w:r>
    </w:p>
    <w:p>
      <w:pPr>
        <w:spacing w:line="586"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刘  贵   里才村民委员会主任</w:t>
      </w:r>
    </w:p>
    <w:p>
      <w:pPr>
        <w:widowControl/>
        <w:shd w:val="clear" w:color="auto" w:fill="FFFFFF"/>
        <w:spacing w:line="58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四、专项行动时间、方法、步骤</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专项行动时间2020年7月10日至10月30日，按以下步骤实施。</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（一）制定方案和全面排查（7月31日前）。</w:t>
      </w:r>
      <w:r>
        <w:rPr>
          <w:rFonts w:hint="eastAsia" w:ascii="仿宋_GB2312" w:hAnsi="仿宋_GB2312" w:eastAsia="仿宋_GB2312" w:cs="仿宋_GB2312"/>
          <w:sz w:val="32"/>
          <w:szCs w:val="32"/>
        </w:rPr>
        <w:t>各村、各单位要全面部署非煤矿山集中开展“打非治违”专项行动工作，明确目标、任务、时限、计划，提出具体工作要求和措施。同时，要组织有关部门对照“打非治违”重点内容开展全面排查，摸清情况，发动群众举报非法违法、偷采盗采的行为，并做好信息汇总上报工作。特别要督促企业落实“治违”的主体责任，督促企业建立和落实隐患自查自改自报和风险防控制度，立查立改违规违章行为。</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（二）组织实施（8月1日至9月30日）。</w:t>
      </w:r>
      <w:r>
        <w:rPr>
          <w:rFonts w:hint="eastAsia" w:ascii="仿宋_GB2312" w:hAnsi="仿宋_GB2312" w:eastAsia="仿宋_GB2312" w:cs="仿宋_GB2312"/>
          <w:sz w:val="32"/>
          <w:szCs w:val="32"/>
        </w:rPr>
        <w:t>各村、各单位要积极配合各部门联合执法，始终保持“打非治违”的高压态势，切实做到“四个一律”，即对非法生产经营建设和经停产整顿仍未达到要求的，一律关闭取缔；对非法生产经营建设的有关单位和责任人，一律按规定上限予以处罚；对存在非法生产经营建设的单位，一律责令停产整顿，并严格落实监管措施；对触犯法律的有关单位和人员，一律依法严格追究法律责任。同时，要注重源头治理，深挖严打非法违法行为背后的“保护伞”，切实维护法律的尊严和人民群众的合法权益。要定期汇总分析辖区专项行动存在的问题，召开协调会，及时解决专项行动中存在的重点和难点问题。</w:t>
      </w:r>
    </w:p>
    <w:p>
      <w:pPr>
        <w:widowControl/>
        <w:shd w:val="clear" w:color="auto" w:fill="FFFFFF"/>
        <w:spacing w:line="586" w:lineRule="exact"/>
        <w:ind w:firstLine="64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（三）总结督查（10月1日至10月30日）。</w:t>
      </w:r>
      <w:r>
        <w:rPr>
          <w:rFonts w:hint="eastAsia" w:ascii="仿宋_GB2312" w:hAnsi="仿宋_GB2312" w:eastAsia="仿宋_GB2312" w:cs="仿宋_GB2312"/>
          <w:sz w:val="32"/>
          <w:szCs w:val="32"/>
        </w:rPr>
        <w:t>各村、各单位要对开展“打非治违”专项行动情况进行总结汇总，乡人民政府汇总情况于10月25日前报送县安委会办公室。</w:t>
      </w:r>
    </w:p>
    <w:p>
      <w:pPr>
        <w:widowControl/>
        <w:shd w:val="clear" w:color="auto" w:fill="FFFFFF"/>
        <w:spacing w:line="586" w:lineRule="exact"/>
        <w:ind w:firstLine="640" w:firstLineChars="200"/>
        <w:jc w:val="left"/>
        <w:rPr>
          <w:rFonts w:ascii="黑体" w:hAnsi="黑体" w:eastAsia="黑体" w:cs="黑体"/>
          <w:color w:val="666666"/>
          <w:sz w:val="32"/>
          <w:szCs w:val="32"/>
        </w:rPr>
      </w:pPr>
      <w:r>
        <w:rPr>
          <w:rFonts w:hint="eastAsia" w:ascii="黑体" w:hAnsi="黑体" w:eastAsia="黑体" w:cs="黑体"/>
          <w:sz w:val="32"/>
          <w:szCs w:val="32"/>
        </w:rPr>
        <w:t>五、职责分工</w:t>
      </w:r>
    </w:p>
    <w:p>
      <w:pPr>
        <w:pStyle w:val="7"/>
        <w:shd w:val="clear" w:color="auto" w:fill="FFFFFF"/>
        <w:spacing w:beforeAutospacing="0" w:afterAutospacing="0" w:line="586"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坚持政府统一领导、各部门密切配合、群众参与支持的工作机制，总结督查阶段将结合</w:t>
      </w:r>
      <w:r>
        <w:rPr>
          <w:rFonts w:hint="eastAsia" w:ascii="仿宋_GB2312" w:hAnsi="仿宋_GB2312" w:eastAsia="仿宋_GB2312" w:cs="仿宋_GB2312"/>
          <w:kern w:val="2"/>
          <w:sz w:val="32"/>
          <w:szCs w:val="32"/>
          <w:lang w:eastAsia="zh-CN"/>
        </w:rPr>
        <w:t>“双随机、一公开”</w:t>
      </w:r>
      <w:r>
        <w:rPr>
          <w:rFonts w:hint="eastAsia" w:ascii="仿宋_GB2312" w:hAnsi="仿宋_GB2312" w:eastAsia="仿宋_GB2312" w:cs="仿宋_GB2312"/>
          <w:kern w:val="2"/>
          <w:sz w:val="32"/>
          <w:szCs w:val="32"/>
        </w:rPr>
        <w:t>联合抽查的工作方式进行督查检查。乡国土规建环保安监站要协调各有关单位开展非煤矿山“打非治违”专项行动，实施强化对非煤矿山安全生产现场监管，对私挖盗采、无证开采、超层越界开采、非法转让采矿权等行为进行严厉打击。公安部门负责做好民用爆破物品管理工作，严厉打击非法制售民用爆破物品的行为，防止火工品流入私挖盗采、非法违法开采单位和个人，及时查处相关部门移交的非法违法开采案件，严厉惩治盗采涉案人员。其他有关部门负责履行非煤矿山“打非治违”职责范围内工作。</w:t>
      </w:r>
    </w:p>
    <w:p>
      <w:pPr>
        <w:widowControl/>
        <w:shd w:val="clear" w:color="auto" w:fill="FFFFFF"/>
        <w:spacing w:line="586" w:lineRule="exact"/>
        <w:ind w:firstLine="640" w:firstLineChars="200"/>
        <w:jc w:val="left"/>
        <w:rPr>
          <w:rFonts w:ascii="黑体" w:hAnsi="黑体" w:eastAsia="黑体" w:cs="黑体"/>
          <w:color w:val="666666"/>
          <w:kern w:val="0"/>
          <w:sz w:val="32"/>
          <w:szCs w:val="32"/>
          <w:shd w:val="clear" w:color="auto" w:fill="FFFFFF"/>
        </w:rPr>
      </w:pPr>
      <w:r>
        <w:rPr>
          <w:rFonts w:hint="eastAsia" w:ascii="黑体" w:hAnsi="黑体" w:eastAsia="黑体" w:cs="黑体"/>
          <w:sz w:val="32"/>
          <w:szCs w:val="32"/>
        </w:rPr>
        <w:t>六、工作要求</w:t>
      </w:r>
    </w:p>
    <w:p>
      <w:pPr>
        <w:tabs>
          <w:tab w:val="left" w:pos="1275"/>
        </w:tabs>
        <w:spacing w:line="58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（一）加强组织领导，落实工作责任。</w:t>
      </w:r>
      <w:r>
        <w:rPr>
          <w:rFonts w:hint="eastAsia" w:ascii="仿宋_GB2312" w:hAnsi="仿宋_GB2312" w:eastAsia="仿宋_GB2312" w:cs="仿宋_GB2312"/>
          <w:sz w:val="32"/>
          <w:szCs w:val="32"/>
        </w:rPr>
        <w:t>各村、各单位要严格落实党委政府“打非”的主要责任，按照党政领导干部安全生产“党政同责、一岗双责”责任制要求，“一把手”要亲自部署抓好落实，及时协调解决工作中出现的困难和问题。</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（二）突出重点、严厉打击。</w:t>
      </w:r>
      <w:r>
        <w:rPr>
          <w:rFonts w:hint="eastAsia" w:ascii="仿宋_GB2312" w:hAnsi="仿宋_GB2312" w:eastAsia="仿宋_GB2312" w:cs="仿宋_GB2312"/>
          <w:sz w:val="32"/>
          <w:szCs w:val="32"/>
        </w:rPr>
        <w:t>专项行动要突出重点，重点对私挖盗采、无证开采、超层越界开采、非法转让采矿权等行为进行严厉打击。对依法关闭的矿山，要严格按照关闭标准，由相关部门联合组织炸封井筒，查扣设备，遣散人员。对各类证照过期仍然从事非法违法采矿的，要依法实施经济处罚，情节严重的不予延期相关证照。对盗坑（洞）偷采整治要全面彻底，对涉嫌犯罪的，移交公安机关依法追究刑事责任。对非法违法采矿的，该经济处罚的按上限处罚，该停产整顿的停产整顿，该关闭的要坚决关闭，决不能姑息迁就。</w:t>
      </w:r>
    </w:p>
    <w:p>
      <w:pPr>
        <w:widowControl/>
        <w:shd w:val="clear" w:color="auto" w:fill="FFFFFF"/>
        <w:spacing w:line="586"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（三）及时沟通，广泛宣传。</w:t>
      </w:r>
      <w:r>
        <w:rPr>
          <w:rFonts w:hint="eastAsia" w:ascii="仿宋_GB2312" w:hAnsi="仿宋_GB2312" w:eastAsia="仿宋_GB2312" w:cs="仿宋_GB2312"/>
          <w:sz w:val="32"/>
          <w:szCs w:val="32"/>
        </w:rPr>
        <w:t>各村、各单位要结合“安全生产月”活动，采取制作专题节目、印发宣传资料、以案说法等多种形式，对“打非治违”专项行动进行广泛的宣传报道。要引导广大企业职工和人民群众积极参与、支持“打非治违”工作，主动举报非法违规行为，切实增强安全自律意识。加强社会和舆论监督，营造良好社会氛围，对严重非法违规行为导致的事故及时公开曝光。各村、各单位要及时沟通有关信息，及时报送在行动中好的经验、做法和典型案例的查处情况，确保专项行动取得实效。</w:t>
      </w: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widowControl/>
        <w:shd w:val="clear" w:color="auto" w:fill="FFFFFF"/>
        <w:spacing w:line="586" w:lineRule="exact"/>
        <w:jc w:val="center"/>
        <w:rPr>
          <w:rFonts w:ascii="仿宋_GB2312" w:hAnsi="仿宋_GB2312" w:eastAsia="仿宋_GB2312" w:cs="仿宋_GB2312"/>
          <w:sz w:val="32"/>
          <w:szCs w:val="32"/>
        </w:rPr>
      </w:pPr>
      <w:r>
        <w:rPr>
          <w:rFonts w:hint="eastAsia" w:ascii="仿宋_GB2312" w:hAnsi="仿宋_GB2312" w:eastAsia="仿宋_GB2312" w:cs="仿宋_GB2312"/>
          <w:color w:val="666666"/>
          <w:kern w:val="0"/>
          <w:sz w:val="32"/>
          <w:szCs w:val="32"/>
          <w:shd w:val="clear" w:color="auto" w:fill="FFFFFF"/>
        </w:rPr>
        <w:t xml:space="preserve">               </w:t>
      </w:r>
      <w:r>
        <w:rPr>
          <w:rFonts w:hint="eastAsia" w:ascii="仿宋_GB2312" w:hAnsi="仿宋_GB2312" w:eastAsia="仿宋_GB2312" w:cs="仿宋_GB2312"/>
          <w:sz w:val="32"/>
          <w:szCs w:val="32"/>
        </w:rPr>
        <w:t>泗水乡人民政府</w:t>
      </w:r>
    </w:p>
    <w:p>
      <w:pPr>
        <w:widowControl/>
        <w:shd w:val="clear" w:color="auto" w:fill="FFFFFF"/>
        <w:spacing w:line="58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2020年7月19日</w:t>
      </w:r>
    </w:p>
    <w:p>
      <w:pPr>
        <w:spacing w:line="586" w:lineRule="exact"/>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tbl>
      <w:tblPr>
        <w:tblStyle w:val="8"/>
        <w:tblpPr w:leftFromText="180" w:rightFromText="180" w:vertAnchor="text" w:horzAnchor="page" w:tblpX="1662" w:tblpY="12725"/>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14" w:type="dxa"/>
            <w:tcBorders>
              <w:tl2br w:val="nil"/>
              <w:tr2bl w:val="nil"/>
            </w:tcBorders>
            <w:shd w:val="clear" w:color="auto" w:fill="auto"/>
            <w:vAlign w:val="center"/>
          </w:tcPr>
          <w:p>
            <w:pPr>
              <w:widowControl/>
              <w:spacing w:line="586" w:lineRule="exact"/>
              <w:ind w:firstLine="280" w:firstLineChars="100"/>
              <w:rPr>
                <w:rFonts w:ascii="Times New Roman" w:hAnsi="Times New Roman" w:eastAsia="仿宋" w:cs="仿宋"/>
                <w:sz w:val="28"/>
                <w:szCs w:val="28"/>
              </w:rPr>
            </w:pPr>
            <w:r>
              <w:rPr>
                <w:rFonts w:hint="eastAsia" w:ascii="Times New Roman" w:hAnsi="Times New Roman" w:eastAsia="仿宋" w:cs="仿宋"/>
                <w:sz w:val="28"/>
                <w:szCs w:val="28"/>
              </w:rPr>
              <w:t>泗水乡人民政府办公室                        2020年7月19日</w:t>
            </w:r>
          </w:p>
        </w:tc>
      </w:tr>
    </w:tbl>
    <w:p>
      <w:pPr>
        <w:pStyle w:val="5"/>
        <w:rPr>
          <w:rFonts w:ascii="仿宋_GB2312" w:hAnsi="仿宋_GB2312" w:eastAsia="仿宋_GB2312" w:cs="仿宋_GB2312"/>
          <w:sz w:val="32"/>
          <w:szCs w:val="32"/>
        </w:rPr>
      </w:pPr>
    </w:p>
    <w:sectPr>
      <w:footerReference r:id="rId3" w:type="default"/>
      <w:pgSz w:w="11906" w:h="16838"/>
      <w:pgMar w:top="2098" w:right="1304" w:bottom="130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PAGE  \* MERGEFORMAT </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0Y2M3MDA1NDA1YWQ2ZmZjMWI2NThiNzdlZDc5NzIifQ=="/>
  </w:docVars>
  <w:rsids>
    <w:rsidRoot w:val="6A8975D8"/>
    <w:rsid w:val="00217EF9"/>
    <w:rsid w:val="004F6BED"/>
    <w:rsid w:val="005A78A4"/>
    <w:rsid w:val="00615115"/>
    <w:rsid w:val="00A3171D"/>
    <w:rsid w:val="00AC166C"/>
    <w:rsid w:val="00BE0DD4"/>
    <w:rsid w:val="00D458EF"/>
    <w:rsid w:val="17372B86"/>
    <w:rsid w:val="1EFA4BAD"/>
    <w:rsid w:val="386C6A61"/>
    <w:rsid w:val="3DE81434"/>
    <w:rsid w:val="3FCE7BDC"/>
    <w:rsid w:val="402C4B88"/>
    <w:rsid w:val="46B132A1"/>
    <w:rsid w:val="55C31B8E"/>
    <w:rsid w:val="599B24CC"/>
    <w:rsid w:val="6A0716AD"/>
    <w:rsid w:val="6A8975D8"/>
    <w:rsid w:val="740B3C1E"/>
    <w:rsid w:val="7CCE0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link w:val="12"/>
    <w:qFormat/>
    <w:uiPriority w:val="99"/>
    <w:pPr>
      <w:spacing w:before="100" w:beforeAutospacing="1" w:after="100" w:afterAutospacing="1"/>
      <w:jc w:val="left"/>
      <w:outlineLvl w:val="1"/>
    </w:pPr>
    <w:rPr>
      <w:rFonts w:ascii="宋体" w:hAnsi="宋体"/>
      <w:b/>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s="宋体"/>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link w:val="3"/>
    <w:qFormat/>
    <w:uiPriority w:val="9"/>
    <w:rPr>
      <w:rFonts w:ascii="Calibri" w:hAnsi="Calibri"/>
      <w:b/>
      <w:bCs/>
      <w:kern w:val="44"/>
      <w:sz w:val="44"/>
      <w:szCs w:val="44"/>
    </w:rPr>
  </w:style>
  <w:style w:type="character" w:customStyle="1" w:styleId="12">
    <w:name w:val="标题 2 字符"/>
    <w:link w:val="4"/>
    <w:semiHidden/>
    <w:qFormat/>
    <w:uiPriority w:val="9"/>
    <w:rPr>
      <w:rFonts w:ascii="Cambria" w:hAnsi="Cambria" w:eastAsia="宋体" w:cs="Times New Roman"/>
      <w:b/>
      <w:bCs/>
      <w:sz w:val="32"/>
      <w:szCs w:val="32"/>
    </w:rPr>
  </w:style>
  <w:style w:type="character" w:customStyle="1" w:styleId="13">
    <w:name w:val="页脚 字符"/>
    <w:link w:val="5"/>
    <w:semiHidden/>
    <w:qFormat/>
    <w:uiPriority w:val="99"/>
    <w:rPr>
      <w:rFonts w:ascii="Calibri" w:hAnsi="Calibri"/>
      <w:sz w:val="18"/>
      <w:szCs w:val="18"/>
    </w:rPr>
  </w:style>
  <w:style w:type="paragraph" w:customStyle="1" w:styleId="14">
    <w:name w:val="Default"/>
    <w:qFormat/>
    <w:uiPriority w:val="99"/>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437</Words>
  <Characters>2494</Characters>
  <Lines>20</Lines>
  <Paragraphs>5</Paragraphs>
  <TotalTime>2</TotalTime>
  <ScaleCrop>false</ScaleCrop>
  <LinksUpToDate>false</LinksUpToDate>
  <CharactersWithSpaces>2926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2020-07-15T02:07:00Z</dcterms:created>
  <dc:creator>Administrator</dc:creator>
  <cp:lastModifiedBy>Administrator</cp:lastModifiedBy>
  <dcterms:modified xsi:type="dcterms:W3CDTF">2024-01-03T01:51:01Z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9C1EC2D85AAD4C6AA1F15EFD9BB97BAA_12</vt:lpwstr>
  </property>
</Properties>
</file>