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8094" w:tblpY="508"/>
        <w:tblW w:w="2700" w:type="dxa"/>
        <w:tblInd w:w="0" w:type="dxa"/>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Layout w:type="fixed"/>
        <w:tblCellMar>
          <w:top w:w="0" w:type="dxa"/>
          <w:left w:w="0" w:type="dxa"/>
          <w:bottom w:w="0" w:type="dxa"/>
          <w:right w:w="0" w:type="dxa"/>
        </w:tblCellMar>
      </w:tblPr>
      <w:tblGrid>
        <w:gridCol w:w="1050"/>
        <w:gridCol w:w="632"/>
        <w:gridCol w:w="540"/>
        <w:gridCol w:w="478"/>
      </w:tblGrid>
      <w:tr>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cantSplit/>
          <w:trHeight w:val="783" w:hRule="atLeast"/>
        </w:trPr>
        <w:tc>
          <w:tcPr>
            <w:tcW w:w="2700" w:type="dxa"/>
            <w:gridSpan w:val="4"/>
            <w:tcBorders>
              <w:top w:val="thickThinSmallGap" w:color="0000FF" w:sz="18" w:space="0"/>
              <w:left w:val="thickThinSmallGap" w:color="0000FF" w:sz="18" w:space="0"/>
              <w:bottom w:val="thickThinSmallGap" w:color="0000FF" w:sz="18" w:space="0"/>
              <w:right w:val="thickThinSmallGap" w:color="0000FF" w:sz="18" w:space="0"/>
            </w:tcBorders>
            <w:vAlign w:val="center"/>
          </w:tcPr>
          <w:p>
            <w:pPr>
              <w:tabs>
                <w:tab w:val="left" w:pos="2023"/>
              </w:tabs>
              <w:adjustRightInd w:val="0"/>
              <w:snapToGrid w:val="0"/>
              <w:jc w:val="center"/>
              <w:rPr>
                <w:rFonts w:ascii="宋体" w:hAnsi="宋体" w:eastAsia="宋体"/>
                <w:b/>
                <w:color w:val="0000FF"/>
                <w:kern w:val="0"/>
                <w:sz w:val="21"/>
                <w:szCs w:val="21"/>
              </w:rPr>
            </w:pPr>
            <w:r>
              <w:rPr>
                <w:rFonts w:hint="eastAsia" w:ascii="宋体" w:hAnsi="宋体" w:eastAsia="宋体"/>
                <w:b/>
                <w:color w:val="0000FF"/>
                <w:kern w:val="0"/>
                <w:sz w:val="21"/>
                <w:szCs w:val="21"/>
              </w:rPr>
              <w:t>龙胜各族自治县人民政府</w:t>
            </w:r>
          </w:p>
          <w:p>
            <w:pPr>
              <w:tabs>
                <w:tab w:val="left" w:pos="2023"/>
              </w:tabs>
              <w:adjustRightInd w:val="0"/>
              <w:snapToGrid w:val="0"/>
              <w:jc w:val="center"/>
              <w:rPr>
                <w:rFonts w:ascii="宋体" w:hAnsi="宋体" w:eastAsia="宋体"/>
                <w:b/>
                <w:color w:val="0000FF"/>
                <w:kern w:val="0"/>
                <w:sz w:val="21"/>
                <w:szCs w:val="21"/>
              </w:rPr>
            </w:pPr>
            <w:r>
              <w:rPr>
                <w:rFonts w:hint="eastAsia" w:ascii="宋体" w:hAnsi="宋体" w:eastAsia="宋体"/>
                <w:b/>
                <w:color w:val="0000FF"/>
                <w:kern w:val="0"/>
                <w:sz w:val="21"/>
                <w:szCs w:val="21"/>
              </w:rPr>
              <w:t>办公室（网络发文）</w:t>
            </w:r>
          </w:p>
        </w:tc>
      </w:tr>
      <w:tr>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trHeight w:val="484" w:hRule="atLeast"/>
        </w:trPr>
        <w:tc>
          <w:tcPr>
            <w:tcW w:w="1050" w:type="dxa"/>
            <w:tcBorders>
              <w:top w:val="thickThinSmallGap" w:color="0000FF" w:sz="18" w:space="0"/>
              <w:left w:val="thickThinSmallGap" w:color="0000FF" w:sz="18" w:space="0"/>
              <w:bottom w:val="thickThinSmallGap" w:color="0000FF" w:sz="18" w:space="0"/>
              <w:right w:val="thickThinSmallGap" w:color="0000FF" w:sz="18" w:space="0"/>
            </w:tcBorders>
            <w:vAlign w:val="center"/>
          </w:tcPr>
          <w:p>
            <w:pPr>
              <w:tabs>
                <w:tab w:val="left" w:pos="2023"/>
              </w:tabs>
              <w:adjustRightInd w:val="0"/>
              <w:snapToGrid w:val="0"/>
              <w:spacing w:line="400" w:lineRule="exact"/>
              <w:jc w:val="center"/>
              <w:rPr>
                <w:rFonts w:ascii="宋体" w:hAnsi="宋体" w:eastAsia="宋体"/>
                <w:b/>
                <w:color w:val="0000FF"/>
                <w:kern w:val="0"/>
                <w:sz w:val="21"/>
                <w:szCs w:val="21"/>
              </w:rPr>
            </w:pPr>
            <w:r>
              <w:rPr>
                <w:rFonts w:hint="eastAsia" w:ascii="宋体" w:hAnsi="宋体" w:eastAsia="宋体"/>
                <w:b/>
                <w:color w:val="0000FF"/>
                <w:kern w:val="0"/>
                <w:sz w:val="21"/>
                <w:szCs w:val="21"/>
              </w:rPr>
              <w:t>202</w:t>
            </w:r>
            <w:r>
              <w:rPr>
                <w:rFonts w:hint="eastAsia" w:ascii="宋体" w:hAnsi="宋体" w:eastAsia="宋体"/>
                <w:b/>
                <w:color w:val="0000FF"/>
                <w:kern w:val="0"/>
                <w:sz w:val="21"/>
                <w:szCs w:val="21"/>
                <w:lang w:val="en-US" w:eastAsia="zh-CN"/>
              </w:rPr>
              <w:t>3</w:t>
            </w:r>
            <w:r>
              <w:rPr>
                <w:rFonts w:hint="eastAsia" w:ascii="宋体" w:hAnsi="宋体" w:eastAsia="宋体"/>
                <w:b/>
                <w:color w:val="0000FF"/>
                <w:kern w:val="0"/>
                <w:sz w:val="21"/>
                <w:szCs w:val="21"/>
              </w:rPr>
              <w:t>年</w:t>
            </w:r>
          </w:p>
        </w:tc>
        <w:tc>
          <w:tcPr>
            <w:tcW w:w="632" w:type="dxa"/>
            <w:tcBorders>
              <w:top w:val="thickThinSmallGap" w:color="0000FF" w:sz="18" w:space="0"/>
              <w:left w:val="thickThinSmallGap" w:color="0000FF" w:sz="18" w:space="0"/>
              <w:bottom w:val="thickThinSmallGap" w:color="0000FF" w:sz="18" w:space="0"/>
              <w:right w:val="nil"/>
            </w:tcBorders>
            <w:vAlign w:val="center"/>
          </w:tcPr>
          <w:p>
            <w:pPr>
              <w:tabs>
                <w:tab w:val="left" w:pos="2023"/>
              </w:tabs>
              <w:adjustRightInd w:val="0"/>
              <w:snapToGrid w:val="0"/>
              <w:spacing w:line="400" w:lineRule="exact"/>
              <w:jc w:val="center"/>
              <w:rPr>
                <w:rFonts w:ascii="宋体" w:hAnsi="宋体" w:eastAsia="宋体"/>
                <w:b/>
                <w:color w:val="0000FF"/>
                <w:kern w:val="0"/>
                <w:sz w:val="21"/>
                <w:szCs w:val="21"/>
              </w:rPr>
            </w:pPr>
            <w:r>
              <w:rPr>
                <w:rFonts w:hint="eastAsia" w:ascii="宋体" w:hAnsi="宋体" w:eastAsia="宋体"/>
                <w:b/>
                <w:color w:val="0000FF"/>
                <w:kern w:val="0"/>
                <w:sz w:val="21"/>
                <w:szCs w:val="21"/>
              </w:rPr>
              <w:t>第</w:t>
            </w:r>
          </w:p>
        </w:tc>
        <w:tc>
          <w:tcPr>
            <w:tcW w:w="540" w:type="dxa"/>
            <w:tcBorders>
              <w:top w:val="thickThinSmallGap" w:color="0000FF" w:sz="18" w:space="0"/>
              <w:left w:val="nil"/>
              <w:bottom w:val="thickThinSmallGap" w:color="0000FF" w:sz="18" w:space="0"/>
              <w:right w:val="nil"/>
            </w:tcBorders>
            <w:vAlign w:val="center"/>
          </w:tcPr>
          <w:p>
            <w:pPr>
              <w:widowControl/>
              <w:spacing w:line="400" w:lineRule="exact"/>
              <w:rPr>
                <w:rFonts w:hint="default" w:ascii="宋体" w:hAnsi="宋体" w:eastAsia="宋体"/>
                <w:b/>
                <w:color w:val="0000FF"/>
                <w:kern w:val="0"/>
                <w:sz w:val="21"/>
                <w:szCs w:val="21"/>
                <w:lang w:val="en-US" w:eastAsia="zh-CN"/>
              </w:rPr>
            </w:pPr>
            <w:r>
              <w:rPr>
                <w:rFonts w:hint="eastAsia" w:ascii="宋体" w:hAnsi="宋体" w:eastAsia="宋体"/>
                <w:b/>
                <w:color w:val="0000FF"/>
                <w:kern w:val="0"/>
                <w:sz w:val="21"/>
                <w:szCs w:val="21"/>
                <w:lang w:val="en-US" w:eastAsia="zh-CN"/>
              </w:rPr>
              <w:t>65</w:t>
            </w:r>
          </w:p>
        </w:tc>
        <w:tc>
          <w:tcPr>
            <w:tcW w:w="478" w:type="dxa"/>
            <w:tcBorders>
              <w:top w:val="thickThinSmallGap" w:color="0000FF" w:sz="18" w:space="0"/>
              <w:left w:val="nil"/>
              <w:bottom w:val="thickThinSmallGap" w:color="0000FF" w:sz="18" w:space="0"/>
              <w:right w:val="thickThinSmallGap" w:color="0000FF" w:sz="18" w:space="0"/>
            </w:tcBorders>
            <w:vAlign w:val="center"/>
          </w:tcPr>
          <w:p>
            <w:pPr>
              <w:tabs>
                <w:tab w:val="left" w:pos="2023"/>
              </w:tabs>
              <w:adjustRightInd w:val="0"/>
              <w:snapToGrid w:val="0"/>
              <w:spacing w:line="400" w:lineRule="exact"/>
              <w:rPr>
                <w:rFonts w:ascii="宋体" w:hAnsi="宋体" w:eastAsia="宋体"/>
                <w:b/>
                <w:color w:val="0000FF"/>
                <w:kern w:val="0"/>
                <w:sz w:val="21"/>
                <w:szCs w:val="21"/>
              </w:rPr>
            </w:pPr>
            <w:r>
              <w:rPr>
                <w:rFonts w:hint="eastAsia" w:ascii="宋体" w:hAnsi="宋体" w:eastAsia="宋体"/>
                <w:b/>
                <w:color w:val="0000FF"/>
                <w:kern w:val="0"/>
                <w:sz w:val="21"/>
                <w:szCs w:val="21"/>
              </w:rPr>
              <w:t>号</w:t>
            </w:r>
          </w:p>
        </w:tc>
      </w:tr>
    </w:tbl>
    <w:p>
      <w:pPr>
        <w:tabs>
          <w:tab w:val="left" w:pos="8080"/>
          <w:tab w:val="left" w:pos="8364"/>
        </w:tabs>
        <w:spacing w:line="1300" w:lineRule="exact"/>
        <w:jc w:val="center"/>
        <w:rPr>
          <w:rFonts w:ascii="方正小标宋_GBK" w:hAnsi="Calibri" w:eastAsia="方正小标宋_GBK"/>
          <w:color w:val="FF0000"/>
          <w:spacing w:val="60"/>
          <w:sz w:val="52"/>
        </w:rPr>
      </w:pPr>
      <w:r>
        <w:rPr>
          <w:sz w:val="52"/>
        </w:rPr>
        <mc:AlternateContent>
          <mc:Choice Requires="wps">
            <w:drawing>
              <wp:anchor distT="0" distB="0" distL="114300" distR="114300" simplePos="0" relativeHeight="251660288" behindDoc="0" locked="0" layoutInCell="1" allowOverlap="1">
                <wp:simplePos x="0" y="0"/>
                <wp:positionH relativeFrom="column">
                  <wp:posOffset>-271780</wp:posOffset>
                </wp:positionH>
                <wp:positionV relativeFrom="paragraph">
                  <wp:posOffset>-810895</wp:posOffset>
                </wp:positionV>
                <wp:extent cx="1022350" cy="337820"/>
                <wp:effectExtent l="0" t="0" r="6350" b="5080"/>
                <wp:wrapNone/>
                <wp:docPr id="2" name="文本框 3"/>
                <wp:cNvGraphicFramePr/>
                <a:graphic xmlns:a="http://schemas.openxmlformats.org/drawingml/2006/main">
                  <a:graphicData uri="http://schemas.microsoft.com/office/word/2010/wordprocessingShape">
                    <wps:wsp>
                      <wps:cNvSpPr txBox="1"/>
                      <wps:spPr>
                        <a:xfrm>
                          <a:off x="0" y="0"/>
                          <a:ext cx="1022350" cy="337820"/>
                        </a:xfrm>
                        <a:prstGeom prst="rect">
                          <a:avLst/>
                        </a:prstGeom>
                        <a:solidFill>
                          <a:srgbClr val="FFFFFF"/>
                        </a:solidFill>
                        <a:ln>
                          <a:noFill/>
                        </a:ln>
                      </wps:spPr>
                      <wps:txbx>
                        <w:txbxContent>
                          <w:p>
                            <w:pPr>
                              <w:rPr>
                                <w:rFonts w:hint="eastAsia"/>
                                <w:lang w:eastAsia="zh-CN"/>
                              </w:rPr>
                            </w:pPr>
                          </w:p>
                        </w:txbxContent>
                      </wps:txbx>
                      <wps:bodyPr upright="1"/>
                    </wps:wsp>
                  </a:graphicData>
                </a:graphic>
              </wp:anchor>
            </w:drawing>
          </mc:Choice>
          <mc:Fallback>
            <w:pict>
              <v:shape id="文本框 3" o:spid="_x0000_s1026" o:spt="202" type="#_x0000_t202" style="position:absolute;left:0pt;margin-left:-21.4pt;margin-top:-63.85pt;height:26.6pt;width:80.5pt;z-index:251660288;mso-width-relative:page;mso-height-relative:page;" fillcolor="#FFFFFF" filled="t" stroked="f" coordsize="21600,21600" o:gfxdata="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KaNkAAAAMAQAADwAAAAAAAAABACAAAAAiAAAAZHJzL2Rvd25yZXYu&#10;eG1sUEsBAhQAFAAAAAgAh07iQKTlADHBAQAAdwMAAA4AAAAAAAAAAQAgAAAAKAEAAGRycy9lMm9E&#10;b2MueG1sUEsFBgAAAAAGAAYAWQEAAFsFAAAAAA==&#10;">
                <v:fill on="t" focussize="0,0"/>
                <v:stroke on="f"/>
                <v:imagedata o:title=""/>
                <o:lock v:ext="edit" aspectratio="f"/>
                <v:textbox>
                  <w:txbxContent>
                    <w:p>
                      <w:pPr>
                        <w:rPr>
                          <w:rFonts w:hint="eastAsia"/>
                          <w:lang w:eastAsia="zh-CN"/>
                        </w:rPr>
                      </w:pPr>
                    </w:p>
                  </w:txbxContent>
                </v:textbox>
              </v:shape>
            </w:pict>
          </mc:Fallback>
        </mc:AlternateContent>
      </w:r>
      <w:r>
        <w:rPr>
          <w:rFonts w:hint="eastAsia" w:ascii="方正小标宋_GBK" w:hAnsi="Calibri" w:eastAsia="方正小标宋_GBK"/>
          <w:color w:val="FF0000"/>
          <w:spacing w:val="60"/>
          <w:sz w:val="52"/>
        </w:rPr>
        <w:t>龙胜各族自治县</w:t>
      </w:r>
    </w:p>
    <w:p>
      <w:pPr>
        <w:spacing w:line="1300" w:lineRule="exact"/>
        <w:jc w:val="center"/>
        <w:rPr>
          <w:rFonts w:ascii="方正小标宋_GBK" w:hAnsi="Calibri" w:eastAsia="方正小标宋_GBK"/>
          <w:color w:val="FF0000"/>
          <w:sz w:val="21"/>
        </w:rPr>
      </w:pPr>
      <w:r>
        <w:rPr>
          <w:rFonts w:hint="eastAsia" w:ascii="方正小标宋_GBK" w:hAnsi="Calibri" w:eastAsia="方正小标宋_GBK"/>
          <w:color w:val="FF0000"/>
          <w:spacing w:val="60"/>
          <w:sz w:val="96"/>
        </w:rPr>
        <w:t>人民政府文件</w:t>
      </w:r>
    </w:p>
    <w:p>
      <w:pPr>
        <w:spacing w:line="200" w:lineRule="exact"/>
        <w:jc w:val="center"/>
        <w:rPr>
          <w:rFonts w:ascii="方正仿宋_GBK" w:hAnsi="Calibri" w:eastAsia="方正仿宋_GBK"/>
          <w:szCs w:val="32"/>
        </w:rPr>
      </w:pPr>
    </w:p>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龙政发〔202</w:t>
      </w:r>
      <w:r>
        <w:rPr>
          <w:rFonts w:hint="eastAsia" w:cs="Times New Roman"/>
          <w:sz w:val="32"/>
          <w:szCs w:val="32"/>
          <w:lang w:val="en-US" w:eastAsia="zh-CN"/>
        </w:rPr>
        <w:t>3</w:t>
      </w:r>
      <w:r>
        <w:rPr>
          <w:rFonts w:hint="default" w:ascii="Times New Roman" w:hAnsi="Times New Roman" w:eastAsia="仿宋_GB2312" w:cs="Times New Roman"/>
          <w:sz w:val="32"/>
          <w:szCs w:val="32"/>
        </w:rPr>
        <w:t>〕</w:t>
      </w:r>
      <w:r>
        <w:rPr>
          <w:rFonts w:hint="eastAsia" w:cs="Times New Roman"/>
          <w:sz w:val="32"/>
          <w:szCs w:val="32"/>
          <w:lang w:val="en-US" w:eastAsia="zh-CN"/>
        </w:rPr>
        <w:t>11</w:t>
      </w:r>
      <w:r>
        <w:rPr>
          <w:rFonts w:hint="default" w:ascii="Times New Roman" w:hAnsi="Times New Roman" w:eastAsia="仿宋_GB2312" w:cs="Times New Roman"/>
          <w:sz w:val="32"/>
          <w:szCs w:val="32"/>
        </w:rPr>
        <w:t>号</w:t>
      </w:r>
    </w:p>
    <w:p>
      <w:pPr>
        <w:tabs>
          <w:tab w:val="left" w:pos="8364"/>
        </w:tabs>
        <w:spacing w:line="500" w:lineRule="exact"/>
        <w:jc w:val="center"/>
        <w:rPr>
          <w:rFonts w:ascii="仿宋_GB2312" w:hAnsi="Calibri"/>
          <w:szCs w:val="32"/>
        </w:rPr>
      </w:pPr>
      <w: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196850</wp:posOffset>
                </wp:positionV>
                <wp:extent cx="5829300" cy="0"/>
                <wp:effectExtent l="0" t="15875" r="0" b="22225"/>
                <wp:wrapNone/>
                <wp:docPr id="1"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18pt;margin-top:15.5pt;height:0pt;width:459pt;z-index:251659264;mso-width-relative:page;mso-height-relative:page;" filled="f" stroked="t" coordsize="21600,21600" o:gfxdata="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D4BM/XAAAACQEAAA8AAAAAAAAAAQAgAAAAIgAAAGRycy9kb3ducmV2LnhtbFBL&#10;AQIUABQAAAAIAIdO4kAc6wrK9wEAAOUDAAAOAAAAAAAAAAEAIAAAACYBAABkcnMvZTJvRG9jLnht&#10;bFBLBQYAAAAABgAGAFkBAACPBQ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_GBK" w:cs="Times New Roman"/>
          <w:snapToGrid w:val="0"/>
          <w:kern w:val="0"/>
          <w:sz w:val="44"/>
          <w:szCs w:val="44"/>
        </w:rPr>
      </w:pPr>
    </w:p>
    <w:p>
      <w:pPr>
        <w:spacing w:line="64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龙胜各族自治县人民政府关于印发广西龙胜县花界山风电场项目用地征地拆迁安置</w:t>
      </w:r>
    </w:p>
    <w:p>
      <w:pPr>
        <w:spacing w:line="64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补偿实施办法的通知</w:t>
      </w:r>
    </w:p>
    <w:p>
      <w:pPr>
        <w:keepNext w:val="0"/>
        <w:keepLines w:val="0"/>
        <w:pageBreakBefore w:val="0"/>
        <w:widowControl w:val="0"/>
        <w:tabs>
          <w:tab w:val="center" w:pos="4450"/>
          <w:tab w:val="left" w:pos="7373"/>
        </w:tabs>
        <w:kinsoku/>
        <w:wordWrap/>
        <w:overflowPunct/>
        <w:topLinePunct w:val="0"/>
        <w:autoSpaceDE/>
        <w:autoSpaceDN/>
        <w:bidi w:val="0"/>
        <w:adjustRightInd/>
        <w:snapToGrid/>
        <w:spacing w:line="640" w:lineRule="exact"/>
        <w:jc w:val="left"/>
        <w:textAlignment w:val="auto"/>
        <w:rPr>
          <w:rFonts w:eastAsia="方正小标宋_GBK"/>
          <w:bCs/>
          <w:sz w:val="44"/>
          <w:szCs w:val="44"/>
          <w:highlight w:val="yellow"/>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楷体_GB2312" w:hAnsi="楷体_GB2312" w:eastAsia="楷体_GB2312" w:cs="楷体_GB2312"/>
          <w:color w:val="000000"/>
          <w:spacing w:val="-11"/>
          <w:kern w:val="0"/>
          <w:sz w:val="32"/>
          <w:szCs w:val="32"/>
        </w:rPr>
      </w:pPr>
      <w:r>
        <w:rPr>
          <w:rFonts w:hint="eastAsia" w:ascii="楷体_GB2312" w:hAnsi="楷体_GB2312" w:eastAsia="楷体_GB2312" w:cs="楷体_GB2312"/>
          <w:color w:val="000000"/>
          <w:spacing w:val="-11"/>
          <w:kern w:val="0"/>
          <w:sz w:val="32"/>
          <w:szCs w:val="32"/>
        </w:rPr>
        <w:t>平等镇人民政府，乐江镇人民政府，伟江乡人民政府，县直有关单位：</w:t>
      </w:r>
    </w:p>
    <w:p>
      <w:pPr>
        <w:keepNext w:val="0"/>
        <w:keepLines w:val="0"/>
        <w:pageBreakBefore w:val="0"/>
        <w:widowControl w:val="0"/>
        <w:kinsoku/>
        <w:wordWrap/>
        <w:overflowPunct/>
        <w:topLinePunct w:val="0"/>
        <w:autoSpaceDE/>
        <w:autoSpaceDN/>
        <w:bidi w:val="0"/>
        <w:adjustRightInd/>
        <w:snapToGrid/>
        <w:spacing w:line="586" w:lineRule="exact"/>
        <w:ind w:firstLine="616" w:firstLineChars="200"/>
        <w:textAlignment w:val="auto"/>
        <w:rPr>
          <w:rFonts w:hint="eastAsia" w:ascii="楷体_GB2312" w:hAnsi="楷体_GB2312" w:eastAsia="楷体_GB2312" w:cs="楷体_GB2312"/>
          <w:color w:val="000000"/>
          <w:spacing w:val="-6"/>
          <w:kern w:val="0"/>
          <w:sz w:val="32"/>
          <w:szCs w:val="32"/>
        </w:rPr>
      </w:pPr>
      <w:r>
        <w:rPr>
          <w:rFonts w:hint="eastAsia" w:ascii="楷体_GB2312" w:hAnsi="楷体_GB2312" w:eastAsia="楷体_GB2312" w:cs="楷体_GB2312"/>
          <w:color w:val="000000"/>
          <w:spacing w:val="-6"/>
          <w:kern w:val="0"/>
          <w:sz w:val="32"/>
          <w:szCs w:val="32"/>
        </w:rPr>
        <w:t>《广西龙胜县花界山风电场项目用地征地拆迁安置补偿实施办法》已经自治县人民政府同意，现印发给你们，请认真组织实施。</w:t>
      </w:r>
    </w:p>
    <w:p>
      <w:pPr>
        <w:keepNext w:val="0"/>
        <w:keepLines w:val="0"/>
        <w:pageBreakBefore w:val="0"/>
        <w:widowControl w:val="0"/>
        <w:tabs>
          <w:tab w:val="center" w:pos="4450"/>
          <w:tab w:val="left" w:pos="7373"/>
        </w:tabs>
        <w:kinsoku/>
        <w:wordWrap/>
        <w:overflowPunct/>
        <w:topLinePunct w:val="0"/>
        <w:autoSpaceDE/>
        <w:autoSpaceDN/>
        <w:bidi w:val="0"/>
        <w:adjustRightInd/>
        <w:snapToGrid/>
        <w:spacing w:line="586" w:lineRule="exact"/>
        <w:ind w:firstLine="1992" w:firstLineChars="600"/>
        <w:jc w:val="left"/>
        <w:textAlignment w:val="auto"/>
        <w:rPr>
          <w:rFonts w:hint="eastAsia" w:ascii="楷体_GB2312" w:hAnsi="楷体_GB2312" w:eastAsia="楷体_GB2312" w:cs="楷体_GB2312"/>
          <w:color w:val="000000"/>
          <w:w w:val="104"/>
          <w:sz w:val="32"/>
          <w:szCs w:val="32"/>
        </w:rPr>
      </w:pPr>
    </w:p>
    <w:p>
      <w:pPr>
        <w:keepNext w:val="0"/>
        <w:keepLines w:val="0"/>
        <w:pageBreakBefore w:val="0"/>
        <w:widowControl w:val="0"/>
        <w:tabs>
          <w:tab w:val="center" w:pos="4450"/>
          <w:tab w:val="left" w:pos="7373"/>
          <w:tab w:val="left" w:pos="7920"/>
          <w:tab w:val="left" w:pos="8100"/>
          <w:tab w:val="left" w:pos="8280"/>
        </w:tabs>
        <w:kinsoku/>
        <w:wordWrap/>
        <w:overflowPunct/>
        <w:topLinePunct w:val="0"/>
        <w:autoSpaceDE/>
        <w:autoSpaceDN/>
        <w:bidi w:val="0"/>
        <w:adjustRightInd/>
        <w:snapToGrid/>
        <w:spacing w:line="586" w:lineRule="exact"/>
        <w:ind w:firstLine="4648" w:firstLineChars="1400"/>
        <w:jc w:val="left"/>
        <w:textAlignment w:val="auto"/>
        <w:rPr>
          <w:rFonts w:hint="default" w:ascii="Times New Roman" w:hAnsi="Times New Roman" w:eastAsia="楷体_GB2312" w:cs="Times New Roman"/>
          <w:color w:val="000000"/>
          <w:w w:val="104"/>
          <w:sz w:val="32"/>
          <w:szCs w:val="32"/>
        </w:rPr>
      </w:pPr>
      <w:r>
        <w:rPr>
          <w:rFonts w:hint="default" w:ascii="Times New Roman" w:hAnsi="Times New Roman" w:eastAsia="楷体_GB2312" w:cs="Times New Roman"/>
          <w:color w:val="000000"/>
          <w:w w:val="104"/>
          <w:sz w:val="32"/>
          <w:szCs w:val="32"/>
        </w:rPr>
        <w:t>龙胜各族自治县人民政府</w:t>
      </w:r>
    </w:p>
    <w:p>
      <w:pPr>
        <w:keepNext w:val="0"/>
        <w:keepLines w:val="0"/>
        <w:pageBreakBefore w:val="0"/>
        <w:widowControl w:val="0"/>
        <w:tabs>
          <w:tab w:val="center" w:pos="4450"/>
          <w:tab w:val="left" w:pos="7373"/>
          <w:tab w:val="left" w:pos="7920"/>
          <w:tab w:val="left" w:pos="8100"/>
          <w:tab w:val="left" w:pos="8280"/>
        </w:tabs>
        <w:kinsoku/>
        <w:wordWrap/>
        <w:overflowPunct/>
        <w:topLinePunct w:val="0"/>
        <w:autoSpaceDE/>
        <w:autoSpaceDN/>
        <w:bidi w:val="0"/>
        <w:adjustRightInd/>
        <w:snapToGrid/>
        <w:spacing w:line="586" w:lineRule="exact"/>
        <w:ind w:left="-160" w:leftChars="-50" w:firstLine="5511" w:firstLineChars="1660"/>
        <w:jc w:val="left"/>
        <w:textAlignment w:val="auto"/>
        <w:rPr>
          <w:rFonts w:hint="eastAsia" w:eastAsia="楷体_GB2312" w:cs="Times New Roman"/>
          <w:color w:val="000000"/>
          <w:w w:val="104"/>
          <w:sz w:val="32"/>
          <w:szCs w:val="32"/>
          <w:lang w:val="en-US" w:eastAsia="zh-CN"/>
        </w:rPr>
      </w:pPr>
      <w:r>
        <w:rPr>
          <w:rFonts w:hint="eastAsia" w:eastAsia="楷体_GB2312" w:cs="Times New Roman"/>
          <w:color w:val="000000"/>
          <w:w w:val="104"/>
          <w:sz w:val="32"/>
          <w:szCs w:val="32"/>
          <w:lang w:val="en-US" w:eastAsia="zh-CN"/>
        </w:rPr>
        <w:t>2023年8月23日</w:t>
      </w:r>
    </w:p>
    <w:p>
      <w:pPr>
        <w:keepNext w:val="0"/>
        <w:keepLines w:val="0"/>
        <w:pageBreakBefore w:val="0"/>
        <w:widowControl w:val="0"/>
        <w:tabs>
          <w:tab w:val="center" w:pos="4450"/>
          <w:tab w:val="left" w:pos="7373"/>
          <w:tab w:val="left" w:pos="7920"/>
          <w:tab w:val="left" w:pos="8100"/>
          <w:tab w:val="left" w:pos="8280"/>
        </w:tabs>
        <w:kinsoku/>
        <w:wordWrap/>
        <w:overflowPunct/>
        <w:topLinePunct w:val="0"/>
        <w:autoSpaceDE/>
        <w:autoSpaceDN/>
        <w:bidi w:val="0"/>
        <w:adjustRightInd/>
        <w:snapToGrid/>
        <w:spacing w:line="586" w:lineRule="exact"/>
        <w:ind w:firstLine="664" w:firstLineChars="200"/>
        <w:jc w:val="left"/>
        <w:textAlignment w:val="auto"/>
        <w:rPr>
          <w:rFonts w:hint="eastAsia" w:eastAsia="楷体_GB2312" w:cs="Times New Roman"/>
          <w:color w:val="000000"/>
          <w:w w:val="104"/>
          <w:sz w:val="32"/>
          <w:szCs w:val="32"/>
          <w:lang w:val="en-US" w:eastAsia="zh-CN"/>
        </w:rPr>
      </w:pPr>
      <w:r>
        <w:rPr>
          <w:rFonts w:hint="eastAsia" w:eastAsia="楷体_GB2312" w:cs="Times New Roman"/>
          <w:color w:val="000000"/>
          <w:w w:val="104"/>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方正小标宋_GBK"/>
          <w:color w:val="000000"/>
          <w:w w:val="104"/>
          <w:sz w:val="44"/>
          <w:szCs w:val="44"/>
        </w:rPr>
      </w:pPr>
      <w:r>
        <w:rPr>
          <w:rFonts w:ascii="宋体" w:hAnsi="宋体" w:eastAsia="方正小标宋_GBK" w:cs="宋体"/>
          <w:bCs/>
          <w:sz w:val="44"/>
          <w:szCs w:val="44"/>
        </w:rPr>
        <w:br w:type="page"/>
      </w:r>
      <w:r>
        <w:rPr>
          <w:rFonts w:hint="eastAsia" w:ascii="宋体" w:hAnsi="宋体" w:eastAsia="方正小标宋_GBK" w:cs="宋体"/>
          <w:bCs/>
          <w:sz w:val="44"/>
          <w:szCs w:val="44"/>
        </w:rPr>
        <w:t>广西龙胜县花界山风电场项目</w:t>
      </w:r>
      <w:r>
        <w:rPr>
          <w:rFonts w:hint="eastAsia" w:eastAsia="方正小标宋_GBK"/>
          <w:color w:val="000000"/>
          <w:w w:val="104"/>
          <w:sz w:val="44"/>
          <w:szCs w:val="44"/>
        </w:rPr>
        <w:t>用地征地</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方正小标宋_GBK"/>
          <w:color w:val="000000"/>
          <w:w w:val="104"/>
          <w:sz w:val="44"/>
          <w:szCs w:val="44"/>
        </w:rPr>
      </w:pPr>
      <w:r>
        <w:rPr>
          <w:rFonts w:hint="eastAsia" w:eastAsia="方正小标宋_GBK"/>
          <w:color w:val="000000"/>
          <w:w w:val="104"/>
          <w:sz w:val="44"/>
          <w:szCs w:val="44"/>
        </w:rPr>
        <w:t>拆迁安置补偿实施办法</w:t>
      </w:r>
    </w:p>
    <w:p>
      <w:pPr>
        <w:spacing w:line="640" w:lineRule="exact"/>
        <w:rPr>
          <w:rFonts w:eastAsia="仿宋_GB2312"/>
          <w:color w:val="000000"/>
          <w:sz w:val="32"/>
          <w:szCs w:val="32"/>
        </w:rPr>
      </w:pP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w w:val="95"/>
          <w:sz w:val="32"/>
          <w:szCs w:val="32"/>
        </w:rPr>
      </w:pPr>
      <w:r>
        <w:rPr>
          <w:rFonts w:hint="eastAsia" w:eastAsia="仿宋_GB2312"/>
          <w:color w:val="auto"/>
          <w:kern w:val="0"/>
          <w:sz w:val="32"/>
          <w:szCs w:val="32"/>
        </w:rPr>
        <w:t>为加快推进广西龙胜县花界山风电场项目建设，根据《中华人民共和国土地管理法》《</w:t>
      </w:r>
      <w:r>
        <w:rPr>
          <w:rFonts w:hint="eastAsia" w:eastAsia="仿宋_GB2312"/>
          <w:bCs/>
          <w:snapToGrid w:val="0"/>
          <w:color w:val="auto"/>
          <w:kern w:val="0"/>
          <w:sz w:val="32"/>
          <w:szCs w:val="32"/>
        </w:rPr>
        <w:t>广西壮族自治区实施</w:t>
      </w:r>
      <w:r>
        <w:rPr>
          <w:rFonts w:eastAsia="仿宋_GB2312"/>
          <w:bCs/>
          <w:snapToGrid w:val="0"/>
          <w:color w:val="auto"/>
          <w:kern w:val="0"/>
          <w:sz w:val="32"/>
          <w:szCs w:val="32"/>
        </w:rPr>
        <w:t>&lt;</w:t>
      </w:r>
      <w:r>
        <w:rPr>
          <w:rFonts w:hint="eastAsia" w:eastAsia="仿宋_GB2312"/>
          <w:bCs/>
          <w:snapToGrid w:val="0"/>
          <w:color w:val="auto"/>
          <w:kern w:val="0"/>
          <w:sz w:val="32"/>
          <w:szCs w:val="32"/>
        </w:rPr>
        <w:t>中华人民共和国土地管理法</w:t>
      </w:r>
      <w:r>
        <w:rPr>
          <w:rFonts w:eastAsia="仿宋_GB2312"/>
          <w:bCs/>
          <w:snapToGrid w:val="0"/>
          <w:color w:val="auto"/>
          <w:kern w:val="0"/>
          <w:sz w:val="32"/>
          <w:szCs w:val="32"/>
        </w:rPr>
        <w:t>&gt;</w:t>
      </w:r>
      <w:r>
        <w:rPr>
          <w:rFonts w:hint="eastAsia" w:eastAsia="仿宋_GB2312"/>
          <w:bCs/>
          <w:snapToGrid w:val="0"/>
          <w:color w:val="auto"/>
          <w:kern w:val="0"/>
          <w:sz w:val="32"/>
          <w:szCs w:val="32"/>
        </w:rPr>
        <w:t>办法》《民族区域自治法</w:t>
      </w:r>
      <w:r>
        <w:rPr>
          <w:rFonts w:hint="eastAsia" w:eastAsia="仿宋_GB2312"/>
          <w:color w:val="auto"/>
          <w:sz w:val="32"/>
          <w:szCs w:val="32"/>
        </w:rPr>
        <w:t>》</w:t>
      </w:r>
      <w:r>
        <w:rPr>
          <w:rFonts w:hint="eastAsia" w:eastAsia="仿宋_GB2312"/>
          <w:color w:val="auto"/>
          <w:kern w:val="0"/>
          <w:sz w:val="32"/>
          <w:szCs w:val="32"/>
        </w:rPr>
        <w:t>《国有土地上房屋征收与补偿条例》</w:t>
      </w:r>
      <w:r>
        <w:rPr>
          <w:rFonts w:hint="eastAsia" w:eastAsia="仿宋_GB2312"/>
          <w:color w:val="auto"/>
          <w:kern w:val="0"/>
          <w:sz w:val="32"/>
          <w:szCs w:val="32"/>
          <w:lang w:eastAsia="zh-CN"/>
        </w:rPr>
        <w:t>（</w:t>
      </w:r>
      <w:r>
        <w:rPr>
          <w:rFonts w:hint="eastAsia" w:eastAsia="仿宋_GB2312"/>
          <w:color w:val="auto"/>
          <w:kern w:val="0"/>
          <w:sz w:val="32"/>
          <w:szCs w:val="32"/>
        </w:rPr>
        <w:t>国务院令第</w:t>
      </w:r>
      <w:r>
        <w:rPr>
          <w:rFonts w:eastAsia="仿宋_GB2312"/>
          <w:color w:val="auto"/>
          <w:kern w:val="0"/>
          <w:sz w:val="32"/>
          <w:szCs w:val="32"/>
        </w:rPr>
        <w:t>590</w:t>
      </w:r>
      <w:r>
        <w:rPr>
          <w:rFonts w:hint="eastAsia" w:eastAsia="仿宋_GB2312"/>
          <w:color w:val="auto"/>
          <w:kern w:val="0"/>
          <w:sz w:val="32"/>
          <w:szCs w:val="32"/>
        </w:rPr>
        <w:t>号</w:t>
      </w:r>
      <w:r>
        <w:rPr>
          <w:rFonts w:hint="eastAsia" w:eastAsia="仿宋_GB2312"/>
          <w:color w:val="auto"/>
          <w:kern w:val="0"/>
          <w:sz w:val="32"/>
          <w:szCs w:val="32"/>
          <w:lang w:eastAsia="zh-CN"/>
        </w:rPr>
        <w:t>）</w:t>
      </w:r>
      <w:r>
        <w:rPr>
          <w:rFonts w:hint="eastAsia" w:eastAsia="仿宋_GB2312"/>
          <w:color w:val="auto"/>
          <w:kern w:val="0"/>
          <w:sz w:val="32"/>
          <w:szCs w:val="32"/>
        </w:rPr>
        <w:t>和《广西壮族自治区人民政府办公厅关于进一步加强和规范征地管理工作的意见》（桂政办发〔</w:t>
      </w:r>
      <w:r>
        <w:rPr>
          <w:rFonts w:eastAsia="仿宋_GB2312"/>
          <w:color w:val="auto"/>
          <w:kern w:val="0"/>
          <w:sz w:val="32"/>
          <w:szCs w:val="32"/>
        </w:rPr>
        <w:t>2021</w:t>
      </w:r>
      <w:r>
        <w:rPr>
          <w:rFonts w:hint="eastAsia" w:eastAsia="仿宋_GB2312"/>
          <w:color w:val="auto"/>
          <w:kern w:val="0"/>
          <w:sz w:val="32"/>
          <w:szCs w:val="32"/>
        </w:rPr>
        <w:t>〕</w:t>
      </w:r>
      <w:r>
        <w:rPr>
          <w:rFonts w:eastAsia="仿宋_GB2312"/>
          <w:color w:val="auto"/>
          <w:kern w:val="0"/>
          <w:sz w:val="32"/>
          <w:szCs w:val="32"/>
        </w:rPr>
        <w:t>11</w:t>
      </w:r>
      <w:r>
        <w:rPr>
          <w:rFonts w:hint="eastAsia" w:eastAsia="仿宋_GB2312"/>
          <w:color w:val="auto"/>
          <w:kern w:val="0"/>
          <w:sz w:val="32"/>
          <w:szCs w:val="32"/>
        </w:rPr>
        <w:t>号）、《桂林市人民政府关于公布桂林市新一轮征地区片综合地价标准》（市政规</w:t>
      </w:r>
      <w:r>
        <w:rPr>
          <w:rFonts w:hint="eastAsia" w:eastAsia="仿宋_GB2312"/>
          <w:color w:val="auto"/>
          <w:spacing w:val="20"/>
          <w:sz w:val="32"/>
          <w:szCs w:val="32"/>
        </w:rPr>
        <w:t>〔</w:t>
      </w:r>
      <w:r>
        <w:rPr>
          <w:rFonts w:eastAsia="仿宋_GB2312"/>
          <w:color w:val="auto"/>
          <w:spacing w:val="20"/>
          <w:sz w:val="32"/>
          <w:szCs w:val="32"/>
        </w:rPr>
        <w:t>2023</w:t>
      </w:r>
      <w:r>
        <w:rPr>
          <w:rFonts w:hint="eastAsia" w:eastAsia="仿宋_GB2312"/>
          <w:color w:val="auto"/>
          <w:spacing w:val="20"/>
          <w:sz w:val="32"/>
          <w:szCs w:val="32"/>
        </w:rPr>
        <w:t>〕</w:t>
      </w:r>
      <w:r>
        <w:rPr>
          <w:rFonts w:eastAsia="仿宋_GB2312"/>
          <w:color w:val="auto"/>
          <w:spacing w:val="20"/>
          <w:sz w:val="32"/>
          <w:szCs w:val="32"/>
        </w:rPr>
        <w:t>5</w:t>
      </w:r>
      <w:r>
        <w:rPr>
          <w:rFonts w:hint="eastAsia" w:eastAsia="仿宋_GB2312"/>
          <w:color w:val="auto"/>
          <w:spacing w:val="20"/>
          <w:sz w:val="32"/>
          <w:szCs w:val="32"/>
        </w:rPr>
        <w:t>号</w:t>
      </w:r>
      <w:r>
        <w:rPr>
          <w:rFonts w:hint="eastAsia" w:eastAsia="仿宋_GB2312"/>
          <w:color w:val="auto"/>
          <w:kern w:val="0"/>
          <w:sz w:val="32"/>
          <w:szCs w:val="32"/>
        </w:rPr>
        <w:t>）</w:t>
      </w:r>
      <w:r>
        <w:rPr>
          <w:rFonts w:hint="eastAsia" w:eastAsia="仿宋_GB2312"/>
          <w:color w:val="auto"/>
          <w:spacing w:val="20"/>
          <w:sz w:val="32"/>
          <w:szCs w:val="32"/>
        </w:rPr>
        <w:t>、</w:t>
      </w:r>
      <w:r>
        <w:rPr>
          <w:rFonts w:hint="eastAsia" w:eastAsia="仿宋_GB2312"/>
          <w:color w:val="auto"/>
          <w:kern w:val="0"/>
          <w:sz w:val="32"/>
          <w:szCs w:val="32"/>
        </w:rPr>
        <w:t>《桂林市国有土地上房屋征收与补偿暂行办法》</w:t>
      </w:r>
      <w:r>
        <w:rPr>
          <w:rFonts w:hint="eastAsia" w:eastAsia="仿宋_GB2312"/>
          <w:color w:val="auto"/>
          <w:spacing w:val="20"/>
          <w:sz w:val="32"/>
          <w:szCs w:val="32"/>
        </w:rPr>
        <w:t>（</w:t>
      </w:r>
      <w:r>
        <w:rPr>
          <w:rFonts w:hint="eastAsia" w:eastAsia="仿宋_GB2312"/>
          <w:color w:val="auto"/>
          <w:kern w:val="0"/>
          <w:sz w:val="32"/>
          <w:szCs w:val="32"/>
        </w:rPr>
        <w:t>市政〔</w:t>
      </w:r>
      <w:r>
        <w:rPr>
          <w:rFonts w:eastAsia="仿宋_GB2312"/>
          <w:color w:val="auto"/>
          <w:kern w:val="0"/>
          <w:sz w:val="32"/>
          <w:szCs w:val="32"/>
        </w:rPr>
        <w:t>2012</w:t>
      </w:r>
      <w:r>
        <w:rPr>
          <w:rFonts w:hint="eastAsia" w:eastAsia="仿宋_GB2312"/>
          <w:color w:val="auto"/>
          <w:kern w:val="0"/>
          <w:sz w:val="32"/>
          <w:szCs w:val="32"/>
        </w:rPr>
        <w:t>〕</w:t>
      </w:r>
      <w:r>
        <w:rPr>
          <w:rFonts w:eastAsia="仿宋_GB2312"/>
          <w:color w:val="auto"/>
          <w:kern w:val="0"/>
          <w:sz w:val="32"/>
          <w:szCs w:val="32"/>
        </w:rPr>
        <w:t>58</w:t>
      </w:r>
      <w:r>
        <w:rPr>
          <w:rFonts w:hint="eastAsia" w:eastAsia="仿宋_GB2312"/>
          <w:color w:val="auto"/>
          <w:kern w:val="0"/>
          <w:sz w:val="32"/>
          <w:szCs w:val="32"/>
        </w:rPr>
        <w:t>号）及《龙胜各族自治县人民政府关于印发龙胜各族自治县建设项目地上附着物及青苗补偿标准的通知》（龙政发〔</w:t>
      </w:r>
      <w:r>
        <w:rPr>
          <w:rFonts w:eastAsia="仿宋_GB2312"/>
          <w:color w:val="auto"/>
          <w:kern w:val="0"/>
          <w:sz w:val="32"/>
          <w:szCs w:val="32"/>
        </w:rPr>
        <w:t>2023</w:t>
      </w:r>
      <w:r>
        <w:rPr>
          <w:rFonts w:hint="eastAsia" w:eastAsia="仿宋_GB2312"/>
          <w:color w:val="auto"/>
          <w:kern w:val="0"/>
          <w:sz w:val="32"/>
          <w:szCs w:val="32"/>
        </w:rPr>
        <w:t>〕</w:t>
      </w:r>
      <w:r>
        <w:rPr>
          <w:rFonts w:eastAsia="仿宋_GB2312"/>
          <w:color w:val="auto"/>
          <w:kern w:val="0"/>
          <w:sz w:val="32"/>
          <w:szCs w:val="32"/>
        </w:rPr>
        <w:t>7</w:t>
      </w:r>
      <w:r>
        <w:rPr>
          <w:rFonts w:hint="eastAsia" w:eastAsia="仿宋_GB2312"/>
          <w:color w:val="auto"/>
          <w:kern w:val="0"/>
          <w:sz w:val="32"/>
          <w:szCs w:val="32"/>
        </w:rPr>
        <w:t>号）等相关法律</w:t>
      </w:r>
      <w:r>
        <w:rPr>
          <w:rFonts w:hint="eastAsia" w:eastAsia="仿宋_GB2312"/>
          <w:color w:val="auto"/>
          <w:spacing w:val="-6"/>
          <w:kern w:val="0"/>
          <w:sz w:val="32"/>
          <w:szCs w:val="32"/>
        </w:rPr>
        <w:t>法规和政策的有关规定</w:t>
      </w:r>
      <w:r>
        <w:rPr>
          <w:rFonts w:hint="eastAsia" w:eastAsia="仿宋_GB2312"/>
          <w:color w:val="auto"/>
          <w:spacing w:val="-6"/>
          <w:sz w:val="32"/>
          <w:szCs w:val="32"/>
        </w:rPr>
        <w:t>，结合龙胜县实际情况，特制定本实施办法。</w:t>
      </w:r>
    </w:p>
    <w:p>
      <w:pPr>
        <w:keepNext w:val="0"/>
        <w:keepLines w:val="0"/>
        <w:pageBreakBefore w:val="0"/>
        <w:kinsoku/>
        <w:wordWrap/>
        <w:overflowPunct/>
        <w:topLinePunct w:val="0"/>
        <w:bidi w:val="0"/>
        <w:snapToGrid/>
        <w:spacing w:line="58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一、总体原则</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pacing w:val="0"/>
          <w:sz w:val="32"/>
          <w:szCs w:val="32"/>
        </w:rPr>
      </w:pPr>
      <w:r>
        <w:rPr>
          <w:rFonts w:hint="eastAsia" w:eastAsia="仿宋_GB2312"/>
          <w:color w:val="auto"/>
          <w:spacing w:val="0"/>
          <w:sz w:val="32"/>
          <w:szCs w:val="32"/>
        </w:rPr>
        <w:t>为确保高质量、高标准地完成广西龙胜县花界山风电场项目建设任务和项目征地拆迁安置补偿工作，坚持以推动全县经济社会又好又快发展与切实维护群众利益相结合的原则，遵循</w:t>
      </w:r>
      <w:r>
        <w:rPr>
          <w:rFonts w:eastAsia="仿宋_GB2312"/>
          <w:color w:val="auto"/>
          <w:spacing w:val="0"/>
          <w:sz w:val="32"/>
          <w:szCs w:val="32"/>
        </w:rPr>
        <w:t>“</w:t>
      </w:r>
      <w:r>
        <w:rPr>
          <w:rFonts w:hint="eastAsia" w:eastAsia="仿宋_GB2312"/>
          <w:color w:val="auto"/>
          <w:spacing w:val="0"/>
          <w:sz w:val="32"/>
          <w:szCs w:val="32"/>
        </w:rPr>
        <w:t>以人为本、让利于民</w:t>
      </w:r>
      <w:r>
        <w:rPr>
          <w:rFonts w:eastAsia="仿宋_GB2312"/>
          <w:color w:val="auto"/>
          <w:spacing w:val="0"/>
          <w:sz w:val="32"/>
          <w:szCs w:val="32"/>
        </w:rPr>
        <w:t>”</w:t>
      </w:r>
      <w:r>
        <w:rPr>
          <w:rFonts w:hint="eastAsia" w:eastAsia="仿宋_GB2312"/>
          <w:color w:val="auto"/>
          <w:spacing w:val="0"/>
          <w:sz w:val="32"/>
          <w:szCs w:val="32"/>
        </w:rPr>
        <w:t>、</w:t>
      </w:r>
      <w:r>
        <w:rPr>
          <w:rFonts w:eastAsia="仿宋_GB2312"/>
          <w:color w:val="auto"/>
          <w:spacing w:val="0"/>
          <w:sz w:val="32"/>
          <w:szCs w:val="32"/>
        </w:rPr>
        <w:t>“</w:t>
      </w:r>
      <w:r>
        <w:rPr>
          <w:rFonts w:hint="eastAsia" w:eastAsia="仿宋_GB2312"/>
          <w:color w:val="auto"/>
          <w:spacing w:val="0"/>
          <w:sz w:val="32"/>
          <w:szCs w:val="32"/>
        </w:rPr>
        <w:t>依法合理、实事求是</w:t>
      </w:r>
      <w:r>
        <w:rPr>
          <w:rFonts w:eastAsia="仿宋_GB2312"/>
          <w:color w:val="auto"/>
          <w:spacing w:val="0"/>
          <w:sz w:val="32"/>
          <w:szCs w:val="32"/>
        </w:rPr>
        <w:t>”</w:t>
      </w:r>
      <w:r>
        <w:rPr>
          <w:rFonts w:hint="eastAsia" w:eastAsia="仿宋_GB2312"/>
          <w:color w:val="auto"/>
          <w:spacing w:val="0"/>
          <w:sz w:val="32"/>
          <w:szCs w:val="32"/>
        </w:rPr>
        <w:t>、</w:t>
      </w:r>
      <w:r>
        <w:rPr>
          <w:rFonts w:eastAsia="仿宋_GB2312"/>
          <w:color w:val="auto"/>
          <w:spacing w:val="0"/>
          <w:sz w:val="32"/>
          <w:szCs w:val="32"/>
        </w:rPr>
        <w:t>“</w:t>
      </w:r>
      <w:r>
        <w:rPr>
          <w:rFonts w:hint="eastAsia" w:eastAsia="仿宋_GB2312"/>
          <w:color w:val="auto"/>
          <w:spacing w:val="0"/>
          <w:sz w:val="32"/>
          <w:szCs w:val="32"/>
        </w:rPr>
        <w:t>公开、公平、公正</w:t>
      </w:r>
      <w:r>
        <w:rPr>
          <w:rFonts w:eastAsia="仿宋_GB2312"/>
          <w:color w:val="auto"/>
          <w:spacing w:val="0"/>
          <w:sz w:val="32"/>
          <w:szCs w:val="32"/>
        </w:rPr>
        <w:t>”</w:t>
      </w:r>
      <w:r>
        <w:rPr>
          <w:rFonts w:hint="eastAsia" w:eastAsia="仿宋_GB2312"/>
          <w:color w:val="auto"/>
          <w:spacing w:val="0"/>
          <w:sz w:val="32"/>
          <w:szCs w:val="32"/>
        </w:rPr>
        <w:t>、</w:t>
      </w:r>
      <w:r>
        <w:rPr>
          <w:rFonts w:eastAsia="仿宋_GB2312"/>
          <w:color w:val="auto"/>
          <w:spacing w:val="0"/>
          <w:sz w:val="32"/>
          <w:szCs w:val="32"/>
        </w:rPr>
        <w:t>“</w:t>
      </w:r>
      <w:r>
        <w:rPr>
          <w:rFonts w:hint="eastAsia" w:eastAsia="仿宋_GB2312"/>
          <w:color w:val="auto"/>
          <w:spacing w:val="0"/>
          <w:sz w:val="32"/>
          <w:szCs w:val="32"/>
        </w:rPr>
        <w:t>统一规划、多途径和就近安置</w:t>
      </w:r>
      <w:r>
        <w:rPr>
          <w:rFonts w:eastAsia="仿宋_GB2312"/>
          <w:color w:val="auto"/>
          <w:spacing w:val="0"/>
          <w:sz w:val="32"/>
          <w:szCs w:val="32"/>
        </w:rPr>
        <w:t>”</w:t>
      </w:r>
      <w:r>
        <w:rPr>
          <w:rFonts w:hint="eastAsia" w:eastAsia="仿宋_GB2312"/>
          <w:color w:val="auto"/>
          <w:spacing w:val="0"/>
          <w:sz w:val="32"/>
          <w:szCs w:val="32"/>
        </w:rPr>
        <w:t>的原则。</w:t>
      </w:r>
    </w:p>
    <w:p>
      <w:pPr>
        <w:keepNext w:val="0"/>
        <w:keepLines w:val="0"/>
        <w:pageBreakBefore w:val="0"/>
        <w:kinsoku/>
        <w:wordWrap/>
        <w:overflowPunct/>
        <w:topLinePunct w:val="0"/>
        <w:bidi w:val="0"/>
        <w:snapToGrid/>
        <w:spacing w:line="58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二、征地拆迁范围</w:t>
      </w:r>
    </w:p>
    <w:p>
      <w:pPr>
        <w:keepNext w:val="0"/>
        <w:keepLines w:val="0"/>
        <w:pageBreakBefore w:val="0"/>
        <w:kinsoku/>
        <w:wordWrap/>
        <w:overflowPunct/>
        <w:topLinePunct w:val="0"/>
        <w:bidi w:val="0"/>
        <w:snapToGrid/>
        <w:spacing w:line="586" w:lineRule="exact"/>
        <w:ind w:firstLine="627" w:firstLineChars="196"/>
        <w:textAlignment w:val="auto"/>
        <w:rPr>
          <w:rFonts w:eastAsia="仿宋_GB2312"/>
          <w:color w:val="auto"/>
          <w:sz w:val="32"/>
          <w:szCs w:val="32"/>
        </w:rPr>
      </w:pPr>
      <w:r>
        <w:rPr>
          <w:rFonts w:hint="eastAsia" w:eastAsia="仿宋_GB2312"/>
          <w:color w:val="auto"/>
          <w:kern w:val="0"/>
          <w:sz w:val="32"/>
          <w:szCs w:val="32"/>
        </w:rPr>
        <w:t>广西龙胜县花界山风电场项目位于乐江镇、平等镇和伟江乡境内，相关配套设施建设所需征收的各类土地及其建（构）筑物、地上（下）附着物，以及安置回建地，均属于征地拆迁范围。具体界线按项目施工设计用地红线图和变更设计图、安置回建用地规</w:t>
      </w:r>
      <w:r>
        <w:rPr>
          <w:rFonts w:hint="eastAsia" w:eastAsia="仿宋_GB2312"/>
          <w:color w:val="auto"/>
          <w:sz w:val="32"/>
          <w:szCs w:val="32"/>
        </w:rPr>
        <w:t>划图所规定的地域范围为依据，以业主单位和征地拆迁机构等部门现场放样确定边线测量为准，科学、准确、合理地进行土地征收和拆迁。</w:t>
      </w:r>
    </w:p>
    <w:p>
      <w:pPr>
        <w:keepNext w:val="0"/>
        <w:keepLines w:val="0"/>
        <w:pageBreakBefore w:val="0"/>
        <w:kinsoku/>
        <w:wordWrap/>
        <w:overflowPunct/>
        <w:topLinePunct w:val="0"/>
        <w:bidi w:val="0"/>
        <w:snapToGrid/>
        <w:spacing w:line="58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三、征地补偿</w:t>
      </w:r>
    </w:p>
    <w:p>
      <w:pPr>
        <w:keepNext w:val="0"/>
        <w:keepLines w:val="0"/>
        <w:pageBreakBefore w:val="0"/>
        <w:kinsoku/>
        <w:wordWrap/>
        <w:overflowPunct/>
        <w:topLinePunct w:val="0"/>
        <w:bidi w:val="0"/>
        <w:snapToGrid/>
        <w:spacing w:line="586"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（一）征地补偿原则</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kern w:val="0"/>
          <w:sz w:val="32"/>
          <w:szCs w:val="32"/>
        </w:rPr>
      </w:pPr>
      <w:r>
        <w:rPr>
          <w:rFonts w:eastAsia="仿宋_GB2312"/>
          <w:color w:val="auto"/>
          <w:sz w:val="32"/>
          <w:szCs w:val="32"/>
        </w:rPr>
        <w:t>1.</w:t>
      </w:r>
      <w:r>
        <w:rPr>
          <w:rFonts w:hint="eastAsia" w:eastAsia="仿宋_GB2312"/>
          <w:color w:val="auto"/>
          <w:sz w:val="32"/>
          <w:szCs w:val="32"/>
        </w:rPr>
        <w:t>严格依照</w:t>
      </w:r>
      <w:r>
        <w:rPr>
          <w:rFonts w:hint="eastAsia" w:eastAsia="仿宋_GB2312"/>
          <w:color w:val="auto"/>
          <w:kern w:val="0"/>
          <w:sz w:val="32"/>
          <w:szCs w:val="32"/>
        </w:rPr>
        <w:t>《桂林市人民政府关于公布桂林市新一轮征地区片综合地价标准》（市政规</w:t>
      </w:r>
      <w:r>
        <w:rPr>
          <w:rFonts w:hint="eastAsia" w:eastAsia="仿宋_GB2312"/>
          <w:color w:val="auto"/>
          <w:spacing w:val="20"/>
          <w:sz w:val="32"/>
          <w:szCs w:val="32"/>
        </w:rPr>
        <w:t>〔</w:t>
      </w:r>
      <w:r>
        <w:rPr>
          <w:rFonts w:eastAsia="仿宋_GB2312"/>
          <w:color w:val="auto"/>
          <w:spacing w:val="20"/>
          <w:sz w:val="32"/>
          <w:szCs w:val="32"/>
        </w:rPr>
        <w:t>2023</w:t>
      </w:r>
      <w:r>
        <w:rPr>
          <w:rFonts w:hint="eastAsia" w:eastAsia="仿宋_GB2312"/>
          <w:color w:val="auto"/>
          <w:spacing w:val="20"/>
          <w:sz w:val="32"/>
          <w:szCs w:val="32"/>
        </w:rPr>
        <w:t>〕</w:t>
      </w:r>
      <w:r>
        <w:rPr>
          <w:rFonts w:eastAsia="仿宋_GB2312"/>
          <w:color w:val="auto"/>
          <w:spacing w:val="20"/>
          <w:sz w:val="32"/>
          <w:szCs w:val="32"/>
        </w:rPr>
        <w:t>5</w:t>
      </w:r>
      <w:r>
        <w:rPr>
          <w:rFonts w:hint="eastAsia" w:eastAsia="仿宋_GB2312"/>
          <w:color w:val="auto"/>
          <w:spacing w:val="20"/>
          <w:sz w:val="32"/>
          <w:szCs w:val="32"/>
        </w:rPr>
        <w:t>号</w:t>
      </w:r>
      <w:r>
        <w:rPr>
          <w:rFonts w:hint="eastAsia" w:eastAsia="仿宋_GB2312"/>
          <w:color w:val="auto"/>
          <w:kern w:val="0"/>
          <w:sz w:val="32"/>
          <w:szCs w:val="32"/>
        </w:rPr>
        <w:t>）</w:t>
      </w:r>
      <w:r>
        <w:rPr>
          <w:rFonts w:hint="eastAsia" w:eastAsia="仿宋_GB2312"/>
          <w:color w:val="auto"/>
          <w:sz w:val="32"/>
          <w:szCs w:val="32"/>
        </w:rPr>
        <w:t>文件规定的分区域统一补偿标准</w:t>
      </w:r>
      <w:r>
        <w:rPr>
          <w:rFonts w:hint="eastAsia" w:eastAsia="仿宋_GB2312"/>
          <w:color w:val="auto"/>
          <w:kern w:val="0"/>
          <w:sz w:val="32"/>
          <w:szCs w:val="32"/>
        </w:rPr>
        <w:t>，在广西龙胜县花界山风电场项目建设规划用地范围内，做到征地补偿</w:t>
      </w:r>
      <w:r>
        <w:rPr>
          <w:rFonts w:hint="eastAsia" w:eastAsia="仿宋_GB2312"/>
          <w:color w:val="auto"/>
          <w:sz w:val="32"/>
          <w:szCs w:val="32"/>
        </w:rPr>
        <w:t>同地同价。</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kern w:val="0"/>
          <w:sz w:val="32"/>
          <w:szCs w:val="32"/>
        </w:rPr>
        <w:t>《桂林市人民政府关于公布桂林市新一轮征地区片综合地价标准》（市政规</w:t>
      </w:r>
      <w:r>
        <w:rPr>
          <w:rFonts w:hint="eastAsia" w:eastAsia="仿宋_GB2312"/>
          <w:color w:val="auto"/>
          <w:spacing w:val="20"/>
          <w:sz w:val="32"/>
          <w:szCs w:val="32"/>
        </w:rPr>
        <w:t>〔</w:t>
      </w:r>
      <w:r>
        <w:rPr>
          <w:rFonts w:eastAsia="仿宋_GB2312"/>
          <w:color w:val="auto"/>
          <w:spacing w:val="20"/>
          <w:sz w:val="32"/>
          <w:szCs w:val="32"/>
        </w:rPr>
        <w:t>2023</w:t>
      </w:r>
      <w:r>
        <w:rPr>
          <w:rFonts w:hint="eastAsia" w:eastAsia="仿宋_GB2312"/>
          <w:color w:val="auto"/>
          <w:spacing w:val="20"/>
          <w:sz w:val="32"/>
          <w:szCs w:val="32"/>
        </w:rPr>
        <w:t>〕</w:t>
      </w:r>
      <w:r>
        <w:rPr>
          <w:rFonts w:eastAsia="仿宋_GB2312"/>
          <w:color w:val="auto"/>
          <w:spacing w:val="20"/>
          <w:sz w:val="32"/>
          <w:szCs w:val="32"/>
        </w:rPr>
        <w:t>5</w:t>
      </w:r>
      <w:r>
        <w:rPr>
          <w:rFonts w:hint="eastAsia" w:eastAsia="仿宋_GB2312"/>
          <w:color w:val="auto"/>
          <w:spacing w:val="20"/>
          <w:sz w:val="32"/>
          <w:szCs w:val="32"/>
        </w:rPr>
        <w:t>号</w:t>
      </w:r>
      <w:r>
        <w:rPr>
          <w:rFonts w:hint="eastAsia" w:eastAsia="仿宋_GB2312"/>
          <w:color w:val="auto"/>
          <w:kern w:val="0"/>
          <w:sz w:val="32"/>
          <w:szCs w:val="32"/>
        </w:rPr>
        <w:t>）</w:t>
      </w:r>
      <w:r>
        <w:rPr>
          <w:rFonts w:hint="eastAsia" w:eastAsia="仿宋_GB2312"/>
          <w:color w:val="auto"/>
          <w:sz w:val="32"/>
          <w:szCs w:val="32"/>
        </w:rPr>
        <w:t>文件明确适用范围，征收农用地区片综合地价标准适用于全区范围内集体农用地（永久基本农田和自然保护区除外）的征收补偿，其中，涉及征收永久基本农田的，按照不低于征收农用地标准的</w:t>
      </w:r>
      <w:r>
        <w:rPr>
          <w:rFonts w:eastAsia="仿宋_GB2312"/>
          <w:color w:val="auto"/>
          <w:sz w:val="32"/>
          <w:szCs w:val="32"/>
        </w:rPr>
        <w:t>1.1</w:t>
      </w:r>
      <w:r>
        <w:rPr>
          <w:rFonts w:hint="eastAsia" w:eastAsia="仿宋_GB2312"/>
          <w:color w:val="auto"/>
          <w:sz w:val="32"/>
          <w:szCs w:val="32"/>
        </w:rPr>
        <w:t>倍进行补偿；征收集体建设用地的，按照不低于征收农用地区片综合地价标准的</w:t>
      </w:r>
      <w:r>
        <w:rPr>
          <w:rFonts w:eastAsia="仿宋_GB2312"/>
          <w:color w:val="auto"/>
          <w:sz w:val="32"/>
          <w:szCs w:val="32"/>
        </w:rPr>
        <w:t>0.4</w:t>
      </w:r>
      <w:r>
        <w:rPr>
          <w:rFonts w:hint="eastAsia" w:eastAsia="仿宋_GB2312"/>
          <w:color w:val="auto"/>
          <w:sz w:val="32"/>
          <w:szCs w:val="32"/>
        </w:rPr>
        <w:t>倍进行补偿；征收集体未利用地的，按照征收农用地区片综合地价标准的</w:t>
      </w:r>
      <w:r>
        <w:rPr>
          <w:rFonts w:eastAsia="仿宋_GB2312"/>
          <w:color w:val="auto"/>
          <w:sz w:val="32"/>
          <w:szCs w:val="32"/>
        </w:rPr>
        <w:t>0.1</w:t>
      </w:r>
      <w:r>
        <w:rPr>
          <w:rFonts w:hint="eastAsia" w:eastAsia="仿宋_GB2312"/>
          <w:color w:val="auto"/>
          <w:sz w:val="32"/>
          <w:szCs w:val="32"/>
        </w:rPr>
        <w:t>至</w:t>
      </w:r>
      <w:r>
        <w:rPr>
          <w:rFonts w:eastAsia="仿宋_GB2312"/>
          <w:color w:val="auto"/>
          <w:sz w:val="32"/>
          <w:szCs w:val="32"/>
        </w:rPr>
        <w:t>0.4</w:t>
      </w:r>
      <w:r>
        <w:rPr>
          <w:rFonts w:hint="eastAsia" w:eastAsia="仿宋_GB2312"/>
          <w:color w:val="auto"/>
          <w:sz w:val="32"/>
          <w:szCs w:val="32"/>
        </w:rPr>
        <w:t>倍进行补偿；新增乡（镇）、村，参照相邻乡（镇）、村中较高的征地区片综合地价标准执行；依法收回国有农用地的，</w:t>
      </w:r>
      <w:r>
        <w:rPr>
          <w:rFonts w:hint="eastAsia" w:eastAsia="仿宋_GB2312"/>
          <w:color w:val="auto"/>
          <w:spacing w:val="-11"/>
          <w:sz w:val="32"/>
          <w:szCs w:val="32"/>
        </w:rPr>
        <w:t>可按照有关规定参照征收农用地区片综合地价标准的</w:t>
      </w:r>
      <w:r>
        <w:rPr>
          <w:rFonts w:eastAsia="仿宋_GB2312"/>
          <w:color w:val="auto"/>
          <w:spacing w:val="-11"/>
          <w:sz w:val="32"/>
          <w:szCs w:val="32"/>
        </w:rPr>
        <w:t>70%</w:t>
      </w:r>
      <w:r>
        <w:rPr>
          <w:rFonts w:hint="eastAsia" w:eastAsia="仿宋_GB2312"/>
          <w:color w:val="auto"/>
          <w:spacing w:val="-11"/>
          <w:sz w:val="32"/>
          <w:szCs w:val="32"/>
        </w:rPr>
        <w:t>进行补偿。</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在征地工作中，必须根据实际情况，准确、科学地划分地类，认真核实面积，严格执行补偿范围和标准。</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1</w:t>
      </w:r>
      <w:r>
        <w:rPr>
          <w:rFonts w:hint="eastAsia" w:eastAsia="仿宋_GB2312"/>
          <w:color w:val="auto"/>
          <w:sz w:val="32"/>
          <w:szCs w:val="32"/>
        </w:rPr>
        <w:t>）征地按土地原用途给予补偿。</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2</w:t>
      </w:r>
      <w:r>
        <w:rPr>
          <w:rFonts w:hint="eastAsia" w:eastAsia="仿宋_GB2312"/>
          <w:color w:val="auto"/>
          <w:sz w:val="32"/>
          <w:szCs w:val="32"/>
        </w:rPr>
        <w:t>）征地的各项补偿标准必须依照本办法执行。</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土地补偿费和安置补助费的分配方案由</w:t>
      </w:r>
      <w:r>
        <w:rPr>
          <w:rFonts w:hint="eastAsia" w:eastAsia="仿宋_GB2312"/>
          <w:color w:val="auto"/>
          <w:kern w:val="0"/>
          <w:sz w:val="32"/>
          <w:szCs w:val="32"/>
        </w:rPr>
        <w:t>农村集体经济组织或者村民委员会、村民小组依照法律规定的民主议定程序决定。</w:t>
      </w:r>
      <w:r>
        <w:rPr>
          <w:rFonts w:hint="eastAsia" w:eastAsia="仿宋_GB2312"/>
          <w:color w:val="auto"/>
          <w:sz w:val="32"/>
          <w:szCs w:val="32"/>
        </w:rPr>
        <w:t>原则上土地补偿费归农村集体经济组织所有，安置补助费由农村集体经济组织管理和使用。需要安置的人员由农村集体经济组织安置，不需要统一安置的，安置补助费发放给被安置人员个人，青苗补偿费归地上青苗的所有者所有。</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公用道路、人行道、码头、农田水利、人畜饮水等公共设施，原则不予补偿，由项目业主按</w:t>
      </w:r>
      <w:r>
        <w:rPr>
          <w:rFonts w:hint="eastAsia" w:eastAsia="仿宋_GB2312"/>
          <w:color w:val="auto"/>
          <w:kern w:val="0"/>
          <w:sz w:val="32"/>
          <w:szCs w:val="32"/>
        </w:rPr>
        <w:t>原用途、原规模、原标准</w:t>
      </w:r>
      <w:r>
        <w:rPr>
          <w:rFonts w:hint="eastAsia" w:eastAsia="仿宋_GB2312"/>
          <w:color w:val="auto"/>
          <w:sz w:val="32"/>
          <w:szCs w:val="32"/>
        </w:rPr>
        <w:t>给予恢复重建。</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5.</w:t>
      </w:r>
      <w:r>
        <w:rPr>
          <w:rFonts w:hint="eastAsia" w:eastAsia="仿宋_GB2312"/>
          <w:color w:val="auto"/>
          <w:sz w:val="32"/>
          <w:szCs w:val="32"/>
        </w:rPr>
        <w:t>河床、滩涂按《</w:t>
      </w:r>
      <w:r>
        <w:rPr>
          <w:rFonts w:hint="eastAsia" w:eastAsia="仿宋_GB2312"/>
          <w:bCs/>
          <w:snapToGrid w:val="0"/>
          <w:color w:val="auto"/>
          <w:kern w:val="0"/>
          <w:sz w:val="32"/>
          <w:szCs w:val="32"/>
        </w:rPr>
        <w:t>中华人民共和国土地管理法</w:t>
      </w:r>
      <w:r>
        <w:rPr>
          <w:rFonts w:hint="eastAsia" w:eastAsia="仿宋_GB2312"/>
          <w:color w:val="auto"/>
          <w:sz w:val="32"/>
          <w:szCs w:val="32"/>
        </w:rPr>
        <w:t>》的有关规定，属国家所有，其土地不予补偿。</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6.</w:t>
      </w:r>
      <w:r>
        <w:rPr>
          <w:rFonts w:hint="eastAsia" w:eastAsia="仿宋_GB2312"/>
          <w:color w:val="auto"/>
          <w:sz w:val="32"/>
          <w:szCs w:val="32"/>
        </w:rPr>
        <w:t>在发布征地公告后，被征地户凭有效土地权属证、林权证、房产证在所属乡（镇）登记备案。在发布征地公告之日起，抢栽抢种的农作物、林（果、竹）木和抢建抢修的建（构）筑物、附着物等一律不予补偿。</w:t>
      </w:r>
    </w:p>
    <w:p>
      <w:pPr>
        <w:keepNext w:val="0"/>
        <w:keepLines w:val="0"/>
        <w:pageBreakBefore w:val="0"/>
        <w:kinsoku/>
        <w:wordWrap/>
        <w:overflowPunct/>
        <w:topLinePunct w:val="0"/>
        <w:bidi w:val="0"/>
        <w:snapToGrid/>
        <w:spacing w:line="586"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（二）征地补偿标准</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集体土地补偿安置补助标准</w:t>
      </w:r>
    </w:p>
    <w:tbl>
      <w:tblPr>
        <w:tblStyle w:val="11"/>
        <w:tblW w:w="9393" w:type="dxa"/>
        <w:tblInd w:w="0" w:type="dxa"/>
        <w:tblLayout w:type="fixed"/>
        <w:tblCellMar>
          <w:top w:w="0" w:type="dxa"/>
          <w:left w:w="108" w:type="dxa"/>
          <w:bottom w:w="0" w:type="dxa"/>
          <w:right w:w="108" w:type="dxa"/>
        </w:tblCellMar>
      </w:tblPr>
      <w:tblGrid>
        <w:gridCol w:w="596"/>
        <w:gridCol w:w="7"/>
        <w:gridCol w:w="849"/>
        <w:gridCol w:w="1775"/>
        <w:gridCol w:w="1134"/>
        <w:gridCol w:w="1843"/>
        <w:gridCol w:w="1701"/>
        <w:gridCol w:w="1488"/>
      </w:tblGrid>
      <w:tr>
        <w:tblPrEx>
          <w:tblCellMar>
            <w:top w:w="0" w:type="dxa"/>
            <w:left w:w="108" w:type="dxa"/>
            <w:bottom w:w="0" w:type="dxa"/>
            <w:right w:w="108" w:type="dxa"/>
          </w:tblCellMar>
        </w:tblPrEx>
        <w:trPr>
          <w:trHeight w:val="771" w:hRule="atLeast"/>
        </w:trPr>
        <w:tc>
          <w:tcPr>
            <w:tcW w:w="4361" w:type="dxa"/>
            <w:gridSpan w:val="5"/>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hint="eastAsia" w:eastAsia="仿宋_GB2312"/>
                <w:color w:val="auto"/>
                <w:kern w:val="0"/>
                <w:sz w:val="32"/>
                <w:szCs w:val="32"/>
              </w:rPr>
              <w:t>地类</w:t>
            </w:r>
          </w:p>
        </w:tc>
        <w:tc>
          <w:tcPr>
            <w:tcW w:w="1843"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hint="eastAsia" w:eastAsia="仿宋_GB2312"/>
                <w:color w:val="auto"/>
                <w:kern w:val="0"/>
                <w:sz w:val="32"/>
                <w:szCs w:val="32"/>
              </w:rPr>
              <w:t>土地补偿费（元</w:t>
            </w:r>
            <w:r>
              <w:rPr>
                <w:rFonts w:eastAsia="仿宋_GB2312"/>
                <w:color w:val="auto"/>
                <w:kern w:val="0"/>
                <w:sz w:val="32"/>
                <w:szCs w:val="32"/>
              </w:rPr>
              <w:t>/</w:t>
            </w:r>
            <w:r>
              <w:rPr>
                <w:rFonts w:hint="eastAsia" w:eastAsia="仿宋_GB2312"/>
                <w:color w:val="auto"/>
                <w:kern w:val="0"/>
                <w:sz w:val="32"/>
                <w:szCs w:val="32"/>
              </w:rPr>
              <w:t>亩）</w:t>
            </w:r>
          </w:p>
        </w:tc>
        <w:tc>
          <w:tcPr>
            <w:tcW w:w="1701" w:type="dxa"/>
            <w:tcBorders>
              <w:top w:val="single" w:color="auto" w:sz="8" w:space="0"/>
              <w:left w:val="nil"/>
              <w:bottom w:val="single" w:color="auto" w:sz="8"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hint="eastAsia" w:eastAsia="仿宋_GB2312"/>
                <w:color w:val="auto"/>
                <w:kern w:val="0"/>
                <w:sz w:val="32"/>
                <w:szCs w:val="32"/>
              </w:rPr>
              <w:t>安置补助费（元</w:t>
            </w:r>
            <w:r>
              <w:rPr>
                <w:rFonts w:eastAsia="仿宋_GB2312"/>
                <w:color w:val="auto"/>
                <w:kern w:val="0"/>
                <w:sz w:val="32"/>
                <w:szCs w:val="32"/>
              </w:rPr>
              <w:t>/</w:t>
            </w:r>
            <w:r>
              <w:rPr>
                <w:rFonts w:hint="eastAsia" w:eastAsia="仿宋_GB2312"/>
                <w:color w:val="auto"/>
                <w:kern w:val="0"/>
                <w:sz w:val="32"/>
                <w:szCs w:val="32"/>
              </w:rPr>
              <w:t>亩）</w:t>
            </w:r>
          </w:p>
        </w:tc>
        <w:tc>
          <w:tcPr>
            <w:tcW w:w="1488" w:type="dxa"/>
            <w:tcBorders>
              <w:top w:val="single" w:color="auto" w:sz="8" w:space="0"/>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hint="eastAsia" w:eastAsia="仿宋_GB2312"/>
                <w:color w:val="auto"/>
                <w:kern w:val="0"/>
                <w:sz w:val="32"/>
                <w:szCs w:val="32"/>
              </w:rPr>
              <w:t>补偿总额（元）</w:t>
            </w:r>
          </w:p>
        </w:tc>
      </w:tr>
      <w:tr>
        <w:tblPrEx>
          <w:tblCellMar>
            <w:top w:w="0" w:type="dxa"/>
            <w:left w:w="108" w:type="dxa"/>
            <w:bottom w:w="0" w:type="dxa"/>
            <w:right w:w="108" w:type="dxa"/>
          </w:tblCellMar>
        </w:tblPrEx>
        <w:trPr>
          <w:trHeight w:val="711" w:hRule="atLeast"/>
        </w:trPr>
        <w:tc>
          <w:tcPr>
            <w:tcW w:w="596" w:type="dxa"/>
            <w:vMerge w:val="restart"/>
            <w:tcBorders>
              <w:top w:val="single" w:color="auto" w:sz="8" w:space="0"/>
              <w:left w:val="single" w:color="auto" w:sz="8" w:space="0"/>
              <w:right w:val="single" w:color="auto" w:sz="4" w:space="0"/>
            </w:tcBorders>
            <w:vAlign w:val="center"/>
          </w:tcPr>
          <w:p>
            <w:pPr>
              <w:keepNext w:val="0"/>
              <w:keepLines w:val="0"/>
              <w:pageBreakBefore w:val="0"/>
              <w:kinsoku/>
              <w:wordWrap/>
              <w:overflowPunct/>
              <w:topLinePunct w:val="0"/>
              <w:bidi w:val="0"/>
              <w:snapToGrid/>
              <w:spacing w:line="586" w:lineRule="exact"/>
              <w:jc w:val="center"/>
              <w:textAlignment w:val="auto"/>
              <w:rPr>
                <w:rFonts w:eastAsia="仿宋_GB2312"/>
                <w:color w:val="auto"/>
                <w:sz w:val="32"/>
                <w:szCs w:val="32"/>
              </w:rPr>
            </w:pPr>
            <w:r>
              <w:rPr>
                <w:rFonts w:hint="eastAsia" w:eastAsia="仿宋_GB2312"/>
                <w:color w:val="auto"/>
                <w:kern w:val="0"/>
                <w:sz w:val="32"/>
                <w:szCs w:val="32"/>
              </w:rPr>
              <w:t>农用地</w:t>
            </w:r>
          </w:p>
        </w:tc>
        <w:tc>
          <w:tcPr>
            <w:tcW w:w="3765" w:type="dxa"/>
            <w:gridSpan w:val="4"/>
            <w:tcBorders>
              <w:top w:val="single" w:color="auto" w:sz="8" w:space="0"/>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sz w:val="32"/>
                <w:szCs w:val="32"/>
              </w:rPr>
            </w:pPr>
            <w:r>
              <w:rPr>
                <w:rFonts w:hint="eastAsia" w:eastAsia="仿宋_GB2312"/>
                <w:color w:val="auto"/>
                <w:sz w:val="32"/>
                <w:szCs w:val="32"/>
              </w:rPr>
              <w:t>水田、鱼塘</w:t>
            </w:r>
          </w:p>
        </w:tc>
        <w:tc>
          <w:tcPr>
            <w:tcW w:w="184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sz w:val="32"/>
                <w:szCs w:val="32"/>
              </w:rPr>
            </w:pPr>
            <w:r>
              <w:rPr>
                <w:rFonts w:eastAsia="仿宋_GB2312"/>
                <w:color w:val="auto"/>
                <w:sz w:val="32"/>
                <w:szCs w:val="32"/>
              </w:rPr>
              <w:t>24190</w:t>
            </w:r>
          </w:p>
        </w:tc>
        <w:tc>
          <w:tcPr>
            <w:tcW w:w="1701"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sz w:val="32"/>
                <w:szCs w:val="32"/>
              </w:rPr>
            </w:pPr>
            <w:r>
              <w:rPr>
                <w:rFonts w:eastAsia="仿宋_GB2312"/>
                <w:color w:val="auto"/>
                <w:sz w:val="32"/>
                <w:szCs w:val="32"/>
              </w:rPr>
              <w:t>36285</w:t>
            </w:r>
          </w:p>
        </w:tc>
        <w:tc>
          <w:tcPr>
            <w:tcW w:w="148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sz w:val="32"/>
                <w:szCs w:val="32"/>
              </w:rPr>
            </w:pPr>
            <w:r>
              <w:rPr>
                <w:rFonts w:eastAsia="仿宋_GB2312"/>
                <w:color w:val="auto"/>
                <w:sz w:val="32"/>
                <w:szCs w:val="32"/>
              </w:rPr>
              <w:t>60475</w:t>
            </w:r>
          </w:p>
        </w:tc>
      </w:tr>
      <w:tr>
        <w:tblPrEx>
          <w:tblCellMar>
            <w:top w:w="0" w:type="dxa"/>
            <w:left w:w="108" w:type="dxa"/>
            <w:bottom w:w="0" w:type="dxa"/>
            <w:right w:w="108" w:type="dxa"/>
          </w:tblCellMar>
        </w:tblPrEx>
        <w:trPr>
          <w:trHeight w:val="286" w:hRule="atLeast"/>
        </w:trPr>
        <w:tc>
          <w:tcPr>
            <w:tcW w:w="596" w:type="dxa"/>
            <w:vMerge w:val="continue"/>
            <w:tcBorders>
              <w:left w:val="single" w:color="auto" w:sz="8" w:space="0"/>
              <w:right w:val="single" w:color="auto" w:sz="4" w:space="0"/>
            </w:tcBorders>
            <w:vAlign w:val="center"/>
          </w:tcPr>
          <w:p>
            <w:pPr>
              <w:keepNext w:val="0"/>
              <w:keepLines w:val="0"/>
              <w:pageBreakBefore w:val="0"/>
              <w:kinsoku/>
              <w:wordWrap/>
              <w:overflowPunct/>
              <w:topLinePunct w:val="0"/>
              <w:bidi w:val="0"/>
              <w:snapToGrid/>
              <w:spacing w:line="586" w:lineRule="exact"/>
              <w:jc w:val="center"/>
              <w:textAlignment w:val="auto"/>
              <w:rPr>
                <w:rFonts w:eastAsia="仿宋_GB2312"/>
                <w:color w:val="auto"/>
                <w:kern w:val="0"/>
                <w:sz w:val="32"/>
                <w:szCs w:val="32"/>
              </w:rPr>
            </w:pPr>
          </w:p>
        </w:tc>
        <w:tc>
          <w:tcPr>
            <w:tcW w:w="856" w:type="dxa"/>
            <w:gridSpan w:val="2"/>
            <w:vMerge w:val="restart"/>
            <w:tcBorders>
              <w:top w:val="nil"/>
              <w:left w:val="single" w:color="auto" w:sz="4" w:space="0"/>
              <w:right w:val="single" w:color="auto" w:sz="4" w:space="0"/>
            </w:tcBorders>
            <w:vAlign w:val="center"/>
          </w:tcPr>
          <w:p>
            <w:pPr>
              <w:keepNext w:val="0"/>
              <w:keepLines w:val="0"/>
              <w:pageBreakBefore w:val="0"/>
              <w:kinsoku/>
              <w:wordWrap/>
              <w:overflowPunct/>
              <w:topLinePunct w:val="0"/>
              <w:bidi w:val="0"/>
              <w:snapToGrid/>
              <w:spacing w:line="586" w:lineRule="exact"/>
              <w:jc w:val="center"/>
              <w:textAlignment w:val="auto"/>
              <w:rPr>
                <w:rFonts w:eastAsia="仿宋_GB2312"/>
                <w:color w:val="auto"/>
                <w:kern w:val="0"/>
                <w:sz w:val="32"/>
                <w:szCs w:val="32"/>
              </w:rPr>
            </w:pPr>
            <w:r>
              <w:rPr>
                <w:rFonts w:hint="eastAsia" w:eastAsia="仿宋_GB2312"/>
                <w:color w:val="auto"/>
                <w:kern w:val="0"/>
                <w:sz w:val="32"/>
                <w:szCs w:val="32"/>
              </w:rPr>
              <w:t>其它农用地</w:t>
            </w:r>
          </w:p>
        </w:tc>
        <w:tc>
          <w:tcPr>
            <w:tcW w:w="2909" w:type="dxa"/>
            <w:gridSpan w:val="2"/>
            <w:tcBorders>
              <w:top w:val="nil"/>
              <w:left w:val="single" w:color="auto" w:sz="4" w:space="0"/>
              <w:bottom w:val="single" w:color="auto" w:sz="8" w:space="0"/>
              <w:right w:val="single" w:color="auto" w:sz="8" w:space="0"/>
            </w:tcBorders>
            <w:vAlign w:val="center"/>
          </w:tcPr>
          <w:p>
            <w:pPr>
              <w:keepNext w:val="0"/>
              <w:keepLines w:val="0"/>
              <w:pageBreakBefore w:val="0"/>
              <w:kinsoku/>
              <w:wordWrap/>
              <w:overflowPunct/>
              <w:topLinePunct w:val="0"/>
              <w:bidi w:val="0"/>
              <w:snapToGrid/>
              <w:spacing w:line="586" w:lineRule="exact"/>
              <w:jc w:val="center"/>
              <w:textAlignment w:val="auto"/>
              <w:rPr>
                <w:rFonts w:eastAsia="仿宋_GB2312"/>
                <w:color w:val="auto"/>
                <w:kern w:val="0"/>
                <w:sz w:val="32"/>
                <w:szCs w:val="32"/>
              </w:rPr>
            </w:pPr>
            <w:r>
              <w:rPr>
                <w:rFonts w:hint="eastAsia" w:eastAsia="仿宋_GB2312"/>
                <w:color w:val="auto"/>
                <w:kern w:val="0"/>
                <w:sz w:val="32"/>
                <w:szCs w:val="32"/>
              </w:rPr>
              <w:t>果园、牧草地</w:t>
            </w:r>
          </w:p>
        </w:tc>
        <w:tc>
          <w:tcPr>
            <w:tcW w:w="184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18884</w:t>
            </w:r>
          </w:p>
        </w:tc>
        <w:tc>
          <w:tcPr>
            <w:tcW w:w="1701"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28326</w:t>
            </w:r>
          </w:p>
        </w:tc>
        <w:tc>
          <w:tcPr>
            <w:tcW w:w="148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47210</w:t>
            </w:r>
          </w:p>
        </w:tc>
      </w:tr>
      <w:tr>
        <w:tblPrEx>
          <w:tblCellMar>
            <w:top w:w="0" w:type="dxa"/>
            <w:left w:w="108" w:type="dxa"/>
            <w:bottom w:w="0" w:type="dxa"/>
            <w:right w:w="108" w:type="dxa"/>
          </w:tblCellMar>
        </w:tblPrEx>
        <w:trPr>
          <w:trHeight w:val="286" w:hRule="atLeast"/>
        </w:trPr>
        <w:tc>
          <w:tcPr>
            <w:tcW w:w="59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left"/>
              <w:textAlignment w:val="auto"/>
              <w:rPr>
                <w:rFonts w:eastAsia="仿宋_GB2312"/>
                <w:color w:val="auto"/>
                <w:kern w:val="0"/>
                <w:sz w:val="32"/>
                <w:szCs w:val="32"/>
              </w:rPr>
            </w:pPr>
          </w:p>
        </w:tc>
        <w:tc>
          <w:tcPr>
            <w:tcW w:w="856"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86" w:lineRule="exact"/>
              <w:jc w:val="center"/>
              <w:textAlignment w:val="auto"/>
              <w:rPr>
                <w:rFonts w:eastAsia="仿宋_GB2312"/>
                <w:color w:val="auto"/>
                <w:kern w:val="0"/>
                <w:sz w:val="32"/>
                <w:szCs w:val="32"/>
              </w:rPr>
            </w:pPr>
          </w:p>
        </w:tc>
        <w:tc>
          <w:tcPr>
            <w:tcW w:w="2909" w:type="dxa"/>
            <w:gridSpan w:val="2"/>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hint="eastAsia" w:eastAsia="仿宋_GB2312"/>
                <w:color w:val="auto"/>
                <w:kern w:val="0"/>
                <w:sz w:val="32"/>
                <w:szCs w:val="32"/>
              </w:rPr>
              <w:t>旱地（菜地）</w:t>
            </w:r>
          </w:p>
        </w:tc>
        <w:tc>
          <w:tcPr>
            <w:tcW w:w="184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18884</w:t>
            </w:r>
          </w:p>
        </w:tc>
        <w:tc>
          <w:tcPr>
            <w:tcW w:w="1701"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28326</w:t>
            </w:r>
          </w:p>
        </w:tc>
        <w:tc>
          <w:tcPr>
            <w:tcW w:w="148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47210</w:t>
            </w:r>
          </w:p>
        </w:tc>
      </w:tr>
      <w:tr>
        <w:tblPrEx>
          <w:tblCellMar>
            <w:top w:w="0" w:type="dxa"/>
            <w:left w:w="108" w:type="dxa"/>
            <w:bottom w:w="0" w:type="dxa"/>
            <w:right w:w="108" w:type="dxa"/>
          </w:tblCellMar>
        </w:tblPrEx>
        <w:trPr>
          <w:trHeight w:val="476" w:hRule="atLeast"/>
        </w:trPr>
        <w:tc>
          <w:tcPr>
            <w:tcW w:w="596"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left"/>
              <w:textAlignment w:val="auto"/>
              <w:rPr>
                <w:rFonts w:eastAsia="仿宋_GB2312"/>
                <w:color w:val="auto"/>
                <w:kern w:val="0"/>
                <w:sz w:val="32"/>
                <w:szCs w:val="32"/>
              </w:rPr>
            </w:pPr>
          </w:p>
        </w:tc>
        <w:tc>
          <w:tcPr>
            <w:tcW w:w="856"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586" w:lineRule="exact"/>
              <w:jc w:val="center"/>
              <w:textAlignment w:val="auto"/>
              <w:rPr>
                <w:rFonts w:eastAsia="仿宋_GB2312"/>
                <w:color w:val="auto"/>
                <w:kern w:val="0"/>
                <w:sz w:val="32"/>
                <w:szCs w:val="32"/>
              </w:rPr>
            </w:pPr>
          </w:p>
        </w:tc>
        <w:tc>
          <w:tcPr>
            <w:tcW w:w="2909" w:type="dxa"/>
            <w:gridSpan w:val="2"/>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hint="eastAsia" w:eastAsia="仿宋_GB2312"/>
                <w:color w:val="auto"/>
                <w:kern w:val="0"/>
                <w:sz w:val="32"/>
                <w:szCs w:val="32"/>
              </w:rPr>
              <w:t>经济林地用材林地</w:t>
            </w:r>
          </w:p>
        </w:tc>
        <w:tc>
          <w:tcPr>
            <w:tcW w:w="1843"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18884</w:t>
            </w:r>
          </w:p>
        </w:tc>
        <w:tc>
          <w:tcPr>
            <w:tcW w:w="1701"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28326</w:t>
            </w:r>
          </w:p>
        </w:tc>
        <w:tc>
          <w:tcPr>
            <w:tcW w:w="148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47210</w:t>
            </w:r>
          </w:p>
        </w:tc>
      </w:tr>
      <w:tr>
        <w:tblPrEx>
          <w:tblCellMar>
            <w:top w:w="0" w:type="dxa"/>
            <w:left w:w="108" w:type="dxa"/>
            <w:bottom w:w="0" w:type="dxa"/>
            <w:right w:w="108" w:type="dxa"/>
          </w:tblCellMar>
        </w:tblPrEx>
        <w:trPr>
          <w:trHeight w:val="286" w:hRule="atLeast"/>
        </w:trPr>
        <w:tc>
          <w:tcPr>
            <w:tcW w:w="596" w:type="dxa"/>
            <w:vMerge w:val="continue"/>
            <w:tcBorders>
              <w:left w:val="single" w:color="auto" w:sz="8" w:space="0"/>
              <w:bottom w:val="single" w:color="auto" w:sz="8"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left"/>
              <w:textAlignment w:val="auto"/>
              <w:rPr>
                <w:rFonts w:eastAsia="仿宋_GB2312"/>
                <w:color w:val="auto"/>
                <w:kern w:val="0"/>
                <w:sz w:val="32"/>
                <w:szCs w:val="32"/>
              </w:rPr>
            </w:pPr>
          </w:p>
        </w:tc>
        <w:tc>
          <w:tcPr>
            <w:tcW w:w="856" w:type="dxa"/>
            <w:gridSpan w:val="2"/>
            <w:vMerge w:val="continue"/>
            <w:tcBorders>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p>
        </w:tc>
        <w:tc>
          <w:tcPr>
            <w:tcW w:w="2909" w:type="dxa"/>
            <w:gridSpan w:val="2"/>
            <w:tcBorders>
              <w:top w:val="nil"/>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hint="eastAsia" w:eastAsia="仿宋_GB2312"/>
                <w:color w:val="auto"/>
                <w:kern w:val="0"/>
                <w:sz w:val="32"/>
                <w:szCs w:val="32"/>
              </w:rPr>
              <w:t>薪炭林地</w:t>
            </w:r>
          </w:p>
        </w:tc>
        <w:tc>
          <w:tcPr>
            <w:tcW w:w="1843" w:type="dxa"/>
            <w:tcBorders>
              <w:top w:val="nil"/>
              <w:left w:val="single" w:color="auto" w:sz="4" w:space="0"/>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18884</w:t>
            </w:r>
          </w:p>
        </w:tc>
        <w:tc>
          <w:tcPr>
            <w:tcW w:w="1701" w:type="dxa"/>
            <w:tcBorders>
              <w:top w:val="nil"/>
              <w:left w:val="nil"/>
              <w:bottom w:val="single" w:color="auto" w:sz="8"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28326</w:t>
            </w:r>
          </w:p>
        </w:tc>
        <w:tc>
          <w:tcPr>
            <w:tcW w:w="148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47210</w:t>
            </w:r>
          </w:p>
        </w:tc>
      </w:tr>
      <w:tr>
        <w:tblPrEx>
          <w:tblCellMar>
            <w:top w:w="0" w:type="dxa"/>
            <w:left w:w="108" w:type="dxa"/>
            <w:bottom w:w="0" w:type="dxa"/>
            <w:right w:w="108" w:type="dxa"/>
          </w:tblCellMar>
        </w:tblPrEx>
        <w:trPr>
          <w:trHeight w:val="550" w:hRule="atLeast"/>
        </w:trPr>
        <w:tc>
          <w:tcPr>
            <w:tcW w:w="603" w:type="dxa"/>
            <w:gridSpan w:val="2"/>
            <w:vMerge w:val="restart"/>
            <w:tcBorders>
              <w:top w:val="single" w:color="auto" w:sz="8" w:space="0"/>
              <w:left w:val="single" w:color="auto" w:sz="8"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hint="eastAsia" w:eastAsia="仿宋_GB2312"/>
                <w:color w:val="auto"/>
                <w:kern w:val="0"/>
                <w:sz w:val="32"/>
                <w:szCs w:val="32"/>
              </w:rPr>
              <w:t>建设用地</w:t>
            </w:r>
          </w:p>
        </w:tc>
        <w:tc>
          <w:tcPr>
            <w:tcW w:w="3758" w:type="dxa"/>
            <w:gridSpan w:val="3"/>
            <w:tcBorders>
              <w:top w:val="single" w:color="auto" w:sz="8"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586" w:lineRule="exact"/>
              <w:jc w:val="center"/>
              <w:textAlignment w:val="auto"/>
              <w:rPr>
                <w:rFonts w:eastAsia="仿宋_GB2312"/>
                <w:color w:val="auto"/>
                <w:kern w:val="0"/>
                <w:sz w:val="32"/>
                <w:szCs w:val="32"/>
              </w:rPr>
            </w:pPr>
            <w:r>
              <w:rPr>
                <w:rFonts w:hint="eastAsia" w:eastAsia="仿宋_GB2312"/>
                <w:color w:val="auto"/>
                <w:kern w:val="0"/>
                <w:sz w:val="32"/>
                <w:szCs w:val="32"/>
              </w:rPr>
              <w:t>宅基地按水田补偿</w:t>
            </w:r>
          </w:p>
        </w:tc>
        <w:tc>
          <w:tcPr>
            <w:tcW w:w="18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sz w:val="32"/>
                <w:szCs w:val="32"/>
              </w:rPr>
            </w:pPr>
            <w:r>
              <w:rPr>
                <w:rFonts w:eastAsia="仿宋_GB2312"/>
                <w:color w:val="auto"/>
                <w:sz w:val="32"/>
                <w:szCs w:val="32"/>
              </w:rPr>
              <w:t>24190</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sz w:val="32"/>
                <w:szCs w:val="32"/>
              </w:rPr>
            </w:pPr>
            <w:r>
              <w:rPr>
                <w:rFonts w:eastAsia="仿宋_GB2312"/>
                <w:color w:val="auto"/>
                <w:sz w:val="32"/>
                <w:szCs w:val="32"/>
              </w:rPr>
              <w:t>36285</w:t>
            </w:r>
          </w:p>
        </w:tc>
        <w:tc>
          <w:tcPr>
            <w:tcW w:w="1488"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sz w:val="32"/>
                <w:szCs w:val="32"/>
              </w:rPr>
            </w:pPr>
            <w:r>
              <w:rPr>
                <w:rFonts w:eastAsia="仿宋_GB2312"/>
                <w:color w:val="auto"/>
                <w:sz w:val="32"/>
                <w:szCs w:val="32"/>
              </w:rPr>
              <w:t>60475</w:t>
            </w:r>
          </w:p>
        </w:tc>
      </w:tr>
      <w:tr>
        <w:tblPrEx>
          <w:tblCellMar>
            <w:top w:w="0" w:type="dxa"/>
            <w:left w:w="108" w:type="dxa"/>
            <w:bottom w:w="0" w:type="dxa"/>
            <w:right w:w="108" w:type="dxa"/>
          </w:tblCellMar>
        </w:tblPrEx>
        <w:trPr>
          <w:trHeight w:val="1220" w:hRule="atLeast"/>
        </w:trPr>
        <w:tc>
          <w:tcPr>
            <w:tcW w:w="603" w:type="dxa"/>
            <w:gridSpan w:val="2"/>
            <w:vMerge w:val="continue"/>
            <w:tcBorders>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586" w:lineRule="exact"/>
              <w:jc w:val="center"/>
              <w:textAlignment w:val="auto"/>
              <w:rPr>
                <w:rFonts w:eastAsia="仿宋_GB2312"/>
                <w:color w:val="auto"/>
                <w:kern w:val="0"/>
                <w:sz w:val="32"/>
                <w:szCs w:val="32"/>
              </w:rPr>
            </w:pPr>
          </w:p>
        </w:tc>
        <w:tc>
          <w:tcPr>
            <w:tcW w:w="37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586" w:lineRule="exact"/>
              <w:jc w:val="center"/>
              <w:textAlignment w:val="auto"/>
              <w:rPr>
                <w:rFonts w:eastAsia="仿宋_GB2312"/>
                <w:color w:val="auto"/>
                <w:kern w:val="0"/>
                <w:sz w:val="32"/>
                <w:szCs w:val="32"/>
              </w:rPr>
            </w:pPr>
            <w:r>
              <w:rPr>
                <w:rFonts w:hint="eastAsia" w:eastAsia="仿宋_GB2312"/>
                <w:color w:val="auto"/>
                <w:kern w:val="0"/>
                <w:sz w:val="32"/>
                <w:szCs w:val="32"/>
              </w:rPr>
              <w:t>其它建设用地按其它农用地补偿</w:t>
            </w:r>
          </w:p>
        </w:tc>
        <w:tc>
          <w:tcPr>
            <w:tcW w:w="18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18884</w:t>
            </w:r>
          </w:p>
        </w:tc>
        <w:tc>
          <w:tcPr>
            <w:tcW w:w="17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28326</w:t>
            </w:r>
          </w:p>
        </w:tc>
        <w:tc>
          <w:tcPr>
            <w:tcW w:w="1488"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47210</w:t>
            </w:r>
          </w:p>
        </w:tc>
      </w:tr>
      <w:tr>
        <w:tblPrEx>
          <w:tblCellMar>
            <w:top w:w="0" w:type="dxa"/>
            <w:left w:w="108" w:type="dxa"/>
            <w:bottom w:w="0" w:type="dxa"/>
            <w:right w:w="108" w:type="dxa"/>
          </w:tblCellMar>
        </w:tblPrEx>
        <w:trPr>
          <w:trHeight w:val="286" w:hRule="atLeast"/>
        </w:trPr>
        <w:tc>
          <w:tcPr>
            <w:tcW w:w="3227"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hint="eastAsia" w:eastAsia="仿宋_GB2312"/>
                <w:color w:val="auto"/>
                <w:kern w:val="0"/>
                <w:sz w:val="32"/>
                <w:szCs w:val="32"/>
              </w:rPr>
              <w:t>未利用地</w:t>
            </w:r>
          </w:p>
        </w:tc>
        <w:tc>
          <w:tcPr>
            <w:tcW w:w="4678" w:type="dxa"/>
            <w:gridSpan w:val="3"/>
            <w:tcBorders>
              <w:top w:val="nil"/>
              <w:left w:val="nil"/>
              <w:bottom w:val="single" w:color="auto" w:sz="8" w:space="0"/>
              <w:right w:val="single" w:color="auto" w:sz="4" w:space="0"/>
            </w:tcBorders>
            <w:vAlign w:val="center"/>
          </w:tcPr>
          <w:p>
            <w:pPr>
              <w:keepNext w:val="0"/>
              <w:keepLines w:val="0"/>
              <w:pageBreakBefore w:val="0"/>
              <w:kinsoku/>
              <w:wordWrap/>
              <w:overflowPunct/>
              <w:topLinePunct w:val="0"/>
              <w:bidi w:val="0"/>
              <w:snapToGrid/>
              <w:spacing w:line="586" w:lineRule="exact"/>
              <w:textAlignment w:val="auto"/>
              <w:rPr>
                <w:rFonts w:eastAsia="仿宋_GB2312"/>
                <w:color w:val="auto"/>
                <w:kern w:val="0"/>
                <w:sz w:val="32"/>
                <w:szCs w:val="32"/>
              </w:rPr>
            </w:pPr>
            <w:r>
              <w:rPr>
                <w:rFonts w:hint="eastAsia" w:eastAsia="仿宋_GB2312"/>
                <w:color w:val="auto"/>
                <w:kern w:val="0"/>
                <w:sz w:val="32"/>
                <w:szCs w:val="32"/>
              </w:rPr>
              <w:t>按农用地补偿标准的</w:t>
            </w:r>
            <w:r>
              <w:rPr>
                <w:rFonts w:eastAsia="仿宋_GB2312"/>
                <w:color w:val="auto"/>
                <w:kern w:val="0"/>
                <w:sz w:val="32"/>
                <w:szCs w:val="32"/>
              </w:rPr>
              <w:t>0.4</w:t>
            </w:r>
            <w:r>
              <w:rPr>
                <w:rFonts w:hint="eastAsia" w:eastAsia="仿宋_GB2312"/>
                <w:color w:val="auto"/>
                <w:kern w:val="0"/>
                <w:sz w:val="32"/>
                <w:szCs w:val="32"/>
              </w:rPr>
              <w:t>倍补偿</w:t>
            </w:r>
          </w:p>
        </w:tc>
        <w:tc>
          <w:tcPr>
            <w:tcW w:w="1488" w:type="dxa"/>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bidi w:val="0"/>
              <w:snapToGrid/>
              <w:spacing w:line="586" w:lineRule="exact"/>
              <w:jc w:val="center"/>
              <w:textAlignment w:val="auto"/>
              <w:rPr>
                <w:rFonts w:eastAsia="仿宋_GB2312"/>
                <w:color w:val="auto"/>
                <w:kern w:val="0"/>
                <w:sz w:val="32"/>
                <w:szCs w:val="32"/>
              </w:rPr>
            </w:pPr>
            <w:r>
              <w:rPr>
                <w:rFonts w:eastAsia="仿宋_GB2312"/>
                <w:color w:val="auto"/>
                <w:kern w:val="0"/>
                <w:sz w:val="32"/>
                <w:szCs w:val="32"/>
              </w:rPr>
              <w:t>18884</w:t>
            </w:r>
          </w:p>
        </w:tc>
      </w:tr>
    </w:tbl>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收回国有土地补偿标准</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sz w:val="32"/>
          <w:szCs w:val="32"/>
        </w:rPr>
        <w:t>根据《中华人民共和国土地管理法》和《广西壮族自治区实施〈中华人民共和国土地管理法〉办法》第五十六条规定：</w:t>
      </w:r>
      <w:r>
        <w:rPr>
          <w:rFonts w:eastAsia="仿宋_GB2312"/>
          <w:color w:val="auto"/>
          <w:sz w:val="32"/>
          <w:szCs w:val="32"/>
        </w:rPr>
        <w:t>“</w:t>
      </w:r>
      <w:r>
        <w:rPr>
          <w:rFonts w:hint="eastAsia" w:eastAsia="仿宋_GB2312"/>
          <w:color w:val="auto"/>
          <w:sz w:val="32"/>
          <w:szCs w:val="32"/>
        </w:rPr>
        <w:t>建设项目依法使用国有农、林、牧、</w:t>
      </w:r>
      <w:r>
        <w:rPr>
          <w:rFonts w:hint="eastAsia"/>
          <w:color w:val="auto"/>
          <w:sz w:val="32"/>
          <w:szCs w:val="32"/>
          <w:lang w:val="en-US" w:eastAsia="zh-CN"/>
        </w:rPr>
        <w:t>渔</w:t>
      </w:r>
      <w:bookmarkStart w:id="0" w:name="_GoBack"/>
      <w:bookmarkEnd w:id="0"/>
      <w:r>
        <w:rPr>
          <w:rFonts w:hint="eastAsia" w:eastAsia="仿宋_GB2312"/>
          <w:color w:val="auto"/>
          <w:sz w:val="32"/>
          <w:szCs w:val="32"/>
        </w:rPr>
        <w:t>场等国有土地的，土地补偿费、安置补助费为征用当地同类集体土地的土地补偿费、安置补助费</w:t>
      </w:r>
      <w:r>
        <w:rPr>
          <w:rFonts w:hint="eastAsia" w:eastAsia="仿宋_GB2312"/>
          <w:color w:val="auto"/>
          <w:spacing w:val="-6"/>
          <w:sz w:val="32"/>
          <w:szCs w:val="32"/>
        </w:rPr>
        <w:t>的</w:t>
      </w:r>
      <w:r>
        <w:rPr>
          <w:rFonts w:eastAsia="仿宋_GB2312"/>
          <w:color w:val="auto"/>
          <w:spacing w:val="-6"/>
          <w:sz w:val="32"/>
          <w:szCs w:val="32"/>
        </w:rPr>
        <w:t>70</w:t>
      </w:r>
      <w:r>
        <w:rPr>
          <w:rFonts w:hint="eastAsia" w:eastAsia="仿宋_GB2312"/>
          <w:color w:val="auto"/>
          <w:spacing w:val="-6"/>
          <w:sz w:val="32"/>
          <w:szCs w:val="32"/>
        </w:rPr>
        <w:t>％，青苗、地上附作物补偿费按征用集体土地的补偿办法办理</w:t>
      </w:r>
      <w:r>
        <w:rPr>
          <w:rFonts w:eastAsia="仿宋_GB2312"/>
          <w:color w:val="auto"/>
          <w:spacing w:val="-6"/>
          <w:sz w:val="32"/>
          <w:szCs w:val="32"/>
        </w:rPr>
        <w:t>”</w:t>
      </w:r>
      <w:r>
        <w:rPr>
          <w:rFonts w:hint="eastAsia" w:eastAsia="仿宋_GB2312"/>
          <w:color w:val="auto"/>
          <w:spacing w:val="-6"/>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四、青苗补偿</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sz w:val="32"/>
          <w:szCs w:val="32"/>
        </w:rPr>
        <w:t>青苗补偿费标准按照</w:t>
      </w:r>
      <w:r>
        <w:rPr>
          <w:rFonts w:hint="eastAsia" w:eastAsia="仿宋_GB2312"/>
          <w:color w:val="auto"/>
          <w:kern w:val="0"/>
          <w:sz w:val="32"/>
          <w:szCs w:val="32"/>
        </w:rPr>
        <w:t>《龙胜各族自治县人民政府关于印发龙胜各族自治县建设项目地上附着物及青苗补偿标准的通知》（龙政发〔</w:t>
      </w:r>
      <w:r>
        <w:rPr>
          <w:rFonts w:eastAsia="仿宋_GB2312"/>
          <w:color w:val="auto"/>
          <w:kern w:val="0"/>
          <w:sz w:val="32"/>
          <w:szCs w:val="32"/>
        </w:rPr>
        <w:t>2023</w:t>
      </w:r>
      <w:r>
        <w:rPr>
          <w:rFonts w:hint="eastAsia" w:eastAsia="仿宋_GB2312"/>
          <w:color w:val="auto"/>
          <w:kern w:val="0"/>
          <w:sz w:val="32"/>
          <w:szCs w:val="32"/>
        </w:rPr>
        <w:t>〕</w:t>
      </w:r>
      <w:r>
        <w:rPr>
          <w:rFonts w:eastAsia="仿宋_GB2312"/>
          <w:color w:val="auto"/>
          <w:kern w:val="0"/>
          <w:sz w:val="32"/>
          <w:szCs w:val="32"/>
        </w:rPr>
        <w:t>7</w:t>
      </w:r>
      <w:r>
        <w:rPr>
          <w:rFonts w:hint="eastAsia" w:eastAsia="仿宋_GB2312"/>
          <w:color w:val="auto"/>
          <w:kern w:val="0"/>
          <w:sz w:val="32"/>
          <w:szCs w:val="32"/>
        </w:rPr>
        <w:t>号）</w:t>
      </w:r>
      <w:r>
        <w:rPr>
          <w:rFonts w:hint="eastAsia" w:eastAsia="仿宋_GB2312"/>
          <w:color w:val="auto"/>
          <w:sz w:val="32"/>
          <w:szCs w:val="32"/>
        </w:rPr>
        <w:t>文件执行。</w:t>
      </w:r>
    </w:p>
    <w:p>
      <w:pPr>
        <w:keepNext w:val="0"/>
        <w:keepLines w:val="0"/>
        <w:pageBreakBefore w:val="0"/>
        <w:kinsoku/>
        <w:wordWrap/>
        <w:overflowPunct/>
        <w:topLinePunct w:val="0"/>
        <w:bidi w:val="0"/>
        <w:snapToGrid/>
        <w:spacing w:line="58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五、地上附着物补偿</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sz w:val="32"/>
          <w:szCs w:val="32"/>
        </w:rPr>
        <w:t>拆迁补偿标准按照</w:t>
      </w:r>
      <w:r>
        <w:rPr>
          <w:rFonts w:hint="eastAsia" w:eastAsia="仿宋_GB2312"/>
          <w:color w:val="auto"/>
          <w:kern w:val="0"/>
          <w:sz w:val="32"/>
          <w:szCs w:val="32"/>
        </w:rPr>
        <w:t>《龙胜各族自治县人民政府关于印发龙胜各族自治县建设项目地上附着物及青苗补偿标准的通知》（龙政发〔</w:t>
      </w:r>
      <w:r>
        <w:rPr>
          <w:rFonts w:eastAsia="仿宋_GB2312"/>
          <w:color w:val="auto"/>
          <w:kern w:val="0"/>
          <w:sz w:val="32"/>
          <w:szCs w:val="32"/>
        </w:rPr>
        <w:t>2023</w:t>
      </w:r>
      <w:r>
        <w:rPr>
          <w:rFonts w:hint="eastAsia" w:eastAsia="仿宋_GB2312"/>
          <w:color w:val="auto"/>
          <w:kern w:val="0"/>
          <w:sz w:val="32"/>
          <w:szCs w:val="32"/>
        </w:rPr>
        <w:t>〕</w:t>
      </w:r>
      <w:r>
        <w:rPr>
          <w:rFonts w:eastAsia="仿宋_GB2312"/>
          <w:color w:val="auto"/>
          <w:kern w:val="0"/>
          <w:sz w:val="32"/>
          <w:szCs w:val="32"/>
        </w:rPr>
        <w:t>7</w:t>
      </w:r>
      <w:r>
        <w:rPr>
          <w:rFonts w:hint="eastAsia" w:eastAsia="仿宋_GB2312"/>
          <w:color w:val="auto"/>
          <w:kern w:val="0"/>
          <w:sz w:val="32"/>
          <w:szCs w:val="32"/>
        </w:rPr>
        <w:t>号）</w:t>
      </w:r>
      <w:r>
        <w:rPr>
          <w:rFonts w:hint="eastAsia" w:eastAsia="仿宋_GB2312"/>
          <w:color w:val="auto"/>
          <w:sz w:val="32"/>
          <w:szCs w:val="32"/>
        </w:rPr>
        <w:t>文件执行。</w:t>
      </w:r>
    </w:p>
    <w:p>
      <w:pPr>
        <w:keepNext w:val="0"/>
        <w:keepLines w:val="0"/>
        <w:pageBreakBefore w:val="0"/>
        <w:kinsoku/>
        <w:wordWrap/>
        <w:overflowPunct/>
        <w:topLinePunct w:val="0"/>
        <w:bidi w:val="0"/>
        <w:snapToGrid/>
        <w:spacing w:line="58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六、拆迁安置补偿</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kern w:val="0"/>
          <w:sz w:val="32"/>
          <w:szCs w:val="32"/>
        </w:rPr>
        <w:t>（一）</w:t>
      </w:r>
      <w:r>
        <w:rPr>
          <w:rFonts w:hint="eastAsia" w:eastAsia="仿宋_GB2312"/>
          <w:color w:val="auto"/>
          <w:sz w:val="32"/>
          <w:szCs w:val="32"/>
        </w:rPr>
        <w:t>拆迁安置地纳入项目建设用地，要贯彻统一规划，因地制宜，合理安置的原则。安置地选址要少占耕地，不占基本农田，尽量</w:t>
      </w:r>
      <w:r>
        <w:rPr>
          <w:rFonts w:hint="eastAsia" w:eastAsia="仿宋_GB2312"/>
          <w:color w:val="auto"/>
          <w:kern w:val="0"/>
          <w:sz w:val="32"/>
          <w:szCs w:val="32"/>
        </w:rPr>
        <w:t>利用旧宅基地、村内空闲地和荒坡荒地。</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kern w:val="0"/>
          <w:sz w:val="32"/>
          <w:szCs w:val="32"/>
        </w:rPr>
        <w:t>（二）</w:t>
      </w:r>
      <w:r>
        <w:rPr>
          <w:rFonts w:hint="eastAsia" w:eastAsia="仿宋_GB2312"/>
          <w:color w:val="auto"/>
          <w:sz w:val="32"/>
          <w:szCs w:val="32"/>
        </w:rPr>
        <w:t>房屋搬迁安置仅针对住宅型房屋进行安置，安置方式有</w:t>
      </w:r>
      <w:r>
        <w:rPr>
          <w:rFonts w:hint="eastAsia" w:eastAsia="仿宋_GB2312"/>
          <w:color w:val="auto"/>
          <w:kern w:val="0"/>
          <w:sz w:val="32"/>
          <w:szCs w:val="32"/>
        </w:rPr>
        <w:t>货币补偿和</w:t>
      </w:r>
      <w:r>
        <w:rPr>
          <w:rFonts w:hint="eastAsia" w:eastAsia="仿宋_GB2312"/>
          <w:color w:val="auto"/>
          <w:sz w:val="32"/>
          <w:szCs w:val="32"/>
        </w:rPr>
        <w:t>零星搬迁</w:t>
      </w:r>
      <w:r>
        <w:rPr>
          <w:rFonts w:hint="eastAsia" w:eastAsia="仿宋_GB2312"/>
          <w:color w:val="auto"/>
          <w:kern w:val="0"/>
          <w:sz w:val="32"/>
          <w:szCs w:val="32"/>
        </w:rPr>
        <w:t>两种方式：</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货币补偿</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sz w:val="32"/>
          <w:szCs w:val="32"/>
        </w:rPr>
        <w:t>房屋搬迁对象选择货币补偿安置方式的，不再安排安置地建房。</w:t>
      </w:r>
      <w:r>
        <w:rPr>
          <w:rFonts w:hint="eastAsia" w:eastAsia="仿宋_GB2312"/>
          <w:color w:val="auto"/>
          <w:kern w:val="0"/>
          <w:sz w:val="32"/>
          <w:szCs w:val="32"/>
        </w:rPr>
        <w:t>由</w:t>
      </w:r>
      <w:r>
        <w:rPr>
          <w:rFonts w:hint="eastAsia" w:eastAsia="仿宋_GB2312"/>
          <w:color w:val="auto"/>
          <w:sz w:val="32"/>
          <w:szCs w:val="32"/>
        </w:rPr>
        <w:t>县征地拆迁机构在按水田地类补偿标准给予原宅基地土地补偿、安置补助和房屋拆迁补偿的基础上，再按实际征收原宅基地面积每平方米</w:t>
      </w:r>
      <w:r>
        <w:rPr>
          <w:rFonts w:eastAsia="仿宋_GB2312"/>
          <w:color w:val="auto"/>
          <w:sz w:val="32"/>
          <w:szCs w:val="32"/>
        </w:rPr>
        <w:t>200</w:t>
      </w:r>
      <w:r>
        <w:rPr>
          <w:rFonts w:hint="eastAsia" w:eastAsia="仿宋_GB2312"/>
          <w:color w:val="auto"/>
          <w:sz w:val="32"/>
          <w:szCs w:val="32"/>
        </w:rPr>
        <w:t>元的标准另行给予奖励。</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零星搬迁</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kern w:val="0"/>
          <w:sz w:val="32"/>
          <w:szCs w:val="32"/>
        </w:rPr>
      </w:pPr>
      <w:r>
        <w:rPr>
          <w:rFonts w:hint="eastAsia" w:eastAsia="仿宋_GB2312"/>
          <w:color w:val="auto"/>
          <w:sz w:val="32"/>
          <w:szCs w:val="32"/>
        </w:rPr>
        <w:t>房屋搬迁对象选择零星搬迁安置方式的，按照</w:t>
      </w:r>
      <w:r>
        <w:rPr>
          <w:rFonts w:eastAsia="仿宋_GB2312"/>
          <w:color w:val="auto"/>
          <w:sz w:val="32"/>
          <w:szCs w:val="32"/>
        </w:rPr>
        <w:t>“</w:t>
      </w:r>
      <w:r>
        <w:rPr>
          <w:rFonts w:hint="eastAsia" w:eastAsia="仿宋_GB2312"/>
          <w:color w:val="auto"/>
          <w:sz w:val="32"/>
          <w:szCs w:val="32"/>
        </w:rPr>
        <w:t>相对就近</w:t>
      </w:r>
      <w:r>
        <w:rPr>
          <w:rFonts w:eastAsia="仿宋_GB2312"/>
          <w:color w:val="auto"/>
          <w:sz w:val="32"/>
          <w:szCs w:val="32"/>
        </w:rPr>
        <w:t>”</w:t>
      </w:r>
      <w:r>
        <w:rPr>
          <w:rFonts w:hint="eastAsia" w:eastAsia="仿宋_GB2312"/>
          <w:color w:val="auto"/>
          <w:sz w:val="32"/>
          <w:szCs w:val="32"/>
        </w:rPr>
        <w:t>的原则，由搬迁人在本村组集体经济组织土地范围内自行选址，</w:t>
      </w:r>
      <w:r>
        <w:rPr>
          <w:rFonts w:hint="eastAsia" w:eastAsia="仿宋_GB2312"/>
          <w:color w:val="auto"/>
          <w:kern w:val="0"/>
          <w:sz w:val="32"/>
          <w:szCs w:val="32"/>
        </w:rPr>
        <w:t>由</w:t>
      </w:r>
      <w:r>
        <w:rPr>
          <w:rFonts w:hint="eastAsia" w:eastAsia="仿宋_GB2312"/>
          <w:color w:val="auto"/>
          <w:sz w:val="32"/>
          <w:szCs w:val="32"/>
        </w:rPr>
        <w:t>县征地拆迁机构按征收标准给予补偿。选</w:t>
      </w:r>
      <w:r>
        <w:rPr>
          <w:rFonts w:hint="eastAsia" w:eastAsia="仿宋_GB2312"/>
          <w:color w:val="auto"/>
          <w:kern w:val="0"/>
          <w:sz w:val="32"/>
          <w:szCs w:val="32"/>
        </w:rPr>
        <w:t>择零星搬迁安置方式的，征收原宅基地不再进行土地补偿，只补偿房屋拆迁面积。零</w:t>
      </w:r>
      <w:r>
        <w:rPr>
          <w:rFonts w:hint="eastAsia" w:eastAsia="仿宋_GB2312"/>
          <w:color w:val="auto"/>
          <w:sz w:val="32"/>
          <w:szCs w:val="32"/>
        </w:rPr>
        <w:t>星搬迁</w:t>
      </w:r>
      <w:r>
        <w:rPr>
          <w:rFonts w:hint="eastAsia" w:eastAsia="仿宋_GB2312"/>
          <w:color w:val="auto"/>
          <w:kern w:val="0"/>
          <w:sz w:val="32"/>
          <w:szCs w:val="32"/>
        </w:rPr>
        <w:t>安置的</w:t>
      </w:r>
      <w:r>
        <w:rPr>
          <w:rFonts w:hint="eastAsia" w:eastAsia="仿宋_GB2312"/>
          <w:color w:val="auto"/>
          <w:sz w:val="32"/>
          <w:szCs w:val="32"/>
        </w:rPr>
        <w:t>宅基地面积每户</w:t>
      </w:r>
      <w:r>
        <w:rPr>
          <w:rFonts w:hint="eastAsia" w:eastAsia="仿宋_GB2312"/>
          <w:color w:val="auto"/>
          <w:kern w:val="0"/>
          <w:sz w:val="32"/>
          <w:szCs w:val="32"/>
        </w:rPr>
        <w:t>最高不得超过</w:t>
      </w:r>
      <w:r>
        <w:rPr>
          <w:rFonts w:eastAsia="仿宋_GB2312"/>
          <w:color w:val="auto"/>
          <w:kern w:val="0"/>
          <w:sz w:val="32"/>
          <w:szCs w:val="32"/>
        </w:rPr>
        <w:t>150</w:t>
      </w:r>
      <w:r>
        <w:rPr>
          <w:rFonts w:hint="eastAsia" w:eastAsia="仿宋_GB2312"/>
          <w:color w:val="auto"/>
          <w:kern w:val="0"/>
          <w:sz w:val="32"/>
          <w:szCs w:val="32"/>
        </w:rPr>
        <w:t>平方米，征收</w:t>
      </w:r>
      <w:r>
        <w:rPr>
          <w:rFonts w:hint="eastAsia" w:eastAsia="仿宋_GB2312"/>
          <w:color w:val="auto"/>
          <w:sz w:val="32"/>
          <w:szCs w:val="32"/>
        </w:rPr>
        <w:t>原</w:t>
      </w:r>
      <w:r>
        <w:rPr>
          <w:rFonts w:hint="eastAsia" w:eastAsia="仿宋_GB2312"/>
          <w:color w:val="auto"/>
          <w:kern w:val="0"/>
          <w:sz w:val="32"/>
          <w:szCs w:val="32"/>
        </w:rPr>
        <w:t>宅基地面积减去搬迁安置宅基地面积后，</w:t>
      </w:r>
      <w:r>
        <w:rPr>
          <w:rFonts w:hint="eastAsia" w:eastAsia="仿宋_GB2312"/>
          <w:color w:val="auto"/>
          <w:sz w:val="32"/>
          <w:szCs w:val="32"/>
        </w:rPr>
        <w:t>超出部分原</w:t>
      </w:r>
      <w:r>
        <w:rPr>
          <w:rFonts w:hint="eastAsia" w:eastAsia="仿宋_GB2312"/>
          <w:color w:val="auto"/>
          <w:kern w:val="0"/>
          <w:sz w:val="32"/>
          <w:szCs w:val="32"/>
        </w:rPr>
        <w:t>宅基地面积按</w:t>
      </w:r>
      <w:r>
        <w:rPr>
          <w:rFonts w:hint="eastAsia" w:eastAsia="仿宋_GB2312"/>
          <w:color w:val="auto"/>
          <w:sz w:val="32"/>
          <w:szCs w:val="32"/>
        </w:rPr>
        <w:t>水田地类标准给予</w:t>
      </w:r>
      <w:r>
        <w:rPr>
          <w:rFonts w:hint="eastAsia" w:eastAsia="仿宋_GB2312"/>
          <w:color w:val="auto"/>
          <w:kern w:val="0"/>
          <w:sz w:val="32"/>
          <w:szCs w:val="32"/>
        </w:rPr>
        <w:t>补偿。</w:t>
      </w:r>
      <w:r>
        <w:rPr>
          <w:rFonts w:hint="eastAsia" w:eastAsia="仿宋_GB2312"/>
          <w:color w:val="auto"/>
          <w:sz w:val="32"/>
          <w:szCs w:val="32"/>
        </w:rPr>
        <w:t>宅基地</w:t>
      </w:r>
      <w:r>
        <w:rPr>
          <w:rFonts w:hint="eastAsia" w:eastAsia="仿宋_GB2312"/>
          <w:color w:val="auto"/>
          <w:kern w:val="0"/>
          <w:sz w:val="32"/>
          <w:szCs w:val="32"/>
        </w:rPr>
        <w:t>由</w:t>
      </w:r>
      <w:r>
        <w:rPr>
          <w:rFonts w:hint="eastAsia" w:eastAsia="仿宋_GB2312"/>
          <w:color w:val="auto"/>
          <w:sz w:val="32"/>
          <w:szCs w:val="32"/>
        </w:rPr>
        <w:t>搬迁人自行开挖平整，</w:t>
      </w:r>
      <w:r>
        <w:rPr>
          <w:rFonts w:hint="eastAsia" w:eastAsia="仿宋_GB2312"/>
          <w:color w:val="auto"/>
          <w:kern w:val="0"/>
          <w:sz w:val="32"/>
          <w:szCs w:val="32"/>
        </w:rPr>
        <w:t>由</w:t>
      </w:r>
      <w:r>
        <w:rPr>
          <w:rFonts w:hint="eastAsia" w:eastAsia="仿宋_GB2312"/>
          <w:color w:val="auto"/>
          <w:sz w:val="32"/>
          <w:szCs w:val="32"/>
        </w:rPr>
        <w:t>县征地拆迁机构按</w:t>
      </w:r>
      <w:r>
        <w:rPr>
          <w:rFonts w:hint="eastAsia" w:eastAsia="仿宋_GB2312"/>
          <w:color w:val="auto"/>
          <w:kern w:val="0"/>
          <w:sz w:val="32"/>
          <w:szCs w:val="32"/>
        </w:rPr>
        <w:t>每户一次性补助</w:t>
      </w:r>
      <w:r>
        <w:rPr>
          <w:rFonts w:eastAsia="仿宋_GB2312"/>
          <w:color w:val="auto"/>
          <w:kern w:val="0"/>
          <w:sz w:val="32"/>
          <w:szCs w:val="32"/>
        </w:rPr>
        <w:t>5000</w:t>
      </w:r>
      <w:r>
        <w:rPr>
          <w:rFonts w:hint="eastAsia" w:eastAsia="仿宋_GB2312"/>
          <w:color w:val="auto"/>
          <w:kern w:val="0"/>
          <w:sz w:val="32"/>
          <w:szCs w:val="32"/>
        </w:rPr>
        <w:t>元基础设施建设费</w:t>
      </w:r>
      <w:r>
        <w:rPr>
          <w:rFonts w:hint="eastAsia" w:eastAsia="仿宋_GB2312"/>
          <w:color w:val="auto"/>
          <w:sz w:val="32"/>
          <w:szCs w:val="32"/>
        </w:rPr>
        <w:t>，</w:t>
      </w:r>
      <w:r>
        <w:rPr>
          <w:rFonts w:hint="eastAsia" w:eastAsia="仿宋_GB2312"/>
          <w:color w:val="auto"/>
          <w:kern w:val="0"/>
          <w:sz w:val="32"/>
          <w:szCs w:val="32"/>
        </w:rPr>
        <w:t>水电恢复到拆迁户门口。</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kern w:val="0"/>
          <w:sz w:val="32"/>
          <w:szCs w:val="32"/>
        </w:rPr>
      </w:pPr>
      <w:r>
        <w:rPr>
          <w:rFonts w:hint="eastAsia" w:eastAsia="仿宋_GB2312"/>
          <w:color w:val="auto"/>
          <w:kern w:val="0"/>
          <w:sz w:val="32"/>
          <w:szCs w:val="32"/>
        </w:rPr>
        <w:t>（三）被搬迁户安置房屋办理不动产证，只收取证件工本费。办证测量费由</w:t>
      </w:r>
      <w:r>
        <w:rPr>
          <w:rFonts w:hint="eastAsia" w:eastAsia="仿宋_GB2312"/>
          <w:color w:val="auto"/>
          <w:sz w:val="32"/>
          <w:szCs w:val="32"/>
        </w:rPr>
        <w:t>县征地拆迁机构</w:t>
      </w:r>
      <w:r>
        <w:rPr>
          <w:rFonts w:hint="eastAsia" w:eastAsia="仿宋_GB2312"/>
          <w:color w:val="auto"/>
          <w:kern w:val="0"/>
          <w:sz w:val="32"/>
          <w:szCs w:val="32"/>
        </w:rPr>
        <w:t>承担。</w:t>
      </w:r>
    </w:p>
    <w:p>
      <w:pPr>
        <w:keepNext w:val="0"/>
        <w:keepLines w:val="0"/>
        <w:pageBreakBefore w:val="0"/>
        <w:kinsoku/>
        <w:wordWrap/>
        <w:overflowPunct/>
        <w:topLinePunct w:val="0"/>
        <w:bidi w:val="0"/>
        <w:snapToGrid/>
        <w:spacing w:line="586" w:lineRule="exact"/>
        <w:ind w:firstLine="640" w:firstLineChars="200"/>
        <w:textAlignment w:val="auto"/>
        <w:rPr>
          <w:rFonts w:hint="eastAsia" w:eastAsia="仿宋_GB2312"/>
          <w:color w:val="auto"/>
          <w:sz w:val="32"/>
          <w:szCs w:val="32"/>
        </w:rPr>
      </w:pPr>
      <w:r>
        <w:rPr>
          <w:rFonts w:hint="eastAsia" w:eastAsia="仿宋_GB2312"/>
          <w:color w:val="auto"/>
          <w:kern w:val="0"/>
          <w:sz w:val="32"/>
          <w:szCs w:val="32"/>
        </w:rPr>
        <w:t>（四）交通运输、水利、市政等设施，或</w:t>
      </w:r>
      <w:r>
        <w:rPr>
          <w:rFonts w:hint="eastAsia" w:eastAsia="仿宋_GB2312"/>
          <w:color w:val="auto"/>
          <w:sz w:val="32"/>
          <w:szCs w:val="32"/>
        </w:rPr>
        <w:t>具有相当规模、内容复杂或补偿投资较大的地上（下）附着物（含国防光缆、电力、通讯、广播电视网络）的拆迁补偿，</w:t>
      </w:r>
      <w:r>
        <w:rPr>
          <w:rFonts w:hint="eastAsia" w:eastAsia="仿宋_GB2312"/>
          <w:color w:val="auto"/>
          <w:kern w:val="0"/>
          <w:sz w:val="32"/>
          <w:szCs w:val="32"/>
        </w:rPr>
        <w:t>按照恢复原用途、原规模、原标准原则，由项目业主会同县征地拆迁机构与产权单位协商补偿，或委托具有资质的中介机构进行评估作为拆迁补偿的依据。对评估成果有异议的，可组织有关专家评审。评估价</w:t>
      </w:r>
      <w:r>
        <w:rPr>
          <w:rFonts w:hint="eastAsia" w:eastAsia="仿宋_GB2312"/>
          <w:color w:val="auto"/>
          <w:sz w:val="32"/>
          <w:szCs w:val="32"/>
        </w:rPr>
        <w:t>以不突破迁建成本为限，并适当考虑旧物利用。</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kern w:val="0"/>
          <w:sz w:val="32"/>
          <w:szCs w:val="32"/>
        </w:rPr>
      </w:pPr>
      <w:r>
        <w:rPr>
          <w:rFonts w:hint="eastAsia" w:eastAsia="仿宋_GB2312"/>
          <w:color w:val="auto"/>
          <w:kern w:val="0"/>
          <w:sz w:val="32"/>
          <w:szCs w:val="32"/>
        </w:rPr>
        <w:t>（五）电力、通讯、广播电视、</w:t>
      </w:r>
      <w:r>
        <w:rPr>
          <w:rFonts w:eastAsia="仿宋_GB2312"/>
          <w:color w:val="auto"/>
          <w:kern w:val="0"/>
          <w:sz w:val="32"/>
          <w:szCs w:val="32"/>
        </w:rPr>
        <w:t>“</w:t>
      </w:r>
      <w:r>
        <w:rPr>
          <w:rFonts w:hint="eastAsia" w:eastAsia="仿宋_GB2312"/>
          <w:color w:val="auto"/>
          <w:kern w:val="0"/>
          <w:sz w:val="32"/>
          <w:szCs w:val="32"/>
        </w:rPr>
        <w:t>三杆</w:t>
      </w:r>
      <w:r>
        <w:rPr>
          <w:rFonts w:eastAsia="仿宋_GB2312"/>
          <w:color w:val="auto"/>
          <w:kern w:val="0"/>
          <w:sz w:val="32"/>
          <w:szCs w:val="32"/>
        </w:rPr>
        <w:t>”</w:t>
      </w:r>
      <w:r>
        <w:rPr>
          <w:rFonts w:hint="eastAsia" w:eastAsia="仿宋_GB2312"/>
          <w:color w:val="auto"/>
          <w:kern w:val="0"/>
          <w:sz w:val="32"/>
          <w:szCs w:val="32"/>
        </w:rPr>
        <w:t>的搬迁及所有管道搬迁，按照</w:t>
      </w:r>
      <w:r>
        <w:rPr>
          <w:rFonts w:eastAsia="仿宋_GB2312"/>
          <w:color w:val="auto"/>
          <w:kern w:val="0"/>
          <w:sz w:val="32"/>
          <w:szCs w:val="32"/>
        </w:rPr>
        <w:t>“</w:t>
      </w:r>
      <w:r>
        <w:rPr>
          <w:rFonts w:hint="eastAsia" w:eastAsia="仿宋_GB2312"/>
          <w:color w:val="auto"/>
          <w:sz w:val="32"/>
          <w:szCs w:val="32"/>
        </w:rPr>
        <w:t>谁主管，谁使用，谁负责</w:t>
      </w:r>
      <w:r>
        <w:rPr>
          <w:rFonts w:eastAsia="仿宋_GB2312"/>
          <w:color w:val="auto"/>
          <w:kern w:val="0"/>
          <w:sz w:val="32"/>
          <w:szCs w:val="32"/>
        </w:rPr>
        <w:t>”</w:t>
      </w:r>
      <w:r>
        <w:rPr>
          <w:rFonts w:hint="eastAsia" w:eastAsia="仿宋_GB2312"/>
          <w:color w:val="auto"/>
          <w:kern w:val="0"/>
          <w:sz w:val="32"/>
          <w:szCs w:val="32"/>
        </w:rPr>
        <w:t>的原则，由业主方或原产权单位沟通负责搬迁，按有关规定给予补偿。</w: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textAlignment w:val="auto"/>
        <w:rPr>
          <w:rFonts w:eastAsia="仿宋_GB2312"/>
          <w:color w:val="auto"/>
          <w:kern w:val="0"/>
          <w:sz w:val="32"/>
          <w:szCs w:val="32"/>
        </w:rPr>
      </w:pPr>
      <w:r>
        <w:rPr>
          <w:rFonts w:hint="eastAsia" w:eastAsia="仿宋_GB2312"/>
          <w:color w:val="auto"/>
          <w:kern w:val="0"/>
          <w:sz w:val="32"/>
          <w:szCs w:val="32"/>
        </w:rPr>
        <w:t>（六）涉及厂矿企业、仓储、商业服务等生产经营设施的搬（拆）迁，由项目业主会同县征地拆迁机构与产权单位人按现行的有关规定协商</w:t>
      </w:r>
      <w:r>
        <w:rPr>
          <w:rFonts w:hint="eastAsia" w:eastAsia="仿宋_GB2312"/>
          <w:color w:val="auto"/>
          <w:sz w:val="32"/>
          <w:szCs w:val="32"/>
        </w:rPr>
        <w:t>确定</w:t>
      </w:r>
      <w:r>
        <w:rPr>
          <w:rFonts w:hint="eastAsia" w:eastAsia="仿宋_GB2312"/>
          <w:color w:val="auto"/>
          <w:kern w:val="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kern w:val="0"/>
          <w:sz w:val="32"/>
          <w:szCs w:val="32"/>
        </w:rPr>
        <w:t>（七）</w:t>
      </w:r>
      <w:r>
        <w:rPr>
          <w:rFonts w:hint="eastAsia" w:eastAsia="仿宋_GB2312"/>
          <w:color w:val="auto"/>
          <w:sz w:val="32"/>
          <w:szCs w:val="32"/>
        </w:rPr>
        <w:t>因施工造成红线外公路、道路、水利、人畜饮水、码头等设施损坏的，由施工单位按照</w:t>
      </w:r>
      <w:r>
        <w:rPr>
          <w:rFonts w:hint="eastAsia" w:eastAsia="仿宋_GB2312"/>
          <w:color w:val="auto"/>
          <w:kern w:val="0"/>
          <w:sz w:val="32"/>
          <w:szCs w:val="32"/>
        </w:rPr>
        <w:t>原用途、原规模、原标准</w:t>
      </w:r>
      <w:r>
        <w:rPr>
          <w:rFonts w:hint="eastAsia" w:eastAsia="仿宋_GB2312"/>
          <w:color w:val="auto"/>
          <w:sz w:val="32"/>
          <w:szCs w:val="32"/>
        </w:rPr>
        <w:t>恢复重建。</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kern w:val="0"/>
          <w:sz w:val="32"/>
          <w:szCs w:val="32"/>
        </w:rPr>
        <w:t>（八）</w:t>
      </w:r>
      <w:r>
        <w:rPr>
          <w:rFonts w:hint="eastAsia" w:eastAsia="仿宋_GB2312"/>
          <w:color w:val="auto"/>
          <w:sz w:val="32"/>
          <w:szCs w:val="32"/>
        </w:rPr>
        <w:t>搬迁对象不配合调查或拒不签字确认的，由征地拆迁机构采取照相、摄像等方式取证，并将取证结果予以公证。确认或取证结果（包括文字、表格、有关数据、现场照</w:t>
      </w:r>
      <w:r>
        <w:rPr>
          <w:rFonts w:hint="eastAsia" w:eastAsia="仿宋_GB2312"/>
          <w:color w:val="auto"/>
          <w:sz w:val="32"/>
          <w:szCs w:val="32"/>
          <w:lang w:eastAsia="zh-CN"/>
        </w:rPr>
        <w:t>片</w:t>
      </w:r>
      <w:r>
        <w:rPr>
          <w:rFonts w:hint="eastAsia" w:eastAsia="仿宋_GB2312"/>
          <w:color w:val="auto"/>
          <w:sz w:val="32"/>
          <w:szCs w:val="32"/>
        </w:rPr>
        <w:t>及摄像资料、相关证明材料等）作为房屋拆迁补偿安置的依据。</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kern w:val="0"/>
          <w:sz w:val="32"/>
          <w:szCs w:val="32"/>
        </w:rPr>
      </w:pPr>
      <w:r>
        <w:rPr>
          <w:rFonts w:hint="eastAsia" w:eastAsia="仿宋_GB2312"/>
          <w:color w:val="auto"/>
          <w:kern w:val="0"/>
          <w:sz w:val="32"/>
          <w:szCs w:val="32"/>
        </w:rPr>
        <w:t>（九）所有拆迁均按自拆自建的方式进行，搬迁过程中要注意安全，确保拆迁按期完成。逾期不搬迁严重影响工程建设的，将依照</w:t>
      </w:r>
      <w:r>
        <w:rPr>
          <w:rFonts w:hint="eastAsia" w:eastAsia="仿宋_GB2312"/>
          <w:color w:val="auto"/>
          <w:sz w:val="32"/>
          <w:szCs w:val="32"/>
        </w:rPr>
        <w:t>有关规定依法办理</w:t>
      </w:r>
      <w:r>
        <w:rPr>
          <w:rFonts w:hint="eastAsia" w:eastAsia="仿宋_GB2312"/>
          <w:color w:val="auto"/>
          <w:kern w:val="0"/>
          <w:sz w:val="32"/>
          <w:szCs w:val="32"/>
        </w:rPr>
        <w:t>。</w:t>
      </w:r>
    </w:p>
    <w:p>
      <w:pPr>
        <w:keepNext w:val="0"/>
        <w:keepLines w:val="0"/>
        <w:pageBreakBefore w:val="0"/>
        <w:kinsoku/>
        <w:wordWrap/>
        <w:overflowPunct/>
        <w:topLinePunct w:val="0"/>
        <w:bidi w:val="0"/>
        <w:snapToGrid/>
        <w:spacing w:line="58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七、被征地农民的社会保障</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sz w:val="32"/>
          <w:szCs w:val="32"/>
        </w:rPr>
        <w:t>按照《广西壮族自治区被征地农民参加基本养老保险制度的指导意见》（桂人社发〔</w:t>
      </w:r>
      <w:r>
        <w:rPr>
          <w:rFonts w:eastAsia="仿宋_GB2312"/>
          <w:color w:val="auto"/>
          <w:sz w:val="32"/>
          <w:szCs w:val="32"/>
        </w:rPr>
        <w:t>2016</w:t>
      </w:r>
      <w:r>
        <w:rPr>
          <w:rFonts w:hint="eastAsia" w:eastAsia="仿宋_GB2312"/>
          <w:color w:val="auto"/>
          <w:sz w:val="32"/>
          <w:szCs w:val="32"/>
        </w:rPr>
        <w:t>〕</w:t>
      </w:r>
      <w:r>
        <w:rPr>
          <w:rFonts w:eastAsia="仿宋_GB2312"/>
          <w:color w:val="auto"/>
          <w:sz w:val="32"/>
          <w:szCs w:val="32"/>
        </w:rPr>
        <w:t>46</w:t>
      </w:r>
      <w:r>
        <w:rPr>
          <w:rFonts w:hint="eastAsia" w:eastAsia="仿宋_GB2312"/>
          <w:color w:val="auto"/>
          <w:sz w:val="32"/>
          <w:szCs w:val="32"/>
        </w:rPr>
        <w:t>号）《广西壮族自治区被征地农民参加基本养老保险实施细则》（桂人社发〔</w:t>
      </w:r>
      <w:r>
        <w:rPr>
          <w:rFonts w:eastAsia="仿宋_GB2312"/>
          <w:color w:val="auto"/>
          <w:sz w:val="32"/>
          <w:szCs w:val="32"/>
        </w:rPr>
        <w:t>2017</w:t>
      </w:r>
      <w:r>
        <w:rPr>
          <w:rFonts w:hint="eastAsia" w:eastAsia="仿宋_GB2312"/>
          <w:color w:val="auto"/>
          <w:sz w:val="32"/>
          <w:szCs w:val="32"/>
        </w:rPr>
        <w:t>〕</w:t>
      </w:r>
      <w:r>
        <w:rPr>
          <w:rFonts w:eastAsia="仿宋_GB2312"/>
          <w:color w:val="auto"/>
          <w:sz w:val="32"/>
          <w:szCs w:val="32"/>
        </w:rPr>
        <w:t>23</w:t>
      </w:r>
      <w:r>
        <w:rPr>
          <w:rFonts w:hint="eastAsia" w:eastAsia="仿宋_GB2312"/>
          <w:color w:val="auto"/>
          <w:sz w:val="32"/>
          <w:szCs w:val="32"/>
        </w:rPr>
        <w:t>号）以及《广西壮族自治区人力资源和社会保障局等</w:t>
      </w:r>
      <w:r>
        <w:rPr>
          <w:rFonts w:eastAsia="仿宋_GB2312"/>
          <w:color w:val="auto"/>
          <w:sz w:val="32"/>
          <w:szCs w:val="32"/>
        </w:rPr>
        <w:t>6</w:t>
      </w:r>
      <w:r>
        <w:rPr>
          <w:rFonts w:hint="eastAsia" w:eastAsia="仿宋_GB2312"/>
          <w:color w:val="auto"/>
          <w:sz w:val="32"/>
          <w:szCs w:val="32"/>
        </w:rPr>
        <w:t>部门关于进一步做好被征地农民参加基本养老保险有关工作的通知》（桂人社规〔</w:t>
      </w:r>
      <w:r>
        <w:rPr>
          <w:rFonts w:eastAsia="仿宋_GB2312"/>
          <w:color w:val="auto"/>
          <w:sz w:val="32"/>
          <w:szCs w:val="32"/>
        </w:rPr>
        <w:t>2022</w:t>
      </w:r>
      <w:r>
        <w:rPr>
          <w:rFonts w:hint="eastAsia" w:eastAsia="仿宋_GB2312"/>
          <w:color w:val="auto"/>
          <w:sz w:val="32"/>
          <w:szCs w:val="32"/>
        </w:rPr>
        <w:t>〕</w:t>
      </w:r>
      <w:r>
        <w:rPr>
          <w:rFonts w:eastAsia="仿宋_GB2312"/>
          <w:color w:val="auto"/>
          <w:sz w:val="32"/>
          <w:szCs w:val="32"/>
        </w:rPr>
        <w:t>2</w:t>
      </w:r>
      <w:r>
        <w:rPr>
          <w:rFonts w:hint="eastAsia" w:eastAsia="仿宋_GB2312"/>
          <w:color w:val="auto"/>
          <w:sz w:val="32"/>
          <w:szCs w:val="32"/>
        </w:rPr>
        <w:t>号）文件执行。</w:t>
      </w:r>
    </w:p>
    <w:p>
      <w:pPr>
        <w:keepNext w:val="0"/>
        <w:keepLines w:val="0"/>
        <w:pageBreakBefore w:val="0"/>
        <w:kinsoku/>
        <w:wordWrap/>
        <w:overflowPunct/>
        <w:topLinePunct w:val="0"/>
        <w:bidi w:val="0"/>
        <w:snapToGrid/>
        <w:spacing w:line="58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（一）范围和对象</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sz w:val="32"/>
          <w:szCs w:val="32"/>
        </w:rPr>
        <w:t>被征地农民，是指桂人社发〔</w:t>
      </w:r>
      <w:r>
        <w:rPr>
          <w:rFonts w:eastAsia="仿宋_GB2312"/>
          <w:color w:val="auto"/>
          <w:sz w:val="32"/>
          <w:szCs w:val="32"/>
        </w:rPr>
        <w:t>2016</w:t>
      </w:r>
      <w:r>
        <w:rPr>
          <w:rFonts w:hint="eastAsia" w:eastAsia="仿宋_GB2312"/>
          <w:color w:val="auto"/>
          <w:sz w:val="32"/>
          <w:szCs w:val="32"/>
        </w:rPr>
        <w:t>〕</w:t>
      </w:r>
      <w:r>
        <w:rPr>
          <w:rFonts w:eastAsia="仿宋_GB2312"/>
          <w:color w:val="auto"/>
          <w:sz w:val="32"/>
          <w:szCs w:val="32"/>
        </w:rPr>
        <w:t>46</w:t>
      </w:r>
      <w:r>
        <w:rPr>
          <w:rFonts w:hint="eastAsia" w:eastAsia="仿宋_GB2312"/>
          <w:color w:val="auto"/>
          <w:sz w:val="32"/>
          <w:szCs w:val="32"/>
        </w:rPr>
        <w:t>号文件实施后，在本</w:t>
      </w:r>
      <w:r>
        <w:rPr>
          <w:rFonts w:hint="eastAsia" w:eastAsia="仿宋_GB2312"/>
          <w:b w:val="0"/>
          <w:bCs w:val="0"/>
          <w:color w:val="auto"/>
          <w:sz w:val="32"/>
          <w:szCs w:val="32"/>
          <w:lang w:eastAsia="zh-CN"/>
        </w:rPr>
        <w:t>自治区</w:t>
      </w:r>
      <w:r>
        <w:rPr>
          <w:rFonts w:hint="eastAsia" w:eastAsia="仿宋_GB2312"/>
          <w:color w:val="auto"/>
          <w:sz w:val="32"/>
          <w:szCs w:val="32"/>
        </w:rPr>
        <w:t>行政区域内，因政府依法统一征收农村集体土地而失地，且在征地时享有农村集体土地承包权的</w:t>
      </w:r>
      <w:r>
        <w:rPr>
          <w:rFonts w:eastAsia="仿宋_GB2312"/>
          <w:color w:val="auto"/>
          <w:sz w:val="32"/>
          <w:szCs w:val="32"/>
        </w:rPr>
        <w:t>16</w:t>
      </w:r>
      <w:r>
        <w:rPr>
          <w:rFonts w:hint="eastAsia" w:eastAsia="仿宋_GB2312"/>
          <w:color w:val="auto"/>
          <w:sz w:val="32"/>
          <w:szCs w:val="32"/>
        </w:rPr>
        <w:t>周岁以上（含</w:t>
      </w:r>
      <w:r>
        <w:rPr>
          <w:rFonts w:eastAsia="仿宋_GB2312"/>
          <w:color w:val="auto"/>
          <w:sz w:val="32"/>
          <w:szCs w:val="32"/>
        </w:rPr>
        <w:t>16</w:t>
      </w:r>
      <w:r>
        <w:rPr>
          <w:rFonts w:hint="eastAsia" w:eastAsia="仿宋_GB2312"/>
          <w:color w:val="auto"/>
          <w:sz w:val="32"/>
          <w:szCs w:val="32"/>
        </w:rPr>
        <w:t>周岁）在册人口。</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sz w:val="32"/>
          <w:szCs w:val="32"/>
        </w:rPr>
        <w:t>被征地农民的年龄、人均征地面积和具体人数的确定以有土地征收审批权限的人民政府依法批准土地征收之日为基准日。</w:t>
      </w:r>
    </w:p>
    <w:p>
      <w:pPr>
        <w:keepNext w:val="0"/>
        <w:keepLines w:val="0"/>
        <w:pageBreakBefore w:val="0"/>
        <w:kinsoku/>
        <w:wordWrap/>
        <w:overflowPunct/>
        <w:topLinePunct w:val="0"/>
        <w:bidi w:val="0"/>
        <w:snapToGrid/>
        <w:spacing w:line="58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（二）基准日</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2022</w:t>
      </w:r>
      <w:r>
        <w:rPr>
          <w:rFonts w:hint="eastAsia" w:eastAsia="仿宋_GB2312"/>
          <w:color w:val="auto"/>
          <w:sz w:val="32"/>
          <w:szCs w:val="32"/>
        </w:rPr>
        <w:t>年</w:t>
      </w:r>
      <w:r>
        <w:rPr>
          <w:rFonts w:eastAsia="仿宋_GB2312"/>
          <w:color w:val="auto"/>
          <w:sz w:val="32"/>
          <w:szCs w:val="32"/>
        </w:rPr>
        <w:t>1</w:t>
      </w:r>
      <w:r>
        <w:rPr>
          <w:rFonts w:hint="eastAsia" w:eastAsia="仿宋_GB2312"/>
          <w:color w:val="auto"/>
          <w:sz w:val="32"/>
          <w:szCs w:val="32"/>
        </w:rPr>
        <w:t>月</w:t>
      </w:r>
      <w:r>
        <w:rPr>
          <w:rFonts w:eastAsia="仿宋_GB2312"/>
          <w:color w:val="auto"/>
          <w:sz w:val="32"/>
          <w:szCs w:val="32"/>
        </w:rPr>
        <w:t>1</w:t>
      </w:r>
      <w:r>
        <w:rPr>
          <w:rFonts w:hint="eastAsia" w:eastAsia="仿宋_GB2312"/>
          <w:color w:val="auto"/>
          <w:sz w:val="32"/>
          <w:szCs w:val="32"/>
        </w:rPr>
        <w:t>日起新征土地项目，将政府征地补偿安置协议签订之日（同一征地项目以首份征地补偿安置协议签订之日为准）确定为被征地农民享受养老保险补贴的基准日。</w:t>
      </w:r>
    </w:p>
    <w:p>
      <w:pPr>
        <w:keepNext w:val="0"/>
        <w:keepLines w:val="0"/>
        <w:pageBreakBefore w:val="0"/>
        <w:kinsoku/>
        <w:wordWrap/>
        <w:overflowPunct/>
        <w:topLinePunct w:val="0"/>
        <w:bidi w:val="0"/>
        <w:snapToGrid/>
        <w:spacing w:line="58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（三）补贴标准</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sz w:val="32"/>
          <w:szCs w:val="32"/>
        </w:rPr>
        <w:t>被征地农民养老保险补贴资金根据征地涉及人数、征地次数、征地规模，按征地项目进行提取和计发。每次征地每户人均最低补贴标准为：征地基准日上年度全区城镇单位在岗职工平均工资的</w:t>
      </w:r>
      <w:r>
        <w:rPr>
          <w:rFonts w:eastAsia="仿宋_GB2312"/>
          <w:color w:val="auto"/>
          <w:sz w:val="32"/>
          <w:szCs w:val="32"/>
        </w:rPr>
        <w:t>60%×</w:t>
      </w:r>
      <w:r>
        <w:rPr>
          <w:rFonts w:hint="eastAsia" w:eastAsia="仿宋_GB2312"/>
          <w:color w:val="auto"/>
          <w:sz w:val="32"/>
          <w:szCs w:val="32"/>
        </w:rPr>
        <w:t>被征地农户人均征地亩数。</w:t>
      </w:r>
    </w:p>
    <w:p>
      <w:pPr>
        <w:keepNext w:val="0"/>
        <w:keepLines w:val="0"/>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olor w:val="auto"/>
          <w:sz w:val="32"/>
          <w:szCs w:val="32"/>
        </w:rPr>
        <w:t>一次或多次征地后，被征地农户人均征地面积累计超过</w:t>
      </w:r>
      <w:r>
        <w:rPr>
          <w:rFonts w:eastAsia="仿宋_GB2312"/>
          <w:color w:val="auto"/>
          <w:sz w:val="32"/>
          <w:szCs w:val="32"/>
        </w:rPr>
        <w:t>8</w:t>
      </w:r>
      <w:r>
        <w:rPr>
          <w:rFonts w:hint="eastAsia" w:eastAsia="仿宋_GB2312"/>
          <w:color w:val="auto"/>
          <w:sz w:val="32"/>
          <w:szCs w:val="32"/>
        </w:rPr>
        <w:t>亩的，超过部分不再计发（征收）养老保险补贴。</w:t>
      </w:r>
      <w:r>
        <w:rPr>
          <w:rFonts w:hint="default" w:ascii="Times New Roman" w:hAnsi="Times New Roman" w:eastAsia="仿宋_GB2312" w:cs="Times New Roman"/>
          <w:b w:val="0"/>
          <w:bCs w:val="0"/>
          <w:color w:val="auto"/>
          <w:sz w:val="32"/>
          <w:szCs w:val="32"/>
        </w:rPr>
        <w:t>土地完全征收时，被征地农户人均征地面积累计不足1亩的，按1亩补足计发(征收)养老保险补贴。</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sz w:val="32"/>
          <w:szCs w:val="32"/>
        </w:rPr>
        <w:t>养老保险补贴只用于被征地农民参加基本养老保险的缴费补助，除已领取基本养老保险待遇人员外，不发给被征地农民个人。被征地农民不参加基本养老保险的，不得享受养老保险补贴。鼓励有条件的村集体经济组织为被征地农民提供参保缴费资助。按照现行的基本养老保险政策规定，被征地农民可自愿参加城乡居民基本养老保险或企业职工基本养老保险，参保后按规定享受养老保险补贴。</w:t>
      </w:r>
      <w:r>
        <w:rPr>
          <w:rFonts w:eastAsia="仿宋_GB2312"/>
          <w:color w:val="auto"/>
          <w:sz w:val="32"/>
          <w:szCs w:val="32"/>
        </w:rPr>
        <w:t xml:space="preserve"> </w:t>
      </w:r>
    </w:p>
    <w:p>
      <w:pPr>
        <w:keepNext w:val="0"/>
        <w:keepLines w:val="0"/>
        <w:pageBreakBefore w:val="0"/>
        <w:kinsoku/>
        <w:wordWrap/>
        <w:overflowPunct/>
        <w:topLinePunct w:val="0"/>
        <w:bidi w:val="0"/>
        <w:snapToGrid/>
        <w:spacing w:line="58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（四）实施细则</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sz w:val="32"/>
          <w:szCs w:val="32"/>
        </w:rPr>
        <w:t>按照现行的基本养老保险政策规定，被征地农民可自愿选择参加城乡居民基本养老保险或企业职工基本养老保险，参保后按规定享受养老保险补贴。</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1</w:t>
      </w:r>
      <w:r>
        <w:rPr>
          <w:rFonts w:hint="eastAsia" w:eastAsia="仿宋_GB2312"/>
          <w:color w:val="auto"/>
          <w:sz w:val="32"/>
          <w:szCs w:val="32"/>
          <w:lang w:val="en-US" w:eastAsia="zh-CN"/>
        </w:rPr>
        <w:t>.</w:t>
      </w:r>
      <w:r>
        <w:rPr>
          <w:rFonts w:hint="eastAsia" w:eastAsia="仿宋_GB2312"/>
          <w:color w:val="auto"/>
          <w:sz w:val="32"/>
          <w:szCs w:val="32"/>
        </w:rPr>
        <w:t>征地前被征地农民未参加基本养老保险，征地后选择参加城乡居民基本养老保险的，个人所需缴纳的基本养老保险费先从养老保险补贴资金中列支，逐年计入个人账户，养老保险补贴使用完后，由个人全额负担，继续按规定履行个人缴费义务。被征地农民达到符合享受基本养老保险待遇条件时，或者出国（境）定居并丧失国籍的，养老保险补贴用于逐年缴纳基本养老保险费</w:t>
      </w:r>
      <w:r>
        <w:rPr>
          <w:rFonts w:hint="eastAsia" w:eastAsia="仿宋_GB2312"/>
          <w:color w:val="auto"/>
          <w:spacing w:val="-6"/>
          <w:sz w:val="32"/>
          <w:szCs w:val="32"/>
        </w:rPr>
        <w:t>后仍有剩余的，将其养老保险补贴资金余额一次性记入其个人账户。</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2</w:t>
      </w:r>
      <w:r>
        <w:rPr>
          <w:rFonts w:hint="eastAsia" w:eastAsia="仿宋_GB2312"/>
          <w:color w:val="auto"/>
          <w:sz w:val="32"/>
          <w:szCs w:val="32"/>
          <w:lang w:val="en-US" w:eastAsia="zh-CN"/>
        </w:rPr>
        <w:t>.</w:t>
      </w:r>
      <w:r>
        <w:rPr>
          <w:rFonts w:hint="eastAsia" w:eastAsia="仿宋_GB2312"/>
          <w:color w:val="auto"/>
          <w:sz w:val="32"/>
          <w:szCs w:val="32"/>
        </w:rPr>
        <w:t>征地前被征地农民未参加基本养老保险且未在用人单位工作，征地后选择参加企业职工基本养老保险的，可按城镇灵活就业人员参保缴费办法，从申报办理参保登记之月起，个人按时足额缴纳基本养老保险费，不得采取一次性补缴的方式增加缴费年限，所需缴纳的基本养老保险费先从养老保险补贴资金中列支，逐年计入个人账户，养老保险补贴使用完后，由个人全额负担，继续按规定履行个人缴费义务。被征地农民达到符合享受基本养老保险待遇条件时，养老保险补贴用于逐年缴纳基本养老保险费后仍有剩余的，将其养老保险补贴资金余额一次性发放给其本人。</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3</w:t>
      </w:r>
      <w:r>
        <w:rPr>
          <w:rFonts w:hint="eastAsia" w:eastAsia="仿宋_GB2312"/>
          <w:color w:val="auto"/>
          <w:sz w:val="32"/>
          <w:szCs w:val="32"/>
          <w:lang w:val="en-US" w:eastAsia="zh-CN"/>
        </w:rPr>
        <w:t>.</w:t>
      </w:r>
      <w:r>
        <w:rPr>
          <w:rFonts w:hint="eastAsia" w:eastAsia="仿宋_GB2312"/>
          <w:color w:val="auto"/>
          <w:sz w:val="32"/>
          <w:szCs w:val="32"/>
        </w:rPr>
        <w:t>征地前被征地农民已参加城乡居民基本养老保险，征地后选择参加企业职工基本养老保险的，应暂停城乡居民基本养老保险的缴费。待其达到符合享受基本养老保险待遇条件时，再根据国家和自治区有关政策规定进行城乡养老保险制度的衔接。</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eastAsia="仿宋_GB2312"/>
          <w:color w:val="auto"/>
          <w:sz w:val="32"/>
          <w:szCs w:val="32"/>
        </w:rPr>
        <w:t>征地前被征地农民已参加企业职工基本养老保险且未在用人单位就业的，征地后可以按本细则有关规定享受养老保险补贴，用于缴纳基本养老保险费。</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5</w:t>
      </w:r>
      <w:r>
        <w:rPr>
          <w:rFonts w:hint="eastAsia" w:eastAsia="仿宋_GB2312"/>
          <w:color w:val="auto"/>
          <w:sz w:val="32"/>
          <w:szCs w:val="32"/>
          <w:lang w:val="en-US" w:eastAsia="zh-CN"/>
        </w:rPr>
        <w:t>.</w:t>
      </w:r>
      <w:r>
        <w:rPr>
          <w:rFonts w:hint="eastAsia" w:eastAsia="仿宋_GB2312"/>
          <w:color w:val="auto"/>
          <w:sz w:val="32"/>
          <w:szCs w:val="32"/>
        </w:rPr>
        <w:t>征地前被征地农民已在征地所在县（市、区）外的用人单位参保的，其在用人单位工作期间，被征地农民个人所缴纳的基本养老保险费，可凭社会保险经办机构出具的社会保险个人权益单或个人社会保险费缴费明细向征地所在地社会保险经办机构申请领取养老保险补贴。</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6</w:t>
      </w:r>
      <w:r>
        <w:rPr>
          <w:rFonts w:hint="eastAsia" w:eastAsia="仿宋_GB2312"/>
          <w:color w:val="auto"/>
          <w:sz w:val="32"/>
          <w:szCs w:val="32"/>
          <w:lang w:val="en-US" w:eastAsia="zh-CN"/>
        </w:rPr>
        <w:t>.</w:t>
      </w:r>
      <w:r>
        <w:rPr>
          <w:rFonts w:hint="eastAsia" w:eastAsia="仿宋_GB2312"/>
          <w:color w:val="auto"/>
          <w:sz w:val="32"/>
          <w:szCs w:val="32"/>
        </w:rPr>
        <w:t>征地前已按月领取基本养老保险待遇的被征地农民，养老保险补贴一次性发放给其本人。</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eastAsia="仿宋_GB2312"/>
          <w:color w:val="auto"/>
          <w:sz w:val="32"/>
          <w:szCs w:val="32"/>
        </w:rPr>
        <w:t>7</w:t>
      </w:r>
      <w:r>
        <w:rPr>
          <w:rFonts w:hint="eastAsia" w:eastAsia="仿宋_GB2312"/>
          <w:color w:val="auto"/>
          <w:sz w:val="32"/>
          <w:szCs w:val="32"/>
          <w:lang w:val="en-US" w:eastAsia="zh-CN"/>
        </w:rPr>
        <w:t>.</w:t>
      </w:r>
      <w:r>
        <w:rPr>
          <w:rFonts w:hint="eastAsia" w:eastAsia="仿宋_GB2312"/>
          <w:color w:val="auto"/>
          <w:sz w:val="32"/>
          <w:szCs w:val="32"/>
        </w:rPr>
        <w:t>被征地农民中的现役军人，由县级社会保险经办机构为其建立预存款账户，其退出现役后，可按本细则参加基本养老保险，享受因征地产生的养老保险补贴，并按国家有关规定办理基本养老保险关系转移接续手续。对退出现役后，以退休或以自主择业等方式安置，或以其他不需要将社会保险关系转移到地方、不需要缴纳基本养老保险费方式安置的人员，根据个人申请和相关证明材料，可将其养老保险补贴一次性发放给本人。</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b/>
          <w:bCs/>
          <w:color w:val="auto"/>
          <w:sz w:val="32"/>
          <w:szCs w:val="32"/>
        </w:rPr>
      </w:pPr>
      <w:r>
        <w:rPr>
          <w:rFonts w:eastAsia="仿宋_GB2312"/>
          <w:color w:val="auto"/>
          <w:sz w:val="32"/>
          <w:szCs w:val="32"/>
        </w:rPr>
        <w:t>8</w:t>
      </w:r>
      <w:r>
        <w:rPr>
          <w:rFonts w:hint="eastAsia" w:eastAsia="仿宋_GB2312"/>
          <w:color w:val="auto"/>
          <w:sz w:val="32"/>
          <w:szCs w:val="32"/>
          <w:lang w:val="en-US" w:eastAsia="zh-CN"/>
        </w:rPr>
        <w:t>.</w:t>
      </w:r>
      <w:r>
        <w:rPr>
          <w:rFonts w:hint="eastAsia" w:eastAsia="仿宋_GB2312"/>
          <w:color w:val="auto"/>
          <w:sz w:val="32"/>
          <w:szCs w:val="32"/>
        </w:rPr>
        <w:t>被征地农民中的</w:t>
      </w:r>
      <w:r>
        <w:rPr>
          <w:rFonts w:eastAsia="仿宋_GB2312"/>
          <w:color w:val="auto"/>
          <w:sz w:val="32"/>
          <w:szCs w:val="32"/>
        </w:rPr>
        <w:t>16</w:t>
      </w:r>
      <w:r>
        <w:rPr>
          <w:rFonts w:hint="eastAsia" w:eastAsia="仿宋_GB2312"/>
          <w:color w:val="auto"/>
          <w:sz w:val="32"/>
          <w:szCs w:val="32"/>
        </w:rPr>
        <w:t>周岁以上（含</w:t>
      </w:r>
      <w:r>
        <w:rPr>
          <w:rFonts w:eastAsia="仿宋_GB2312"/>
          <w:color w:val="auto"/>
          <w:sz w:val="32"/>
          <w:szCs w:val="32"/>
        </w:rPr>
        <w:t>16</w:t>
      </w:r>
      <w:r>
        <w:rPr>
          <w:rFonts w:hint="eastAsia" w:eastAsia="仿宋_GB2312"/>
          <w:color w:val="auto"/>
          <w:sz w:val="32"/>
          <w:szCs w:val="32"/>
        </w:rPr>
        <w:t>周岁）的在校学生，由县级社会保险经办机构为其建立预存款账户，待其符合条件参保后，按本细则有关规定享受因征地产生的养老保险补贴，用于缴纳基本养老保险费。</w:t>
      </w:r>
    </w:p>
    <w:p>
      <w:pPr>
        <w:keepNext w:val="0"/>
        <w:keepLines w:val="0"/>
        <w:pageBreakBefore w:val="0"/>
        <w:kinsoku/>
        <w:wordWrap/>
        <w:overflowPunct/>
        <w:topLinePunct w:val="0"/>
        <w:bidi w:val="0"/>
        <w:snapToGrid/>
        <w:spacing w:line="58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八、相关工作要求</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ascii="楷体_GB2312" w:hAnsi="楷体_GB2312" w:eastAsia="楷体_GB2312" w:cs="楷体_GB2312"/>
          <w:color w:val="auto"/>
          <w:sz w:val="32"/>
          <w:szCs w:val="32"/>
        </w:rPr>
        <w:t>（一）广泛宣传，充分发动群众。</w:t>
      </w:r>
      <w:r>
        <w:rPr>
          <w:rFonts w:hint="eastAsia" w:eastAsia="仿宋_GB2312"/>
          <w:color w:val="auto"/>
          <w:sz w:val="32"/>
          <w:szCs w:val="32"/>
        </w:rPr>
        <w:t>各有关单位、乡（镇）人民政府要从大局出发，统一思想，提高认识，增强责任感和紧迫感，要利用各种方式广泛宣传和动员沿线广大群众积极支持，为广西龙胜县花界山风电场项目建设营造良好的氛围。</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ascii="楷体_GB2312" w:hAnsi="楷体_GB2312" w:eastAsia="楷体_GB2312" w:cs="楷体_GB2312"/>
          <w:color w:val="auto"/>
          <w:sz w:val="32"/>
          <w:szCs w:val="32"/>
        </w:rPr>
        <w:t>（二）加强领导，积极统筹协调。</w:t>
      </w:r>
      <w:r>
        <w:rPr>
          <w:rFonts w:hint="eastAsia" w:eastAsia="仿宋_GB2312"/>
          <w:color w:val="auto"/>
          <w:sz w:val="32"/>
          <w:szCs w:val="32"/>
        </w:rPr>
        <w:t>征地拆迁工作时间紧、任务重，涉及面广、政策性强，各有关部门和乡（镇）人民政府要加强领导，搞好协调，及时解决征地拆迁过程中出现的问题，做到不推诿，不激化矛盾。要讲政治、顾大局、保稳定，不得强行承揽工程，确保不发生阻工和上访事件。要充分结合新农村建设，协助拆迁户搞好过渡和安置工作。</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ascii="楷体_GB2312" w:hAnsi="楷体_GB2312" w:eastAsia="楷体_GB2312" w:cs="楷体_GB2312"/>
          <w:color w:val="auto"/>
          <w:sz w:val="32"/>
          <w:szCs w:val="32"/>
        </w:rPr>
        <w:t>（三）严格掌握政策和工作标准。</w:t>
      </w:r>
      <w:r>
        <w:rPr>
          <w:rFonts w:hint="eastAsia" w:eastAsia="仿宋_GB2312"/>
          <w:color w:val="auto"/>
          <w:sz w:val="32"/>
          <w:szCs w:val="32"/>
        </w:rPr>
        <w:t>按照实事求是的原则，准确丈量和清点征迁物，并按规定程序建立完善的档案。</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ascii="楷体_GB2312" w:hAnsi="楷体_GB2312" w:eastAsia="楷体_GB2312" w:cs="楷体_GB2312"/>
          <w:color w:val="auto"/>
          <w:sz w:val="32"/>
          <w:szCs w:val="32"/>
        </w:rPr>
        <w:t>（四）</w:t>
      </w:r>
      <w:r>
        <w:rPr>
          <w:rFonts w:hint="eastAsia" w:eastAsia="仿宋_GB2312"/>
          <w:color w:val="auto"/>
          <w:sz w:val="32"/>
          <w:szCs w:val="32"/>
        </w:rPr>
        <w:t>有关部门要对因广西龙胜县花界山风电场项目建设受到影响和损坏的道路、水利、电力、通讯等设施及时提出修复意见，配合项目业主和施工单位协商，尽快组织修复，确保沿线群众的生产生活不受影响。</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ascii="楷体_GB2312" w:hAnsi="楷体_GB2312" w:eastAsia="楷体_GB2312" w:cs="楷体_GB2312"/>
          <w:color w:val="auto"/>
          <w:sz w:val="32"/>
          <w:szCs w:val="32"/>
        </w:rPr>
        <w:t>（五）</w:t>
      </w:r>
      <w:r>
        <w:rPr>
          <w:rFonts w:hint="eastAsia" w:eastAsia="仿宋_GB2312"/>
          <w:color w:val="auto"/>
          <w:sz w:val="32"/>
          <w:szCs w:val="32"/>
        </w:rPr>
        <w:t>广西龙胜县花界山风电场项目用地报批，由项目业主提出用地申请，县人社局、自然资源局、林业局等有关部门按审核权限负责呈报办理相关手续。</w:t>
      </w:r>
    </w:p>
    <w:p>
      <w:pPr>
        <w:keepNext w:val="0"/>
        <w:keepLines w:val="0"/>
        <w:pageBreakBefore w:val="0"/>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ascii="楷体_GB2312" w:hAnsi="楷体_GB2312" w:eastAsia="楷体_GB2312" w:cs="楷体_GB2312"/>
          <w:color w:val="auto"/>
          <w:sz w:val="32"/>
          <w:szCs w:val="32"/>
        </w:rPr>
        <w:t>（六）</w:t>
      </w:r>
      <w:r>
        <w:rPr>
          <w:rFonts w:hint="eastAsia" w:eastAsia="仿宋_GB2312"/>
          <w:color w:val="auto"/>
          <w:sz w:val="32"/>
          <w:szCs w:val="32"/>
        </w:rPr>
        <w:t>征地拆迁过程中的权属等纠纷或争议，由当事人协商解决，协商不成的，由所在乡（镇）政府、村委会按照国家有关法律法规负责调解处理；对调处不服的，当事人可以依法申请行政复议或向法院起诉，但争议或诉讼期间不得影响征地拆迁和工</w:t>
      </w:r>
      <w:r>
        <w:rPr>
          <w:rFonts w:hint="eastAsia" w:eastAsia="仿宋_GB2312"/>
          <w:color w:val="auto"/>
          <w:spacing w:val="-11"/>
          <w:sz w:val="32"/>
          <w:szCs w:val="32"/>
        </w:rPr>
        <w:t>程施工，补偿费暂不拨付，待争议或诉讼处理完毕后再按规定拨付。</w:t>
      </w:r>
    </w:p>
    <w:p>
      <w:pPr>
        <w:keepNext w:val="0"/>
        <w:keepLines w:val="0"/>
        <w:pageBreakBefore w:val="0"/>
        <w:widowControl/>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eastAsia="仿宋_GB2312"/>
          <w:color w:val="auto"/>
          <w:sz w:val="32"/>
          <w:szCs w:val="32"/>
        </w:rPr>
        <w:t>为了不影响施工用地，在权属等纠纷或争议未明确之前，由项目业主和征迁机构记录清楚被征收土地或房屋的位置、面积、地类并请权属争议方共同签字认定，待后解决。</w:t>
      </w:r>
    </w:p>
    <w:p>
      <w:pPr>
        <w:keepNext w:val="0"/>
        <w:keepLines w:val="0"/>
        <w:pageBreakBefore w:val="0"/>
        <w:widowControl/>
        <w:kinsoku/>
        <w:wordWrap/>
        <w:overflowPunct/>
        <w:topLinePunct w:val="0"/>
        <w:bidi w:val="0"/>
        <w:snapToGrid/>
        <w:spacing w:line="586" w:lineRule="exact"/>
        <w:ind w:firstLine="640" w:firstLineChars="200"/>
        <w:textAlignment w:val="auto"/>
        <w:rPr>
          <w:rFonts w:eastAsia="仿宋_GB2312"/>
          <w:color w:val="auto"/>
          <w:sz w:val="32"/>
          <w:szCs w:val="32"/>
        </w:rPr>
      </w:pPr>
      <w:r>
        <w:rPr>
          <w:rFonts w:hint="eastAsia" w:ascii="楷体_GB2312" w:hAnsi="楷体_GB2312" w:eastAsia="楷体_GB2312" w:cs="楷体_GB2312"/>
          <w:color w:val="auto"/>
          <w:sz w:val="32"/>
          <w:szCs w:val="32"/>
        </w:rPr>
        <w:t>（七）</w:t>
      </w:r>
      <w:r>
        <w:rPr>
          <w:rFonts w:hint="eastAsia" w:eastAsia="仿宋_GB2312"/>
          <w:color w:val="auto"/>
          <w:sz w:val="32"/>
          <w:szCs w:val="32"/>
        </w:rPr>
        <w:t>对敲诈勒索、寻衅滋事、阻挠征地拆迁影响广西龙胜县花界山风电场项目工程施工等违法犯罪行为，由公安机关依法从严、从快查处，构成犯罪的，依法追究刑事责任。</w:t>
      </w:r>
    </w:p>
    <w:p>
      <w:pPr>
        <w:keepNext w:val="0"/>
        <w:keepLines w:val="0"/>
        <w:pageBreakBefore w:val="0"/>
        <w:widowControl/>
        <w:kinsoku/>
        <w:wordWrap/>
        <w:overflowPunct/>
        <w:topLinePunct w:val="0"/>
        <w:bidi w:val="0"/>
        <w:snapToGrid/>
        <w:spacing w:line="586" w:lineRule="exact"/>
        <w:ind w:firstLine="640" w:firstLineChars="200"/>
        <w:textAlignment w:val="auto"/>
        <w:rPr>
          <w:rFonts w:eastAsia="仿宋_GB2312"/>
          <w:color w:val="auto"/>
          <w:kern w:val="0"/>
          <w:sz w:val="32"/>
          <w:szCs w:val="32"/>
        </w:rPr>
      </w:pPr>
      <w:r>
        <w:rPr>
          <w:rFonts w:hint="eastAsia" w:ascii="楷体_GB2312" w:hAnsi="楷体_GB2312" w:eastAsia="楷体_GB2312" w:cs="楷体_GB2312"/>
          <w:color w:val="auto"/>
          <w:sz w:val="32"/>
          <w:szCs w:val="32"/>
        </w:rPr>
        <w:t>（八）</w:t>
      </w:r>
      <w:r>
        <w:rPr>
          <w:rFonts w:hint="eastAsia" w:eastAsia="仿宋_GB2312"/>
          <w:color w:val="auto"/>
          <w:kern w:val="0"/>
          <w:sz w:val="32"/>
          <w:szCs w:val="32"/>
        </w:rPr>
        <w:t>本实施办法未尽事宜，由本县工程指挥部会同县自然资源局、交通运输局、住房和城乡建设局、农业农村局、水利局、林业局、乡（镇）人民政府与被征地拆迁单位或个人依照自治区、市、县有关规定协调处理。</w:t>
      </w:r>
    </w:p>
    <w:p>
      <w:pPr>
        <w:keepNext w:val="0"/>
        <w:keepLines w:val="0"/>
        <w:pageBreakBefore w:val="0"/>
        <w:kinsoku/>
        <w:wordWrap/>
        <w:overflowPunct/>
        <w:topLinePunct w:val="0"/>
        <w:bidi w:val="0"/>
        <w:snapToGrid/>
        <w:spacing w:line="586" w:lineRule="exact"/>
        <w:ind w:firstLine="640" w:firstLineChars="200"/>
        <w:textAlignment w:val="auto"/>
        <w:rPr>
          <w:rFonts w:ascii="黑体" w:hAnsi="黑体" w:eastAsia="黑体"/>
          <w:color w:val="auto"/>
          <w:sz w:val="32"/>
          <w:szCs w:val="32"/>
        </w:rPr>
      </w:pPr>
      <w:r>
        <w:rPr>
          <w:rFonts w:hint="eastAsia" w:ascii="黑体" w:hAnsi="黑体" w:eastAsia="黑体" w:cs="黑体"/>
          <w:color w:val="auto"/>
          <w:sz w:val="32"/>
          <w:szCs w:val="32"/>
        </w:rPr>
        <w:t>九、本实施办法自下文之日起实施。临时用地地上（下）附着物补偿费标准按本办法同类项目的补偿标准执行。</w:t>
      </w:r>
    </w:p>
    <w:p>
      <w:pPr>
        <w:tabs>
          <w:tab w:val="left" w:pos="2355"/>
        </w:tabs>
        <w:spacing w:line="500" w:lineRule="exact"/>
        <w:ind w:firstLine="1400" w:firstLineChars="500"/>
        <w:rPr>
          <w:rFonts w:hint="default" w:ascii="Times New Roman" w:hAnsi="Times New Roman" w:cs="Times New Roman"/>
          <w:sz w:val="28"/>
          <w:szCs w:val="28"/>
        </w:rPr>
      </w:pPr>
      <w:r>
        <w:rPr>
          <w:rFonts w:hint="default" w:ascii="Times New Roman" w:hAnsi="Times New Roman" w:cs="Times New Roman"/>
          <w:sz w:val="28"/>
          <w:szCs w:val="28"/>
        </w:rPr>
        <w:tab/>
      </w: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Bdr>
          <w:top w:val="single" w:color="auto" w:sz="4" w:space="1"/>
          <w:bottom w:val="single" w:color="auto" w:sz="4" w:space="1"/>
        </w:pBdr>
        <w:tabs>
          <w:tab w:val="left" w:pos="7797"/>
          <w:tab w:val="left" w:pos="8460"/>
        </w:tabs>
        <w:spacing w:line="380" w:lineRule="exact"/>
        <w:ind w:firstLine="280" w:firstLineChars="100"/>
        <w:rPr>
          <w:rFonts w:hint="default" w:ascii="Times New Roman" w:hAnsi="Times New Roman" w:eastAsia="黑体" w:cs="Times New Roman"/>
          <w:szCs w:val="32"/>
        </w:rPr>
      </w:pPr>
      <w:r>
        <w:rPr>
          <w:rFonts w:hint="default" w:ascii="Times New Roman" w:hAnsi="Times New Roman" w:cs="Times New Roman"/>
          <w:sz w:val="28"/>
          <w:szCs w:val="28"/>
        </w:rPr>
        <w:t xml:space="preserve">龙胜各族自治县人民政府办公室            </w:t>
      </w:r>
      <w:r>
        <w:rPr>
          <w:rFonts w:hint="eastAsia" w:cs="Times New Roman"/>
          <w:sz w:val="28"/>
          <w:szCs w:val="28"/>
          <w:lang w:val="en-US" w:eastAsia="zh-CN"/>
        </w:rPr>
        <w:t xml:space="preserve"> </w:t>
      </w:r>
      <w:r>
        <w:rPr>
          <w:rFonts w:hint="default" w:ascii="Times New Roman" w:hAnsi="Times New Roman" w:cs="Times New Roman"/>
          <w:sz w:val="28"/>
          <w:szCs w:val="28"/>
        </w:rPr>
        <w:t>202</w:t>
      </w:r>
      <w:r>
        <w:rPr>
          <w:rFonts w:hint="eastAsia" w:cs="Times New Roman"/>
          <w:sz w:val="28"/>
          <w:szCs w:val="28"/>
          <w:lang w:val="en-US" w:eastAsia="zh-CN"/>
        </w:rPr>
        <w:t>3</w:t>
      </w:r>
      <w:r>
        <w:rPr>
          <w:rFonts w:hint="default" w:ascii="Times New Roman" w:hAnsi="Times New Roman" w:cs="Times New Roman"/>
          <w:sz w:val="28"/>
          <w:szCs w:val="28"/>
        </w:rPr>
        <w:t>年</w:t>
      </w:r>
      <w:r>
        <w:rPr>
          <w:rFonts w:hint="eastAsia" w:cs="Times New Roman"/>
          <w:sz w:val="28"/>
          <w:szCs w:val="28"/>
          <w:lang w:val="en-US" w:eastAsia="zh-CN"/>
        </w:rPr>
        <w:t>8</w:t>
      </w:r>
      <w:r>
        <w:rPr>
          <w:rFonts w:hint="default" w:ascii="Times New Roman" w:hAnsi="Times New Roman" w:cs="Times New Roman"/>
          <w:sz w:val="28"/>
          <w:szCs w:val="28"/>
        </w:rPr>
        <w:t>月</w:t>
      </w:r>
      <w:r>
        <w:rPr>
          <w:rFonts w:hint="eastAsia" w:cs="Times New Roman"/>
          <w:sz w:val="28"/>
          <w:szCs w:val="28"/>
          <w:lang w:val="en-US" w:eastAsia="zh-CN"/>
        </w:rPr>
        <w:t>23</w:t>
      </w:r>
      <w:r>
        <w:rPr>
          <w:rFonts w:hint="default" w:ascii="Times New Roman" w:hAnsi="Times New Roman" w:cs="Times New Roman"/>
          <w:sz w:val="28"/>
          <w:szCs w:val="28"/>
        </w:rPr>
        <w:t>日印发</w:t>
      </w:r>
    </w:p>
    <w:sectPr>
      <w:headerReference r:id="rId3" w:type="default"/>
      <w:footerReference r:id="rId4" w:type="default"/>
      <w:footerReference r:id="rId5" w:type="even"/>
      <w:pgSz w:w="11906" w:h="16838"/>
      <w:pgMar w:top="2098" w:right="1304" w:bottom="1304" w:left="1588" w:header="851" w:footer="1361"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20" w:rightChars="100"/>
      <w:jc w:val="right"/>
      <w:rPr>
        <w:rFonts w:eastAsia="宋体"/>
        <w:sz w:val="28"/>
        <w:szCs w:val="28"/>
      </w:rPr>
    </w:pPr>
    <w:r>
      <w:rPr>
        <w:rFonts w:eastAsia="宋体"/>
        <w:sz w:val="28"/>
        <w:szCs w:val="28"/>
      </w:rPr>
      <w:t xml:space="preserve">— </w:t>
    </w: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eastAsia="宋体"/>
        <w:sz w:val="28"/>
        <w:szCs w:val="28"/>
      </w:rPr>
      <w:t xml:space="preserve"> </w:t>
    </w:r>
    <w:r>
      <w:rPr>
        <w:rFonts w:hint="eastAsia" w:eastAsia="宋体"/>
        <w:sz w:val="28"/>
        <w:szCs w:val="28"/>
      </w:rPr>
      <w:t xml:space="preserve"> </w:t>
    </w:r>
    <w:r>
      <w:rPr>
        <w:rFonts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320" w:leftChars="100"/>
      <w:jc w:val="left"/>
      <w:rPr>
        <w:rFonts w:eastAsia="宋体"/>
        <w:sz w:val="28"/>
        <w:szCs w:val="28"/>
      </w:rPr>
    </w:pPr>
    <w:r>
      <w:rPr>
        <w:rFonts w:eastAsia="宋体"/>
        <w:sz w:val="28"/>
        <w:szCs w:val="28"/>
      </w:rPr>
      <w:t xml:space="preserve">— </w:t>
    </w: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2</w:t>
    </w:r>
    <w:r>
      <w:rPr>
        <w:rFonts w:eastAsia="宋体"/>
        <w:sz w:val="28"/>
        <w:szCs w:val="28"/>
      </w:rPr>
      <w:fldChar w:fldCharType="end"/>
    </w:r>
    <w:r>
      <w:rPr>
        <w:rFonts w:eastAsia="宋体"/>
        <w:sz w:val="28"/>
        <w:szCs w:val="28"/>
      </w:rPr>
      <w:t xml:space="preserve"> </w:t>
    </w:r>
    <w:r>
      <w:rPr>
        <w:rFonts w:hint="eastAsia" w:eastAsia="宋体"/>
        <w:sz w:val="28"/>
        <w:szCs w:val="28"/>
      </w:rPr>
      <w:t xml:space="preserve"> </w:t>
    </w:r>
    <w:r>
      <w:rPr>
        <w:rFonts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79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FlODhjOWE2MzIzMmE0YjFjODUwNGM5OTY1OTUifQ=="/>
  </w:docVars>
  <w:rsids>
    <w:rsidRoot w:val="001500F0"/>
    <w:rsid w:val="0000228B"/>
    <w:rsid w:val="00003045"/>
    <w:rsid w:val="000110BE"/>
    <w:rsid w:val="00012C2D"/>
    <w:rsid w:val="00014AEF"/>
    <w:rsid w:val="00014EE7"/>
    <w:rsid w:val="00015819"/>
    <w:rsid w:val="000201F9"/>
    <w:rsid w:val="00024089"/>
    <w:rsid w:val="00031D7E"/>
    <w:rsid w:val="00032824"/>
    <w:rsid w:val="00036E8B"/>
    <w:rsid w:val="00041FFF"/>
    <w:rsid w:val="0004244A"/>
    <w:rsid w:val="000431F3"/>
    <w:rsid w:val="00046939"/>
    <w:rsid w:val="0004762C"/>
    <w:rsid w:val="0005105A"/>
    <w:rsid w:val="00055A21"/>
    <w:rsid w:val="00055B58"/>
    <w:rsid w:val="00056777"/>
    <w:rsid w:val="000609CD"/>
    <w:rsid w:val="00062768"/>
    <w:rsid w:val="00065FCE"/>
    <w:rsid w:val="0007072C"/>
    <w:rsid w:val="00071C2A"/>
    <w:rsid w:val="00072799"/>
    <w:rsid w:val="0007308F"/>
    <w:rsid w:val="00073FDF"/>
    <w:rsid w:val="00075342"/>
    <w:rsid w:val="00075CBB"/>
    <w:rsid w:val="00076323"/>
    <w:rsid w:val="00080417"/>
    <w:rsid w:val="00080F7A"/>
    <w:rsid w:val="00081A4A"/>
    <w:rsid w:val="000828B5"/>
    <w:rsid w:val="0008708A"/>
    <w:rsid w:val="00087CC9"/>
    <w:rsid w:val="00092AFB"/>
    <w:rsid w:val="00095EA8"/>
    <w:rsid w:val="0009627F"/>
    <w:rsid w:val="0009629B"/>
    <w:rsid w:val="000A1881"/>
    <w:rsid w:val="000A4245"/>
    <w:rsid w:val="000A5D40"/>
    <w:rsid w:val="000B1FC5"/>
    <w:rsid w:val="000B38EE"/>
    <w:rsid w:val="000C0B9B"/>
    <w:rsid w:val="000C327B"/>
    <w:rsid w:val="000C6504"/>
    <w:rsid w:val="000D6AE7"/>
    <w:rsid w:val="000E2BA8"/>
    <w:rsid w:val="000E3013"/>
    <w:rsid w:val="000E6802"/>
    <w:rsid w:val="000E6E72"/>
    <w:rsid w:val="000E7F7C"/>
    <w:rsid w:val="000F50AE"/>
    <w:rsid w:val="000F766D"/>
    <w:rsid w:val="000F7CE3"/>
    <w:rsid w:val="001015D8"/>
    <w:rsid w:val="00101DFF"/>
    <w:rsid w:val="0011065C"/>
    <w:rsid w:val="00110FAF"/>
    <w:rsid w:val="00111C38"/>
    <w:rsid w:val="00111CC0"/>
    <w:rsid w:val="00114D3B"/>
    <w:rsid w:val="00116E83"/>
    <w:rsid w:val="001171E5"/>
    <w:rsid w:val="00134128"/>
    <w:rsid w:val="001362A0"/>
    <w:rsid w:val="0014536C"/>
    <w:rsid w:val="001500F0"/>
    <w:rsid w:val="001553F2"/>
    <w:rsid w:val="0015742E"/>
    <w:rsid w:val="001602A5"/>
    <w:rsid w:val="00161551"/>
    <w:rsid w:val="00162A75"/>
    <w:rsid w:val="00163B3D"/>
    <w:rsid w:val="001657B1"/>
    <w:rsid w:val="00166031"/>
    <w:rsid w:val="00166ACB"/>
    <w:rsid w:val="00171C70"/>
    <w:rsid w:val="00180479"/>
    <w:rsid w:val="001805A5"/>
    <w:rsid w:val="0018268D"/>
    <w:rsid w:val="0018374D"/>
    <w:rsid w:val="001840AD"/>
    <w:rsid w:val="0018463E"/>
    <w:rsid w:val="00184DC8"/>
    <w:rsid w:val="00184F80"/>
    <w:rsid w:val="00185EB7"/>
    <w:rsid w:val="00186265"/>
    <w:rsid w:val="001913EA"/>
    <w:rsid w:val="00193258"/>
    <w:rsid w:val="00193AC7"/>
    <w:rsid w:val="001A05BD"/>
    <w:rsid w:val="001A5AD9"/>
    <w:rsid w:val="001A685D"/>
    <w:rsid w:val="001B44D6"/>
    <w:rsid w:val="001B5FB4"/>
    <w:rsid w:val="001B799A"/>
    <w:rsid w:val="001C198C"/>
    <w:rsid w:val="001C37E2"/>
    <w:rsid w:val="001C48F9"/>
    <w:rsid w:val="001D02F4"/>
    <w:rsid w:val="001D2B13"/>
    <w:rsid w:val="001D694E"/>
    <w:rsid w:val="001E1E52"/>
    <w:rsid w:val="001E26CA"/>
    <w:rsid w:val="001E7702"/>
    <w:rsid w:val="001F3BC6"/>
    <w:rsid w:val="00200438"/>
    <w:rsid w:val="00200D59"/>
    <w:rsid w:val="00203211"/>
    <w:rsid w:val="002040DE"/>
    <w:rsid w:val="00205D2B"/>
    <w:rsid w:val="00206F1B"/>
    <w:rsid w:val="00207CC4"/>
    <w:rsid w:val="00210186"/>
    <w:rsid w:val="00211CD0"/>
    <w:rsid w:val="002128BB"/>
    <w:rsid w:val="00213C0E"/>
    <w:rsid w:val="00220D61"/>
    <w:rsid w:val="002228A1"/>
    <w:rsid w:val="002301D3"/>
    <w:rsid w:val="002430A5"/>
    <w:rsid w:val="002458FF"/>
    <w:rsid w:val="002527B9"/>
    <w:rsid w:val="0025464F"/>
    <w:rsid w:val="0025753D"/>
    <w:rsid w:val="002579C0"/>
    <w:rsid w:val="00261D0D"/>
    <w:rsid w:val="0027025D"/>
    <w:rsid w:val="0027029B"/>
    <w:rsid w:val="002709FA"/>
    <w:rsid w:val="00271094"/>
    <w:rsid w:val="00273279"/>
    <w:rsid w:val="0027666E"/>
    <w:rsid w:val="0027708C"/>
    <w:rsid w:val="0028065E"/>
    <w:rsid w:val="00285725"/>
    <w:rsid w:val="0028752D"/>
    <w:rsid w:val="002876A1"/>
    <w:rsid w:val="00290116"/>
    <w:rsid w:val="0029724F"/>
    <w:rsid w:val="002A0189"/>
    <w:rsid w:val="002A2ED0"/>
    <w:rsid w:val="002A7A15"/>
    <w:rsid w:val="002B32C7"/>
    <w:rsid w:val="002B5E36"/>
    <w:rsid w:val="002B6E24"/>
    <w:rsid w:val="002C0DB7"/>
    <w:rsid w:val="002D105C"/>
    <w:rsid w:val="002D2531"/>
    <w:rsid w:val="002D3983"/>
    <w:rsid w:val="002D3B91"/>
    <w:rsid w:val="002D64BF"/>
    <w:rsid w:val="002D6BD6"/>
    <w:rsid w:val="002D7DF5"/>
    <w:rsid w:val="002E0C61"/>
    <w:rsid w:val="002E1A75"/>
    <w:rsid w:val="002E4A42"/>
    <w:rsid w:val="002E5A5E"/>
    <w:rsid w:val="002F21A8"/>
    <w:rsid w:val="002F3B6E"/>
    <w:rsid w:val="002F3B84"/>
    <w:rsid w:val="00300319"/>
    <w:rsid w:val="00302F20"/>
    <w:rsid w:val="003041CD"/>
    <w:rsid w:val="0030774B"/>
    <w:rsid w:val="00316610"/>
    <w:rsid w:val="00316B7E"/>
    <w:rsid w:val="00323B00"/>
    <w:rsid w:val="00324875"/>
    <w:rsid w:val="00324DDF"/>
    <w:rsid w:val="003258E7"/>
    <w:rsid w:val="00332264"/>
    <w:rsid w:val="00332E52"/>
    <w:rsid w:val="003375AD"/>
    <w:rsid w:val="003402E2"/>
    <w:rsid w:val="00342EDC"/>
    <w:rsid w:val="00346A96"/>
    <w:rsid w:val="00350316"/>
    <w:rsid w:val="00357180"/>
    <w:rsid w:val="003606E3"/>
    <w:rsid w:val="00360C0C"/>
    <w:rsid w:val="00363D89"/>
    <w:rsid w:val="003642A8"/>
    <w:rsid w:val="00365B02"/>
    <w:rsid w:val="00366F5A"/>
    <w:rsid w:val="00370FD0"/>
    <w:rsid w:val="00374FC6"/>
    <w:rsid w:val="00383712"/>
    <w:rsid w:val="00383D59"/>
    <w:rsid w:val="00384D22"/>
    <w:rsid w:val="00385080"/>
    <w:rsid w:val="003861E1"/>
    <w:rsid w:val="00387422"/>
    <w:rsid w:val="00391826"/>
    <w:rsid w:val="00395325"/>
    <w:rsid w:val="00397826"/>
    <w:rsid w:val="003A04D1"/>
    <w:rsid w:val="003A0B2F"/>
    <w:rsid w:val="003A4EA3"/>
    <w:rsid w:val="003A61FF"/>
    <w:rsid w:val="003A7A2D"/>
    <w:rsid w:val="003B4C46"/>
    <w:rsid w:val="003B7444"/>
    <w:rsid w:val="003C1C51"/>
    <w:rsid w:val="003C47C6"/>
    <w:rsid w:val="003C500F"/>
    <w:rsid w:val="003C5B6E"/>
    <w:rsid w:val="003D46F9"/>
    <w:rsid w:val="003E013A"/>
    <w:rsid w:val="003E4A67"/>
    <w:rsid w:val="003F6378"/>
    <w:rsid w:val="003F6B14"/>
    <w:rsid w:val="004006F7"/>
    <w:rsid w:val="004024AA"/>
    <w:rsid w:val="0040362D"/>
    <w:rsid w:val="00405747"/>
    <w:rsid w:val="004064FE"/>
    <w:rsid w:val="00406D41"/>
    <w:rsid w:val="00411D3B"/>
    <w:rsid w:val="0041222D"/>
    <w:rsid w:val="004125E9"/>
    <w:rsid w:val="00413F8D"/>
    <w:rsid w:val="00415E9B"/>
    <w:rsid w:val="00421E13"/>
    <w:rsid w:val="0042441B"/>
    <w:rsid w:val="00427B05"/>
    <w:rsid w:val="00431A83"/>
    <w:rsid w:val="00435428"/>
    <w:rsid w:val="00436198"/>
    <w:rsid w:val="00437647"/>
    <w:rsid w:val="0044026D"/>
    <w:rsid w:val="004426E5"/>
    <w:rsid w:val="00442D75"/>
    <w:rsid w:val="004460B9"/>
    <w:rsid w:val="00451DE5"/>
    <w:rsid w:val="00455746"/>
    <w:rsid w:val="00455A85"/>
    <w:rsid w:val="00460872"/>
    <w:rsid w:val="00460C54"/>
    <w:rsid w:val="00470304"/>
    <w:rsid w:val="00470A17"/>
    <w:rsid w:val="004739F2"/>
    <w:rsid w:val="00475509"/>
    <w:rsid w:val="00476C2D"/>
    <w:rsid w:val="00477999"/>
    <w:rsid w:val="00481C5F"/>
    <w:rsid w:val="00482DEF"/>
    <w:rsid w:val="00486467"/>
    <w:rsid w:val="00487531"/>
    <w:rsid w:val="00487C60"/>
    <w:rsid w:val="00492607"/>
    <w:rsid w:val="00492F12"/>
    <w:rsid w:val="00493B7C"/>
    <w:rsid w:val="004943A9"/>
    <w:rsid w:val="00497DDF"/>
    <w:rsid w:val="004A12F8"/>
    <w:rsid w:val="004A4ED7"/>
    <w:rsid w:val="004A5DD4"/>
    <w:rsid w:val="004B1573"/>
    <w:rsid w:val="004B3024"/>
    <w:rsid w:val="004B4B34"/>
    <w:rsid w:val="004B5B5E"/>
    <w:rsid w:val="004C007F"/>
    <w:rsid w:val="004C154E"/>
    <w:rsid w:val="004D03EC"/>
    <w:rsid w:val="004D4E14"/>
    <w:rsid w:val="004E2E38"/>
    <w:rsid w:val="004E72F2"/>
    <w:rsid w:val="004E7FEA"/>
    <w:rsid w:val="004F4172"/>
    <w:rsid w:val="004F4656"/>
    <w:rsid w:val="004F4C44"/>
    <w:rsid w:val="004F4C9C"/>
    <w:rsid w:val="004F57F1"/>
    <w:rsid w:val="004F5972"/>
    <w:rsid w:val="004F5E5E"/>
    <w:rsid w:val="00501840"/>
    <w:rsid w:val="00503238"/>
    <w:rsid w:val="00503A04"/>
    <w:rsid w:val="00503AAA"/>
    <w:rsid w:val="00514187"/>
    <w:rsid w:val="00515B0C"/>
    <w:rsid w:val="00523800"/>
    <w:rsid w:val="00525A1F"/>
    <w:rsid w:val="00526002"/>
    <w:rsid w:val="00526B96"/>
    <w:rsid w:val="00532D9C"/>
    <w:rsid w:val="005349B8"/>
    <w:rsid w:val="005352F7"/>
    <w:rsid w:val="005402DF"/>
    <w:rsid w:val="00541A70"/>
    <w:rsid w:val="00541ADE"/>
    <w:rsid w:val="00543641"/>
    <w:rsid w:val="00556ADD"/>
    <w:rsid w:val="005613F6"/>
    <w:rsid w:val="00561B07"/>
    <w:rsid w:val="00561BD8"/>
    <w:rsid w:val="005625D8"/>
    <w:rsid w:val="005629EE"/>
    <w:rsid w:val="00564105"/>
    <w:rsid w:val="0056448E"/>
    <w:rsid w:val="00565BB0"/>
    <w:rsid w:val="00572779"/>
    <w:rsid w:val="00573543"/>
    <w:rsid w:val="0057423C"/>
    <w:rsid w:val="00575496"/>
    <w:rsid w:val="005778F2"/>
    <w:rsid w:val="00580C8D"/>
    <w:rsid w:val="005837A5"/>
    <w:rsid w:val="0058428C"/>
    <w:rsid w:val="00584CAD"/>
    <w:rsid w:val="00586CF8"/>
    <w:rsid w:val="005929EF"/>
    <w:rsid w:val="00594307"/>
    <w:rsid w:val="00596EF0"/>
    <w:rsid w:val="005A24A1"/>
    <w:rsid w:val="005A47AA"/>
    <w:rsid w:val="005A566C"/>
    <w:rsid w:val="005A6DBE"/>
    <w:rsid w:val="005A7E9D"/>
    <w:rsid w:val="005B0087"/>
    <w:rsid w:val="005C4B5A"/>
    <w:rsid w:val="005C7386"/>
    <w:rsid w:val="005C7BCB"/>
    <w:rsid w:val="005C7EBC"/>
    <w:rsid w:val="005D1F4C"/>
    <w:rsid w:val="005D23B1"/>
    <w:rsid w:val="005D35D5"/>
    <w:rsid w:val="005D37C3"/>
    <w:rsid w:val="005D49ED"/>
    <w:rsid w:val="005D71C0"/>
    <w:rsid w:val="005E1AD3"/>
    <w:rsid w:val="005F159B"/>
    <w:rsid w:val="005F2BAD"/>
    <w:rsid w:val="005F61A3"/>
    <w:rsid w:val="00601307"/>
    <w:rsid w:val="00604AEB"/>
    <w:rsid w:val="00604E79"/>
    <w:rsid w:val="0061133B"/>
    <w:rsid w:val="0061158B"/>
    <w:rsid w:val="006123AC"/>
    <w:rsid w:val="006126B6"/>
    <w:rsid w:val="006139C6"/>
    <w:rsid w:val="0061403B"/>
    <w:rsid w:val="0061690D"/>
    <w:rsid w:val="00617EC8"/>
    <w:rsid w:val="0062223C"/>
    <w:rsid w:val="00622ADD"/>
    <w:rsid w:val="00623D88"/>
    <w:rsid w:val="00626A73"/>
    <w:rsid w:val="00627418"/>
    <w:rsid w:val="00630901"/>
    <w:rsid w:val="00632A40"/>
    <w:rsid w:val="006339A9"/>
    <w:rsid w:val="00636485"/>
    <w:rsid w:val="00636974"/>
    <w:rsid w:val="00640869"/>
    <w:rsid w:val="00642019"/>
    <w:rsid w:val="006442A3"/>
    <w:rsid w:val="006477CF"/>
    <w:rsid w:val="00651A47"/>
    <w:rsid w:val="006549FF"/>
    <w:rsid w:val="00655F9A"/>
    <w:rsid w:val="006573F9"/>
    <w:rsid w:val="00663422"/>
    <w:rsid w:val="00664D0D"/>
    <w:rsid w:val="00665152"/>
    <w:rsid w:val="006657F3"/>
    <w:rsid w:val="00667224"/>
    <w:rsid w:val="00670624"/>
    <w:rsid w:val="00673741"/>
    <w:rsid w:val="00685CC9"/>
    <w:rsid w:val="00687077"/>
    <w:rsid w:val="00691216"/>
    <w:rsid w:val="0069124E"/>
    <w:rsid w:val="00693123"/>
    <w:rsid w:val="006951B3"/>
    <w:rsid w:val="0069531B"/>
    <w:rsid w:val="006A13A5"/>
    <w:rsid w:val="006A1BB1"/>
    <w:rsid w:val="006A2635"/>
    <w:rsid w:val="006A4926"/>
    <w:rsid w:val="006A5093"/>
    <w:rsid w:val="006A6B12"/>
    <w:rsid w:val="006B07DF"/>
    <w:rsid w:val="006B44C9"/>
    <w:rsid w:val="006B5576"/>
    <w:rsid w:val="006B561A"/>
    <w:rsid w:val="006C21A9"/>
    <w:rsid w:val="006C4576"/>
    <w:rsid w:val="006C50DD"/>
    <w:rsid w:val="006C5C11"/>
    <w:rsid w:val="006D1A78"/>
    <w:rsid w:val="006D3035"/>
    <w:rsid w:val="006D3645"/>
    <w:rsid w:val="006D3AE3"/>
    <w:rsid w:val="006D6190"/>
    <w:rsid w:val="006D667C"/>
    <w:rsid w:val="006E10DE"/>
    <w:rsid w:val="006E1401"/>
    <w:rsid w:val="006E411C"/>
    <w:rsid w:val="006E7F16"/>
    <w:rsid w:val="006F1138"/>
    <w:rsid w:val="006F1495"/>
    <w:rsid w:val="006F73BF"/>
    <w:rsid w:val="00701C07"/>
    <w:rsid w:val="007046C0"/>
    <w:rsid w:val="00705420"/>
    <w:rsid w:val="00705C25"/>
    <w:rsid w:val="007075E8"/>
    <w:rsid w:val="007077D4"/>
    <w:rsid w:val="00710083"/>
    <w:rsid w:val="007101C2"/>
    <w:rsid w:val="007104AB"/>
    <w:rsid w:val="00711DC9"/>
    <w:rsid w:val="00711FE2"/>
    <w:rsid w:val="007128A1"/>
    <w:rsid w:val="007154C6"/>
    <w:rsid w:val="00722CE0"/>
    <w:rsid w:val="007248BD"/>
    <w:rsid w:val="007252FA"/>
    <w:rsid w:val="007267BF"/>
    <w:rsid w:val="00726FFB"/>
    <w:rsid w:val="0072708A"/>
    <w:rsid w:val="007278CC"/>
    <w:rsid w:val="00731DF6"/>
    <w:rsid w:val="007332B8"/>
    <w:rsid w:val="00733993"/>
    <w:rsid w:val="00737549"/>
    <w:rsid w:val="00740D5E"/>
    <w:rsid w:val="00740FD8"/>
    <w:rsid w:val="0074535C"/>
    <w:rsid w:val="00747ADD"/>
    <w:rsid w:val="0075311A"/>
    <w:rsid w:val="00753EB9"/>
    <w:rsid w:val="007544AA"/>
    <w:rsid w:val="0076209F"/>
    <w:rsid w:val="00765607"/>
    <w:rsid w:val="0076605D"/>
    <w:rsid w:val="00767B43"/>
    <w:rsid w:val="00767C9E"/>
    <w:rsid w:val="0077253C"/>
    <w:rsid w:val="007757EA"/>
    <w:rsid w:val="00775D43"/>
    <w:rsid w:val="00776763"/>
    <w:rsid w:val="007805DE"/>
    <w:rsid w:val="00781B29"/>
    <w:rsid w:val="007912E3"/>
    <w:rsid w:val="00792E74"/>
    <w:rsid w:val="00793899"/>
    <w:rsid w:val="00795103"/>
    <w:rsid w:val="00795CEC"/>
    <w:rsid w:val="00796C69"/>
    <w:rsid w:val="00797338"/>
    <w:rsid w:val="007A0C16"/>
    <w:rsid w:val="007A3E8C"/>
    <w:rsid w:val="007A4F38"/>
    <w:rsid w:val="007A6D48"/>
    <w:rsid w:val="007B0361"/>
    <w:rsid w:val="007B2353"/>
    <w:rsid w:val="007B29FB"/>
    <w:rsid w:val="007B4FE9"/>
    <w:rsid w:val="007B6913"/>
    <w:rsid w:val="007C3A57"/>
    <w:rsid w:val="007C4EA7"/>
    <w:rsid w:val="007C6AF8"/>
    <w:rsid w:val="007D259C"/>
    <w:rsid w:val="007D3D02"/>
    <w:rsid w:val="007D50E6"/>
    <w:rsid w:val="007D5B48"/>
    <w:rsid w:val="007D6FB5"/>
    <w:rsid w:val="007D759C"/>
    <w:rsid w:val="007E09E1"/>
    <w:rsid w:val="007E131E"/>
    <w:rsid w:val="007E1407"/>
    <w:rsid w:val="007E2228"/>
    <w:rsid w:val="007E4C65"/>
    <w:rsid w:val="007F789C"/>
    <w:rsid w:val="00802F7E"/>
    <w:rsid w:val="008054DD"/>
    <w:rsid w:val="00805A66"/>
    <w:rsid w:val="00807469"/>
    <w:rsid w:val="00826704"/>
    <w:rsid w:val="00827B05"/>
    <w:rsid w:val="00832AB8"/>
    <w:rsid w:val="00837277"/>
    <w:rsid w:val="0084331E"/>
    <w:rsid w:val="0085038A"/>
    <w:rsid w:val="00850E85"/>
    <w:rsid w:val="008510D3"/>
    <w:rsid w:val="00852754"/>
    <w:rsid w:val="008528C1"/>
    <w:rsid w:val="00852CD8"/>
    <w:rsid w:val="00853D9C"/>
    <w:rsid w:val="008540BA"/>
    <w:rsid w:val="0085575D"/>
    <w:rsid w:val="00856575"/>
    <w:rsid w:val="00861A7A"/>
    <w:rsid w:val="00861D99"/>
    <w:rsid w:val="0086798F"/>
    <w:rsid w:val="008756D8"/>
    <w:rsid w:val="00875FC6"/>
    <w:rsid w:val="00877A1F"/>
    <w:rsid w:val="00891C25"/>
    <w:rsid w:val="0089475E"/>
    <w:rsid w:val="00894985"/>
    <w:rsid w:val="008958DB"/>
    <w:rsid w:val="008A0C82"/>
    <w:rsid w:val="008A283A"/>
    <w:rsid w:val="008A2F97"/>
    <w:rsid w:val="008B01C2"/>
    <w:rsid w:val="008B0EE9"/>
    <w:rsid w:val="008B2EAA"/>
    <w:rsid w:val="008B5034"/>
    <w:rsid w:val="008B59D5"/>
    <w:rsid w:val="008B59E3"/>
    <w:rsid w:val="008C1394"/>
    <w:rsid w:val="008C2D3E"/>
    <w:rsid w:val="008C5766"/>
    <w:rsid w:val="008C71CA"/>
    <w:rsid w:val="008D0074"/>
    <w:rsid w:val="008D2D99"/>
    <w:rsid w:val="008D4621"/>
    <w:rsid w:val="008D4D0B"/>
    <w:rsid w:val="008E1D30"/>
    <w:rsid w:val="008E209F"/>
    <w:rsid w:val="008F25F3"/>
    <w:rsid w:val="008F3168"/>
    <w:rsid w:val="008F5820"/>
    <w:rsid w:val="008F62D3"/>
    <w:rsid w:val="008F74F4"/>
    <w:rsid w:val="008F7AD0"/>
    <w:rsid w:val="0090042E"/>
    <w:rsid w:val="00901A0D"/>
    <w:rsid w:val="009036B3"/>
    <w:rsid w:val="00903E2A"/>
    <w:rsid w:val="00904214"/>
    <w:rsid w:val="009048F5"/>
    <w:rsid w:val="00905DB7"/>
    <w:rsid w:val="009112D8"/>
    <w:rsid w:val="009148AE"/>
    <w:rsid w:val="00914B2F"/>
    <w:rsid w:val="009175CA"/>
    <w:rsid w:val="009177C4"/>
    <w:rsid w:val="0092154E"/>
    <w:rsid w:val="00923236"/>
    <w:rsid w:val="00927277"/>
    <w:rsid w:val="009305FF"/>
    <w:rsid w:val="009327B6"/>
    <w:rsid w:val="00933FE1"/>
    <w:rsid w:val="009431C1"/>
    <w:rsid w:val="00944239"/>
    <w:rsid w:val="0094479C"/>
    <w:rsid w:val="00951250"/>
    <w:rsid w:val="009517A9"/>
    <w:rsid w:val="00952163"/>
    <w:rsid w:val="00954D8F"/>
    <w:rsid w:val="0095574E"/>
    <w:rsid w:val="00956843"/>
    <w:rsid w:val="00961A83"/>
    <w:rsid w:val="00962355"/>
    <w:rsid w:val="0096465B"/>
    <w:rsid w:val="00964675"/>
    <w:rsid w:val="009667E4"/>
    <w:rsid w:val="009672DE"/>
    <w:rsid w:val="00970B67"/>
    <w:rsid w:val="00972E7D"/>
    <w:rsid w:val="00974518"/>
    <w:rsid w:val="00990338"/>
    <w:rsid w:val="00993A43"/>
    <w:rsid w:val="00994FE6"/>
    <w:rsid w:val="009A5A41"/>
    <w:rsid w:val="009A6FEE"/>
    <w:rsid w:val="009A75A2"/>
    <w:rsid w:val="009B5E77"/>
    <w:rsid w:val="009C2EAF"/>
    <w:rsid w:val="009C3BA0"/>
    <w:rsid w:val="009C4B8D"/>
    <w:rsid w:val="009C5665"/>
    <w:rsid w:val="009C65C6"/>
    <w:rsid w:val="009D5190"/>
    <w:rsid w:val="009D551B"/>
    <w:rsid w:val="009E1E87"/>
    <w:rsid w:val="009E6DE0"/>
    <w:rsid w:val="009E6E9C"/>
    <w:rsid w:val="009F015E"/>
    <w:rsid w:val="009F09C5"/>
    <w:rsid w:val="009F0D59"/>
    <w:rsid w:val="009F3AB5"/>
    <w:rsid w:val="009F570F"/>
    <w:rsid w:val="009F6499"/>
    <w:rsid w:val="00A02CA8"/>
    <w:rsid w:val="00A0571D"/>
    <w:rsid w:val="00A05BF9"/>
    <w:rsid w:val="00A067E6"/>
    <w:rsid w:val="00A074BB"/>
    <w:rsid w:val="00A15924"/>
    <w:rsid w:val="00A16074"/>
    <w:rsid w:val="00A171C1"/>
    <w:rsid w:val="00A2161B"/>
    <w:rsid w:val="00A25B4D"/>
    <w:rsid w:val="00A320CD"/>
    <w:rsid w:val="00A32EE2"/>
    <w:rsid w:val="00A32FBA"/>
    <w:rsid w:val="00A37288"/>
    <w:rsid w:val="00A4753E"/>
    <w:rsid w:val="00A4786D"/>
    <w:rsid w:val="00A518A2"/>
    <w:rsid w:val="00A55AE4"/>
    <w:rsid w:val="00A55F7A"/>
    <w:rsid w:val="00A56327"/>
    <w:rsid w:val="00A56493"/>
    <w:rsid w:val="00A57BC5"/>
    <w:rsid w:val="00A610D1"/>
    <w:rsid w:val="00A62BBD"/>
    <w:rsid w:val="00A64CEF"/>
    <w:rsid w:val="00A7239B"/>
    <w:rsid w:val="00A7287B"/>
    <w:rsid w:val="00A736C0"/>
    <w:rsid w:val="00A7608D"/>
    <w:rsid w:val="00A80684"/>
    <w:rsid w:val="00A83903"/>
    <w:rsid w:val="00A8423B"/>
    <w:rsid w:val="00A8616A"/>
    <w:rsid w:val="00A91FBF"/>
    <w:rsid w:val="00A9226D"/>
    <w:rsid w:val="00A9400D"/>
    <w:rsid w:val="00A945C5"/>
    <w:rsid w:val="00A9518B"/>
    <w:rsid w:val="00A95CD9"/>
    <w:rsid w:val="00A96067"/>
    <w:rsid w:val="00AA132D"/>
    <w:rsid w:val="00AA2626"/>
    <w:rsid w:val="00AA3A03"/>
    <w:rsid w:val="00AA7208"/>
    <w:rsid w:val="00AA77EF"/>
    <w:rsid w:val="00AB4A07"/>
    <w:rsid w:val="00AB527A"/>
    <w:rsid w:val="00AB6957"/>
    <w:rsid w:val="00AB741E"/>
    <w:rsid w:val="00AC0EF9"/>
    <w:rsid w:val="00AC3002"/>
    <w:rsid w:val="00AC3A93"/>
    <w:rsid w:val="00AC5A8D"/>
    <w:rsid w:val="00AC7017"/>
    <w:rsid w:val="00AC771A"/>
    <w:rsid w:val="00AD03AF"/>
    <w:rsid w:val="00AD124F"/>
    <w:rsid w:val="00AD5FDA"/>
    <w:rsid w:val="00AD6084"/>
    <w:rsid w:val="00AE1BE3"/>
    <w:rsid w:val="00AE338F"/>
    <w:rsid w:val="00AE481F"/>
    <w:rsid w:val="00AE692F"/>
    <w:rsid w:val="00AF112B"/>
    <w:rsid w:val="00AF2FBA"/>
    <w:rsid w:val="00AF3320"/>
    <w:rsid w:val="00AF3948"/>
    <w:rsid w:val="00B04191"/>
    <w:rsid w:val="00B069C4"/>
    <w:rsid w:val="00B110FE"/>
    <w:rsid w:val="00B11756"/>
    <w:rsid w:val="00B12642"/>
    <w:rsid w:val="00B1266C"/>
    <w:rsid w:val="00B12C1A"/>
    <w:rsid w:val="00B12D9E"/>
    <w:rsid w:val="00B224A9"/>
    <w:rsid w:val="00B2484D"/>
    <w:rsid w:val="00B254F4"/>
    <w:rsid w:val="00B270BC"/>
    <w:rsid w:val="00B310CD"/>
    <w:rsid w:val="00B314C8"/>
    <w:rsid w:val="00B3451E"/>
    <w:rsid w:val="00B34D46"/>
    <w:rsid w:val="00B35605"/>
    <w:rsid w:val="00B361E7"/>
    <w:rsid w:val="00B37E3B"/>
    <w:rsid w:val="00B41640"/>
    <w:rsid w:val="00B4219C"/>
    <w:rsid w:val="00B4253F"/>
    <w:rsid w:val="00B43117"/>
    <w:rsid w:val="00B450C1"/>
    <w:rsid w:val="00B454BB"/>
    <w:rsid w:val="00B47063"/>
    <w:rsid w:val="00B47C60"/>
    <w:rsid w:val="00B52060"/>
    <w:rsid w:val="00B57591"/>
    <w:rsid w:val="00B60543"/>
    <w:rsid w:val="00B638DD"/>
    <w:rsid w:val="00B6525E"/>
    <w:rsid w:val="00B66CB9"/>
    <w:rsid w:val="00B66D1D"/>
    <w:rsid w:val="00B70ACA"/>
    <w:rsid w:val="00B710CD"/>
    <w:rsid w:val="00B74516"/>
    <w:rsid w:val="00B76451"/>
    <w:rsid w:val="00B802B0"/>
    <w:rsid w:val="00B82215"/>
    <w:rsid w:val="00B83977"/>
    <w:rsid w:val="00B8416D"/>
    <w:rsid w:val="00B84A47"/>
    <w:rsid w:val="00B85597"/>
    <w:rsid w:val="00B87C33"/>
    <w:rsid w:val="00B91FB4"/>
    <w:rsid w:val="00B94543"/>
    <w:rsid w:val="00B949B5"/>
    <w:rsid w:val="00B95DB6"/>
    <w:rsid w:val="00B97FF8"/>
    <w:rsid w:val="00BA0E2F"/>
    <w:rsid w:val="00BB6030"/>
    <w:rsid w:val="00BB7C80"/>
    <w:rsid w:val="00BB7F84"/>
    <w:rsid w:val="00BC10F6"/>
    <w:rsid w:val="00BC30E7"/>
    <w:rsid w:val="00BC3F80"/>
    <w:rsid w:val="00BC64AA"/>
    <w:rsid w:val="00BD19B5"/>
    <w:rsid w:val="00BD1EE1"/>
    <w:rsid w:val="00BD2515"/>
    <w:rsid w:val="00BE0CA6"/>
    <w:rsid w:val="00BE137B"/>
    <w:rsid w:val="00BE492D"/>
    <w:rsid w:val="00BF2990"/>
    <w:rsid w:val="00BF2CE1"/>
    <w:rsid w:val="00BF3244"/>
    <w:rsid w:val="00BF356D"/>
    <w:rsid w:val="00C03D22"/>
    <w:rsid w:val="00C04BF3"/>
    <w:rsid w:val="00C074A9"/>
    <w:rsid w:val="00C07E11"/>
    <w:rsid w:val="00C143AF"/>
    <w:rsid w:val="00C20517"/>
    <w:rsid w:val="00C217C9"/>
    <w:rsid w:val="00C22B3E"/>
    <w:rsid w:val="00C2440F"/>
    <w:rsid w:val="00C27835"/>
    <w:rsid w:val="00C27B7D"/>
    <w:rsid w:val="00C306EF"/>
    <w:rsid w:val="00C327F1"/>
    <w:rsid w:val="00C334CB"/>
    <w:rsid w:val="00C35620"/>
    <w:rsid w:val="00C411CF"/>
    <w:rsid w:val="00C42467"/>
    <w:rsid w:val="00C4493F"/>
    <w:rsid w:val="00C4793C"/>
    <w:rsid w:val="00C5040C"/>
    <w:rsid w:val="00C604D9"/>
    <w:rsid w:val="00C60EFC"/>
    <w:rsid w:val="00C62143"/>
    <w:rsid w:val="00C624B6"/>
    <w:rsid w:val="00C6368B"/>
    <w:rsid w:val="00C63FAE"/>
    <w:rsid w:val="00C6661A"/>
    <w:rsid w:val="00C70D98"/>
    <w:rsid w:val="00C87047"/>
    <w:rsid w:val="00C87552"/>
    <w:rsid w:val="00C94EF8"/>
    <w:rsid w:val="00CA0440"/>
    <w:rsid w:val="00CA0779"/>
    <w:rsid w:val="00CA154D"/>
    <w:rsid w:val="00CA5384"/>
    <w:rsid w:val="00CA5445"/>
    <w:rsid w:val="00CA71DB"/>
    <w:rsid w:val="00CB0E01"/>
    <w:rsid w:val="00CB5836"/>
    <w:rsid w:val="00CB7BA7"/>
    <w:rsid w:val="00CC3DA1"/>
    <w:rsid w:val="00CD0C4C"/>
    <w:rsid w:val="00CD3DAA"/>
    <w:rsid w:val="00CD75A2"/>
    <w:rsid w:val="00CE068E"/>
    <w:rsid w:val="00CE7414"/>
    <w:rsid w:val="00CE76B1"/>
    <w:rsid w:val="00CF091E"/>
    <w:rsid w:val="00CF41A2"/>
    <w:rsid w:val="00CF6293"/>
    <w:rsid w:val="00CF688B"/>
    <w:rsid w:val="00D00679"/>
    <w:rsid w:val="00D00F12"/>
    <w:rsid w:val="00D01FCA"/>
    <w:rsid w:val="00D04676"/>
    <w:rsid w:val="00D131DE"/>
    <w:rsid w:val="00D1454A"/>
    <w:rsid w:val="00D17513"/>
    <w:rsid w:val="00D20CB9"/>
    <w:rsid w:val="00D26FD8"/>
    <w:rsid w:val="00D33B0C"/>
    <w:rsid w:val="00D40CE8"/>
    <w:rsid w:val="00D41C22"/>
    <w:rsid w:val="00D421B1"/>
    <w:rsid w:val="00D46AEC"/>
    <w:rsid w:val="00D53511"/>
    <w:rsid w:val="00D547FD"/>
    <w:rsid w:val="00D549E8"/>
    <w:rsid w:val="00D54CE6"/>
    <w:rsid w:val="00D55272"/>
    <w:rsid w:val="00D63E43"/>
    <w:rsid w:val="00D723DE"/>
    <w:rsid w:val="00D7381D"/>
    <w:rsid w:val="00D73DAD"/>
    <w:rsid w:val="00D74B95"/>
    <w:rsid w:val="00D75B42"/>
    <w:rsid w:val="00D77624"/>
    <w:rsid w:val="00D776FD"/>
    <w:rsid w:val="00D80A31"/>
    <w:rsid w:val="00D826BD"/>
    <w:rsid w:val="00D82803"/>
    <w:rsid w:val="00D84BB4"/>
    <w:rsid w:val="00D917AF"/>
    <w:rsid w:val="00D9340D"/>
    <w:rsid w:val="00D95BE2"/>
    <w:rsid w:val="00D96D14"/>
    <w:rsid w:val="00DA2598"/>
    <w:rsid w:val="00DA572A"/>
    <w:rsid w:val="00DB093E"/>
    <w:rsid w:val="00DB1227"/>
    <w:rsid w:val="00DB34FF"/>
    <w:rsid w:val="00DB3FCC"/>
    <w:rsid w:val="00DB4132"/>
    <w:rsid w:val="00DB60E5"/>
    <w:rsid w:val="00DC1DD2"/>
    <w:rsid w:val="00DC28BE"/>
    <w:rsid w:val="00DC3852"/>
    <w:rsid w:val="00DC505F"/>
    <w:rsid w:val="00DC785C"/>
    <w:rsid w:val="00DC7CEB"/>
    <w:rsid w:val="00DC7F10"/>
    <w:rsid w:val="00DD05F3"/>
    <w:rsid w:val="00DD1369"/>
    <w:rsid w:val="00DD7B1C"/>
    <w:rsid w:val="00DE0D6B"/>
    <w:rsid w:val="00DE3D3D"/>
    <w:rsid w:val="00DE3F5A"/>
    <w:rsid w:val="00DE5A6A"/>
    <w:rsid w:val="00DE652B"/>
    <w:rsid w:val="00DE67E3"/>
    <w:rsid w:val="00DF0D2F"/>
    <w:rsid w:val="00E00109"/>
    <w:rsid w:val="00E050B6"/>
    <w:rsid w:val="00E05264"/>
    <w:rsid w:val="00E06AEB"/>
    <w:rsid w:val="00E07B80"/>
    <w:rsid w:val="00E10862"/>
    <w:rsid w:val="00E12C8D"/>
    <w:rsid w:val="00E12D5C"/>
    <w:rsid w:val="00E225CC"/>
    <w:rsid w:val="00E226C8"/>
    <w:rsid w:val="00E22AA0"/>
    <w:rsid w:val="00E23668"/>
    <w:rsid w:val="00E25D33"/>
    <w:rsid w:val="00E27262"/>
    <w:rsid w:val="00E27406"/>
    <w:rsid w:val="00E33BB5"/>
    <w:rsid w:val="00E35F56"/>
    <w:rsid w:val="00E3603E"/>
    <w:rsid w:val="00E404BC"/>
    <w:rsid w:val="00E426FB"/>
    <w:rsid w:val="00E4394F"/>
    <w:rsid w:val="00E43D84"/>
    <w:rsid w:val="00E442F3"/>
    <w:rsid w:val="00E46F67"/>
    <w:rsid w:val="00E53153"/>
    <w:rsid w:val="00E543D2"/>
    <w:rsid w:val="00E56847"/>
    <w:rsid w:val="00E60298"/>
    <w:rsid w:val="00E61987"/>
    <w:rsid w:val="00E635F9"/>
    <w:rsid w:val="00E66C82"/>
    <w:rsid w:val="00E67233"/>
    <w:rsid w:val="00E71458"/>
    <w:rsid w:val="00E719BC"/>
    <w:rsid w:val="00E734DA"/>
    <w:rsid w:val="00E75A00"/>
    <w:rsid w:val="00E7699F"/>
    <w:rsid w:val="00E773F0"/>
    <w:rsid w:val="00E82AB4"/>
    <w:rsid w:val="00E82B23"/>
    <w:rsid w:val="00E86083"/>
    <w:rsid w:val="00E9060A"/>
    <w:rsid w:val="00E94F5C"/>
    <w:rsid w:val="00EA1D9E"/>
    <w:rsid w:val="00EA46C1"/>
    <w:rsid w:val="00EA5B72"/>
    <w:rsid w:val="00EA67D4"/>
    <w:rsid w:val="00EA7613"/>
    <w:rsid w:val="00EB11D9"/>
    <w:rsid w:val="00EB63F4"/>
    <w:rsid w:val="00EB6AB9"/>
    <w:rsid w:val="00EB6D0C"/>
    <w:rsid w:val="00EC01CE"/>
    <w:rsid w:val="00EC24FE"/>
    <w:rsid w:val="00EC5CA8"/>
    <w:rsid w:val="00EC66C0"/>
    <w:rsid w:val="00EC6AA0"/>
    <w:rsid w:val="00EC7C49"/>
    <w:rsid w:val="00ED0F13"/>
    <w:rsid w:val="00ED2073"/>
    <w:rsid w:val="00ED3513"/>
    <w:rsid w:val="00ED3E56"/>
    <w:rsid w:val="00ED7249"/>
    <w:rsid w:val="00EE0127"/>
    <w:rsid w:val="00EE0482"/>
    <w:rsid w:val="00EE099D"/>
    <w:rsid w:val="00EE5089"/>
    <w:rsid w:val="00EE598D"/>
    <w:rsid w:val="00EE6903"/>
    <w:rsid w:val="00EF0BB2"/>
    <w:rsid w:val="00EF236C"/>
    <w:rsid w:val="00EF6F99"/>
    <w:rsid w:val="00EF794D"/>
    <w:rsid w:val="00F000C3"/>
    <w:rsid w:val="00F05315"/>
    <w:rsid w:val="00F05DB3"/>
    <w:rsid w:val="00F07ED2"/>
    <w:rsid w:val="00F10CAF"/>
    <w:rsid w:val="00F13200"/>
    <w:rsid w:val="00F163E5"/>
    <w:rsid w:val="00F17845"/>
    <w:rsid w:val="00F210D2"/>
    <w:rsid w:val="00F238BF"/>
    <w:rsid w:val="00F26AC4"/>
    <w:rsid w:val="00F31DB1"/>
    <w:rsid w:val="00F31E66"/>
    <w:rsid w:val="00F32A8F"/>
    <w:rsid w:val="00F33482"/>
    <w:rsid w:val="00F33555"/>
    <w:rsid w:val="00F34A42"/>
    <w:rsid w:val="00F37894"/>
    <w:rsid w:val="00F4111F"/>
    <w:rsid w:val="00F4152D"/>
    <w:rsid w:val="00F473A4"/>
    <w:rsid w:val="00F51844"/>
    <w:rsid w:val="00F52DE1"/>
    <w:rsid w:val="00F55ED1"/>
    <w:rsid w:val="00F6142E"/>
    <w:rsid w:val="00F65424"/>
    <w:rsid w:val="00F6773F"/>
    <w:rsid w:val="00F71C9E"/>
    <w:rsid w:val="00F7486C"/>
    <w:rsid w:val="00F767C9"/>
    <w:rsid w:val="00F80A8F"/>
    <w:rsid w:val="00F840F2"/>
    <w:rsid w:val="00F866F5"/>
    <w:rsid w:val="00F913F3"/>
    <w:rsid w:val="00F95FC8"/>
    <w:rsid w:val="00FA0D48"/>
    <w:rsid w:val="00FA18AE"/>
    <w:rsid w:val="00FB1EC8"/>
    <w:rsid w:val="00FB27DB"/>
    <w:rsid w:val="00FB3FF3"/>
    <w:rsid w:val="00FB4175"/>
    <w:rsid w:val="00FB7029"/>
    <w:rsid w:val="00FB79FF"/>
    <w:rsid w:val="00FB7E1D"/>
    <w:rsid w:val="00FC0FDE"/>
    <w:rsid w:val="00FC29DF"/>
    <w:rsid w:val="00FC4CDF"/>
    <w:rsid w:val="00FC5DEA"/>
    <w:rsid w:val="00FD0849"/>
    <w:rsid w:val="00FD100D"/>
    <w:rsid w:val="00FD404D"/>
    <w:rsid w:val="00FD4BA6"/>
    <w:rsid w:val="00FD6362"/>
    <w:rsid w:val="00FE0E08"/>
    <w:rsid w:val="00FE110A"/>
    <w:rsid w:val="00FE6627"/>
    <w:rsid w:val="00FE6713"/>
    <w:rsid w:val="00FE6AED"/>
    <w:rsid w:val="00FE6AF4"/>
    <w:rsid w:val="00FE73DD"/>
    <w:rsid w:val="00FE772F"/>
    <w:rsid w:val="00FF0E57"/>
    <w:rsid w:val="00FF4089"/>
    <w:rsid w:val="013524E6"/>
    <w:rsid w:val="01EF799A"/>
    <w:rsid w:val="02DC7717"/>
    <w:rsid w:val="035D4196"/>
    <w:rsid w:val="05AE19DC"/>
    <w:rsid w:val="06603142"/>
    <w:rsid w:val="074E1689"/>
    <w:rsid w:val="0DB03360"/>
    <w:rsid w:val="0EF53B2A"/>
    <w:rsid w:val="105B42BF"/>
    <w:rsid w:val="13B07AD4"/>
    <w:rsid w:val="162077E3"/>
    <w:rsid w:val="163628B9"/>
    <w:rsid w:val="165A75C4"/>
    <w:rsid w:val="17727128"/>
    <w:rsid w:val="184E77CC"/>
    <w:rsid w:val="198F2FA2"/>
    <w:rsid w:val="19984FEA"/>
    <w:rsid w:val="1C351FF0"/>
    <w:rsid w:val="1D046497"/>
    <w:rsid w:val="210B4FAD"/>
    <w:rsid w:val="229972C4"/>
    <w:rsid w:val="23767606"/>
    <w:rsid w:val="25142618"/>
    <w:rsid w:val="27846661"/>
    <w:rsid w:val="27F702BD"/>
    <w:rsid w:val="28265791"/>
    <w:rsid w:val="298059EF"/>
    <w:rsid w:val="2A9E5347"/>
    <w:rsid w:val="2C071743"/>
    <w:rsid w:val="2CC61703"/>
    <w:rsid w:val="303279B9"/>
    <w:rsid w:val="3062405F"/>
    <w:rsid w:val="30BE12F8"/>
    <w:rsid w:val="30E402A4"/>
    <w:rsid w:val="31882DD7"/>
    <w:rsid w:val="319B502B"/>
    <w:rsid w:val="336B7118"/>
    <w:rsid w:val="33AD3E02"/>
    <w:rsid w:val="36422554"/>
    <w:rsid w:val="3669002B"/>
    <w:rsid w:val="369E49BD"/>
    <w:rsid w:val="373842EE"/>
    <w:rsid w:val="38EF471C"/>
    <w:rsid w:val="39471FD9"/>
    <w:rsid w:val="394A4F50"/>
    <w:rsid w:val="39876813"/>
    <w:rsid w:val="3A2B2D55"/>
    <w:rsid w:val="3FCB3A86"/>
    <w:rsid w:val="410F48B7"/>
    <w:rsid w:val="4259137A"/>
    <w:rsid w:val="42E64C18"/>
    <w:rsid w:val="43195B8C"/>
    <w:rsid w:val="43EB2294"/>
    <w:rsid w:val="45576D08"/>
    <w:rsid w:val="48503F2C"/>
    <w:rsid w:val="48B40BB9"/>
    <w:rsid w:val="494913E5"/>
    <w:rsid w:val="4A2F3EE7"/>
    <w:rsid w:val="4A720D17"/>
    <w:rsid w:val="4B753078"/>
    <w:rsid w:val="4D1B616E"/>
    <w:rsid w:val="4D83120E"/>
    <w:rsid w:val="4E1F4272"/>
    <w:rsid w:val="518D30B2"/>
    <w:rsid w:val="519E1D35"/>
    <w:rsid w:val="52DC0984"/>
    <w:rsid w:val="533F590D"/>
    <w:rsid w:val="53C109CA"/>
    <w:rsid w:val="5B463948"/>
    <w:rsid w:val="5D885E44"/>
    <w:rsid w:val="60445F31"/>
    <w:rsid w:val="60DA54D4"/>
    <w:rsid w:val="611D54CB"/>
    <w:rsid w:val="64A81EC4"/>
    <w:rsid w:val="64EF5E2E"/>
    <w:rsid w:val="66FB47E5"/>
    <w:rsid w:val="68A7547C"/>
    <w:rsid w:val="6C97076B"/>
    <w:rsid w:val="6CB74321"/>
    <w:rsid w:val="6DAB0C04"/>
    <w:rsid w:val="6E3E49E9"/>
    <w:rsid w:val="6E7476F1"/>
    <w:rsid w:val="722B1046"/>
    <w:rsid w:val="72B018DF"/>
    <w:rsid w:val="7692734C"/>
    <w:rsid w:val="76FE7ABA"/>
    <w:rsid w:val="774E4C02"/>
    <w:rsid w:val="77B21719"/>
    <w:rsid w:val="796D5ABD"/>
    <w:rsid w:val="79F66D27"/>
    <w:rsid w:val="7B1E4BE3"/>
    <w:rsid w:val="7C976AE2"/>
    <w:rsid w:val="7EFFA598"/>
    <w:rsid w:val="7F2E261D"/>
    <w:rsid w:val="7F971133"/>
    <w:rsid w:val="C5E7C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40" w:lineRule="exact"/>
      <w:ind w:firstLine="640" w:firstLineChars="200"/>
    </w:p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10"/>
    <w:semiHidden/>
    <w:qFormat/>
    <w:uiPriority w:val="99"/>
    <w:pPr>
      <w:snapToGrid w:val="0"/>
      <w:jc w:val="left"/>
    </w:pPr>
    <w:rPr>
      <w:sz w:val="18"/>
      <w:szCs w:val="18"/>
    </w:rPr>
  </w:style>
  <w:style w:type="paragraph" w:styleId="10">
    <w:name w:val="Body Text First Indent 2"/>
    <w:basedOn w:val="3"/>
    <w:qFormat/>
    <w:uiPriority w:val="0"/>
    <w:pPr>
      <w:spacing w:beforeLines="0" w:afterLines="0"/>
      <w:ind w:firstLine="420" w:firstLineChars="200"/>
    </w:pPr>
    <w:rPr>
      <w:rFonts w:hint="eastAsia"/>
      <w:sz w:val="30"/>
    </w:rPr>
  </w:style>
  <w:style w:type="character" w:styleId="13">
    <w:name w:val="page number"/>
    <w:basedOn w:val="12"/>
    <w:qFormat/>
    <w:uiPriority w:val="0"/>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6014</Words>
  <Characters>6209</Characters>
  <Lines>14</Lines>
  <Paragraphs>4</Paragraphs>
  <TotalTime>8</TotalTime>
  <ScaleCrop>false</ScaleCrop>
  <LinksUpToDate>false</LinksUpToDate>
  <CharactersWithSpaces>6224</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2021-01-22T15:53:00Z</dcterms:created>
  <dc:creator>User</dc:creator>
  <cp:lastModifiedBy>提拉米书</cp:lastModifiedBy>
  <cp:lastPrinted>2023-02-20T03:05:00Z</cp:lastPrinted>
  <dcterms:modified xsi:type="dcterms:W3CDTF">2023-10-10T02:34:01Z</dcterms:modified>
  <dc:title>龙胜各族自治县人民政府</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452641428_btnclosed</vt:lpwstr>
  </property>
  <property fmtid="{D5CDD505-2E9C-101B-9397-08002B2CF9AE}" pid="3" name="KSOProductBuildVer">
    <vt:lpwstr>2052-11.1.0.12155</vt:lpwstr>
  </property>
  <property fmtid="{D5CDD505-2E9C-101B-9397-08002B2CF9AE}" pid="4" name="ICV">
    <vt:lpwstr>BDD9C2F827A74115BD02A4128057300A</vt:lpwstr>
  </property>
</Properties>
</file>