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46C" w:rsidRDefault="00B3246C" w:rsidP="00B3246C">
      <w:pPr>
        <w:widowControl/>
        <w:shd w:val="clear" w:color="auto" w:fill="FFFFFF"/>
        <w:adjustRightInd w:val="0"/>
        <w:snapToGrid w:val="0"/>
        <w:spacing w:line="586" w:lineRule="exact"/>
        <w:jc w:val="left"/>
        <w:rPr>
          <w:kern w:val="0"/>
          <w:szCs w:val="32"/>
        </w:rPr>
      </w:pPr>
      <w:r>
        <w:rPr>
          <w:kern w:val="0"/>
          <w:szCs w:val="32"/>
        </w:rPr>
        <w:t>附件</w:t>
      </w:r>
      <w:r>
        <w:rPr>
          <w:kern w:val="0"/>
          <w:szCs w:val="32"/>
        </w:rPr>
        <w:t>4</w:t>
      </w:r>
    </w:p>
    <w:p w:rsidR="00B3246C" w:rsidRDefault="00B3246C" w:rsidP="00B3246C">
      <w:pPr>
        <w:widowControl/>
        <w:shd w:val="clear" w:color="auto" w:fill="FFFFFF"/>
        <w:adjustRightInd w:val="0"/>
        <w:snapToGrid w:val="0"/>
        <w:spacing w:line="400" w:lineRule="exact"/>
        <w:jc w:val="center"/>
        <w:rPr>
          <w:rFonts w:eastAsia="方正小标宋_GBK" w:cs="方正小标宋简体"/>
          <w:kern w:val="0"/>
          <w:sz w:val="44"/>
          <w:szCs w:val="44"/>
        </w:rPr>
      </w:pPr>
    </w:p>
    <w:p w:rsidR="00B3246C" w:rsidRDefault="00B3246C" w:rsidP="00B3246C">
      <w:pPr>
        <w:widowControl/>
        <w:shd w:val="clear" w:color="auto" w:fill="FFFFFF"/>
        <w:adjustRightInd w:val="0"/>
        <w:snapToGrid w:val="0"/>
        <w:spacing w:line="586" w:lineRule="exact"/>
        <w:jc w:val="center"/>
        <w:rPr>
          <w:rFonts w:eastAsia="方正小标宋_GBK" w:cs="方正小标宋简体"/>
          <w:spacing w:val="-6"/>
          <w:kern w:val="0"/>
          <w:sz w:val="44"/>
          <w:szCs w:val="44"/>
        </w:rPr>
      </w:pPr>
      <w:r>
        <w:rPr>
          <w:rFonts w:eastAsia="方正小标宋_GBK" w:cs="方正小标宋简体" w:hint="eastAsia"/>
          <w:spacing w:val="-6"/>
          <w:kern w:val="0"/>
          <w:sz w:val="44"/>
          <w:szCs w:val="44"/>
        </w:rPr>
        <w:t>龙胜各族自治县推进健康中国行动考核指标框架</w:t>
      </w:r>
    </w:p>
    <w:p w:rsidR="00B3246C" w:rsidRDefault="00B3246C" w:rsidP="00B3246C">
      <w:pPr>
        <w:widowControl/>
        <w:shd w:val="clear" w:color="auto" w:fill="FFFFFF"/>
        <w:adjustRightInd w:val="0"/>
        <w:snapToGrid w:val="0"/>
        <w:spacing w:line="400" w:lineRule="exact"/>
        <w:rPr>
          <w:rFonts w:cs="宋体"/>
          <w:kern w:val="0"/>
          <w:sz w:val="24"/>
        </w:rPr>
      </w:pPr>
    </w:p>
    <w:tbl>
      <w:tblPr>
        <w:tblW w:w="0" w:type="auto"/>
        <w:tblCellSpacing w:w="0" w:type="dxa"/>
        <w:tblInd w:w="-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423"/>
        <w:gridCol w:w="537"/>
        <w:gridCol w:w="4519"/>
        <w:gridCol w:w="1442"/>
        <w:gridCol w:w="697"/>
        <w:gridCol w:w="698"/>
      </w:tblGrid>
      <w:tr w:rsidR="00B3246C" w:rsidTr="00795F74">
        <w:trPr>
          <w:trHeight w:val="1031"/>
          <w:tblHeader/>
          <w:tblCellSpacing w:w="0" w:type="dxa"/>
        </w:trPr>
        <w:tc>
          <w:tcPr>
            <w:tcW w:w="1423"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考核</w:t>
            </w:r>
          </w:p>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依据</w:t>
            </w:r>
          </w:p>
        </w:tc>
        <w:tc>
          <w:tcPr>
            <w:tcW w:w="537"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序号</w:t>
            </w:r>
          </w:p>
        </w:tc>
        <w:tc>
          <w:tcPr>
            <w:tcW w:w="4519"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指标</w:t>
            </w:r>
          </w:p>
        </w:tc>
        <w:tc>
          <w:tcPr>
            <w:tcW w:w="1442"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基期</w:t>
            </w:r>
          </w:p>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水平</w:t>
            </w:r>
          </w:p>
        </w:tc>
        <w:tc>
          <w:tcPr>
            <w:tcW w:w="697"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2022</w:t>
            </w:r>
            <w:r>
              <w:rPr>
                <w:rFonts w:eastAsia="黑体" w:hint="eastAsia"/>
                <w:kern w:val="0"/>
                <w:sz w:val="24"/>
              </w:rPr>
              <w:t>年目标值</w:t>
            </w:r>
          </w:p>
        </w:tc>
        <w:tc>
          <w:tcPr>
            <w:tcW w:w="698" w:type="dxa"/>
            <w:shd w:val="clear" w:color="auto" w:fill="FFFFFF"/>
            <w:vAlign w:val="center"/>
          </w:tcPr>
          <w:p w:rsidR="00B3246C" w:rsidRDefault="00B3246C" w:rsidP="00795F74">
            <w:pPr>
              <w:widowControl/>
              <w:adjustRightInd w:val="0"/>
              <w:snapToGrid w:val="0"/>
              <w:spacing w:line="240" w:lineRule="atLeast"/>
              <w:jc w:val="center"/>
              <w:rPr>
                <w:rFonts w:eastAsia="黑体"/>
                <w:kern w:val="0"/>
                <w:sz w:val="24"/>
              </w:rPr>
            </w:pPr>
            <w:r>
              <w:rPr>
                <w:rFonts w:eastAsia="黑体" w:hint="eastAsia"/>
                <w:kern w:val="0"/>
                <w:sz w:val="24"/>
              </w:rPr>
              <w:t>2030</w:t>
            </w:r>
            <w:r>
              <w:rPr>
                <w:rFonts w:eastAsia="黑体" w:hint="eastAsia"/>
                <w:kern w:val="0"/>
                <w:sz w:val="24"/>
              </w:rPr>
              <w:t>年目标值</w:t>
            </w:r>
          </w:p>
        </w:tc>
      </w:tr>
      <w:tr w:rsidR="00B3246C" w:rsidTr="00795F74">
        <w:trPr>
          <w:trHeight w:val="588"/>
          <w:tblCellSpacing w:w="0" w:type="dxa"/>
        </w:trPr>
        <w:tc>
          <w:tcPr>
            <w:tcW w:w="1423" w:type="dxa"/>
            <w:vMerge w:val="restart"/>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《“健康龙胜</w:t>
            </w:r>
            <w:r>
              <w:rPr>
                <w:rFonts w:hint="eastAsia"/>
                <w:kern w:val="0"/>
                <w:sz w:val="21"/>
                <w:szCs w:val="21"/>
              </w:rPr>
              <w:t>2030</w:t>
            </w:r>
            <w:r>
              <w:rPr>
                <w:rFonts w:hint="eastAsia"/>
                <w:kern w:val="0"/>
                <w:sz w:val="21"/>
                <w:szCs w:val="21"/>
              </w:rPr>
              <w:t>”规划》</w:t>
            </w: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人均预期寿命（岁）</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77.06</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2017</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77.71</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79.8</w:t>
            </w:r>
          </w:p>
        </w:tc>
      </w:tr>
      <w:tr w:rsidR="00B3246C" w:rsidTr="00795F74">
        <w:trPr>
          <w:trHeight w:val="53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婴儿死亡率（‰）</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3.91</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7.5</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4.5</w:t>
            </w:r>
          </w:p>
        </w:tc>
      </w:tr>
      <w:tr w:rsidR="00B3246C" w:rsidTr="00795F74">
        <w:trPr>
          <w:trHeight w:val="60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3</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5</w:t>
            </w:r>
            <w:r>
              <w:rPr>
                <w:rFonts w:hint="eastAsia"/>
                <w:kern w:val="0"/>
                <w:sz w:val="21"/>
                <w:szCs w:val="21"/>
              </w:rPr>
              <w:t>岁以下儿童死亡率（‰）</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5.37</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5.6</w:t>
            </w:r>
          </w:p>
        </w:tc>
      </w:tr>
      <w:tr w:rsidR="00B3246C" w:rsidTr="00795F74">
        <w:trPr>
          <w:trHeight w:val="62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4</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proofErr w:type="gramStart"/>
            <w:r>
              <w:rPr>
                <w:rFonts w:hint="eastAsia"/>
                <w:kern w:val="0"/>
                <w:sz w:val="21"/>
                <w:szCs w:val="21"/>
              </w:rPr>
              <w:t>孕</w:t>
            </w:r>
            <w:proofErr w:type="gramEnd"/>
            <w:r>
              <w:rPr>
                <w:rFonts w:hint="eastAsia"/>
                <w:kern w:val="0"/>
                <w:sz w:val="21"/>
                <w:szCs w:val="21"/>
              </w:rPr>
              <w:t>产妇死亡率（</w:t>
            </w:r>
            <w:r>
              <w:rPr>
                <w:rFonts w:hint="eastAsia"/>
                <w:kern w:val="0"/>
                <w:sz w:val="21"/>
                <w:szCs w:val="21"/>
              </w:rPr>
              <w:t>1/10</w:t>
            </w:r>
            <w:r>
              <w:rPr>
                <w:rFonts w:hint="eastAsia"/>
                <w:kern w:val="0"/>
                <w:sz w:val="21"/>
                <w:szCs w:val="21"/>
              </w:rPr>
              <w:t>万）</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5.36</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17</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11.5</w:t>
            </w:r>
          </w:p>
        </w:tc>
      </w:tr>
      <w:tr w:rsidR="00B3246C" w:rsidTr="00795F74">
        <w:trPr>
          <w:trHeight w:val="69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5</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城乡居民达到《国民体质测定标准》合格以上的人数比例（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95.54</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91</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92.3</w:t>
            </w:r>
          </w:p>
        </w:tc>
      </w:tr>
      <w:tr w:rsidR="00B3246C" w:rsidTr="00795F74">
        <w:trPr>
          <w:trHeight w:val="364"/>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6</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居民健康素养水平（</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30</w:t>
            </w:r>
          </w:p>
        </w:tc>
      </w:tr>
      <w:tr w:rsidR="00B3246C" w:rsidTr="00795F74">
        <w:trPr>
          <w:trHeight w:val="364"/>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7</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经常参加体育锻炼人数比例（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37</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40</w:t>
            </w:r>
          </w:p>
        </w:tc>
      </w:tr>
      <w:tr w:rsidR="00B3246C" w:rsidTr="00795F74">
        <w:trPr>
          <w:trHeight w:val="56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8</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重大慢性病过早死亡率（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15.62</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15.9</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13</w:t>
            </w:r>
          </w:p>
        </w:tc>
      </w:tr>
      <w:tr w:rsidR="00B3246C" w:rsidTr="00795F74">
        <w:trPr>
          <w:trHeight w:val="59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9</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每千常住人口执业（助理）医师数（人）</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2.36</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2018</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2.52</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3.2</w:t>
            </w:r>
          </w:p>
        </w:tc>
      </w:tr>
      <w:tr w:rsidR="00B3246C" w:rsidTr="00795F74">
        <w:trPr>
          <w:trHeight w:val="63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10</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个人卫生支出占卫生总费用的比重（</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28.72</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2017</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27.5</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25</w:t>
            </w:r>
          </w:p>
        </w:tc>
      </w:tr>
      <w:tr w:rsidR="00B3246C" w:rsidTr="00795F74">
        <w:trPr>
          <w:trHeight w:val="90"/>
          <w:tblCellSpacing w:w="0" w:type="dxa"/>
        </w:trPr>
        <w:tc>
          <w:tcPr>
            <w:tcW w:w="1423" w:type="dxa"/>
            <w:vMerge w:val="restart"/>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《健康中国行动（</w:t>
            </w:r>
            <w:r>
              <w:rPr>
                <w:rFonts w:hint="eastAsia"/>
                <w:kern w:val="0"/>
                <w:sz w:val="21"/>
                <w:szCs w:val="21"/>
              </w:rPr>
              <w:t>2019</w:t>
            </w:r>
            <w:r>
              <w:rPr>
                <w:rFonts w:hint="eastAsia"/>
                <w:kern w:val="0"/>
                <w:sz w:val="21"/>
                <w:szCs w:val="21"/>
              </w:rPr>
              <w:t>—</w:t>
            </w:r>
            <w:r>
              <w:rPr>
                <w:rFonts w:hint="eastAsia"/>
                <w:kern w:val="0"/>
                <w:sz w:val="21"/>
                <w:szCs w:val="21"/>
              </w:rPr>
              <w:t>2030</w:t>
            </w:r>
            <w:r>
              <w:rPr>
                <w:rFonts w:hint="eastAsia"/>
                <w:kern w:val="0"/>
                <w:sz w:val="21"/>
                <w:szCs w:val="21"/>
              </w:rPr>
              <w:t>年）》和相关规划文件</w:t>
            </w: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11</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建立并完善健康科普专家库和资源库，构建健康科普知识发布和传播机制</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实现</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实现</w:t>
            </w:r>
          </w:p>
        </w:tc>
      </w:tr>
      <w:tr w:rsidR="00B3246C" w:rsidTr="00795F74">
        <w:trPr>
          <w:trHeight w:val="56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12</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建立医疗机构和医务人员开展健康教育和健康促进的绩效考核机制</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实现</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实现</w:t>
            </w:r>
          </w:p>
        </w:tc>
      </w:tr>
      <w:tr w:rsidR="00B3246C" w:rsidTr="00795F74">
        <w:trPr>
          <w:trHeight w:val="54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13</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产前筛查率（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87.32</w:t>
            </w:r>
          </w:p>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70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80</w:t>
            </w:r>
          </w:p>
        </w:tc>
      </w:tr>
      <w:tr w:rsidR="00B3246C" w:rsidTr="00795F74">
        <w:trPr>
          <w:trHeight w:val="53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14</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新生儿遗传代谢性疾病筛查率（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98.09</w:t>
            </w:r>
          </w:p>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98</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98</w:t>
            </w:r>
          </w:p>
        </w:tc>
      </w:tr>
      <w:tr w:rsidR="00B3246C" w:rsidTr="00795F74">
        <w:trPr>
          <w:trHeight w:val="56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15</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农村适龄妇女宫颈癌和乳腺癌筛查覆盖率（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66.09</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80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r>
      <w:tr w:rsidR="00B3246C" w:rsidTr="00795F74">
        <w:trPr>
          <w:trHeight w:val="583"/>
          <w:tblCellSpacing w:w="0" w:type="dxa"/>
        </w:trPr>
        <w:tc>
          <w:tcPr>
            <w:tcW w:w="1423" w:type="dxa"/>
            <w:vMerge w:val="restart"/>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《健康中国行动（</w:t>
            </w:r>
            <w:r>
              <w:rPr>
                <w:rFonts w:hint="eastAsia"/>
                <w:kern w:val="0"/>
                <w:sz w:val="21"/>
                <w:szCs w:val="21"/>
              </w:rPr>
              <w:t>2019</w:t>
            </w:r>
            <w:r>
              <w:rPr>
                <w:rFonts w:hint="eastAsia"/>
                <w:kern w:val="0"/>
                <w:sz w:val="21"/>
                <w:szCs w:val="21"/>
              </w:rPr>
              <w:t>—</w:t>
            </w:r>
            <w:r>
              <w:rPr>
                <w:rFonts w:hint="eastAsia"/>
                <w:kern w:val="0"/>
                <w:sz w:val="21"/>
                <w:szCs w:val="21"/>
              </w:rPr>
              <w:t>2030</w:t>
            </w:r>
            <w:r>
              <w:rPr>
                <w:rFonts w:hint="eastAsia"/>
                <w:kern w:val="0"/>
                <w:sz w:val="21"/>
                <w:szCs w:val="21"/>
              </w:rPr>
              <w:t>年）》和相关规划文件</w:t>
            </w: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16</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国家学生体质健康标准达标优良率（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37.54</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50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60</w:t>
            </w:r>
          </w:p>
        </w:tc>
      </w:tr>
      <w:tr w:rsidR="00B3246C" w:rsidTr="00795F74">
        <w:trPr>
          <w:trHeight w:val="59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17</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符合要求的中小学体育与健康课程开课率（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73.28</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100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100</w:t>
            </w:r>
          </w:p>
        </w:tc>
      </w:tr>
      <w:tr w:rsidR="00B3246C" w:rsidTr="00795F74">
        <w:trPr>
          <w:trHeight w:val="619"/>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18</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中小学生每天校内体育活动时间（小时）</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1</w:t>
            </w:r>
          </w:p>
        </w:tc>
      </w:tr>
      <w:tr w:rsidR="00B3246C" w:rsidTr="00795F74">
        <w:trPr>
          <w:trHeight w:val="168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19</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寄宿制中小学校或</w:t>
            </w:r>
            <w:r>
              <w:rPr>
                <w:rFonts w:hint="eastAsia"/>
                <w:kern w:val="0"/>
                <w:sz w:val="21"/>
                <w:szCs w:val="21"/>
              </w:rPr>
              <w:t>600</w:t>
            </w:r>
            <w:r>
              <w:rPr>
                <w:rFonts w:hint="eastAsia"/>
                <w:kern w:val="0"/>
                <w:sz w:val="21"/>
                <w:szCs w:val="21"/>
              </w:rPr>
              <w:t>名学生以上的非寄宿制中小学校配备专职卫生专业技术人员、</w:t>
            </w:r>
            <w:r>
              <w:rPr>
                <w:rFonts w:hint="eastAsia"/>
                <w:kern w:val="0"/>
                <w:sz w:val="21"/>
                <w:szCs w:val="21"/>
              </w:rPr>
              <w:t>600</w:t>
            </w:r>
            <w:r>
              <w:rPr>
                <w:rFonts w:hint="eastAsia"/>
                <w:kern w:val="0"/>
                <w:sz w:val="21"/>
                <w:szCs w:val="21"/>
              </w:rPr>
              <w:t>名学生以下的非寄宿制中小学校配备专兼职保健教师或卫生专业技术人员的比例（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23.6</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70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r>
      <w:tr w:rsidR="00B3246C" w:rsidTr="00795F74">
        <w:trPr>
          <w:trHeight w:val="1058"/>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20</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配备专兼职心理健康工作人员的中小学校比例（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100</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80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90</w:t>
            </w:r>
          </w:p>
        </w:tc>
      </w:tr>
      <w:tr w:rsidR="00B3246C" w:rsidTr="00795F74">
        <w:trPr>
          <w:trHeight w:val="69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21</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接尘工龄不足</w:t>
            </w:r>
            <w:r>
              <w:rPr>
                <w:rFonts w:hint="eastAsia"/>
                <w:kern w:val="0"/>
                <w:sz w:val="21"/>
                <w:szCs w:val="21"/>
              </w:rPr>
              <w:t>5</w:t>
            </w:r>
            <w:r>
              <w:rPr>
                <w:rFonts w:hint="eastAsia"/>
                <w:kern w:val="0"/>
                <w:sz w:val="21"/>
                <w:szCs w:val="21"/>
              </w:rPr>
              <w:t>年的劳动者新发尘肺病报告例数占年度</w:t>
            </w:r>
            <w:proofErr w:type="gramStart"/>
            <w:r>
              <w:rPr>
                <w:rFonts w:hint="eastAsia"/>
                <w:kern w:val="0"/>
                <w:sz w:val="21"/>
                <w:szCs w:val="21"/>
              </w:rPr>
              <w:t>报告总</w:t>
            </w:r>
            <w:proofErr w:type="gramEnd"/>
            <w:r>
              <w:rPr>
                <w:rFonts w:hint="eastAsia"/>
                <w:kern w:val="0"/>
                <w:sz w:val="21"/>
                <w:szCs w:val="21"/>
              </w:rPr>
              <w:t>例数比例（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0</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持续</w:t>
            </w:r>
          </w:p>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保持</w:t>
            </w:r>
          </w:p>
        </w:tc>
        <w:tc>
          <w:tcPr>
            <w:tcW w:w="698"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持续</w:t>
            </w:r>
          </w:p>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保持</w:t>
            </w:r>
          </w:p>
        </w:tc>
      </w:tr>
      <w:tr w:rsidR="00B3246C" w:rsidTr="00795F74">
        <w:trPr>
          <w:trHeight w:val="850"/>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22</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二级以上综合性医院设老年医学科比例（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82.61</w:t>
            </w:r>
          </w:p>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2019</w:t>
            </w:r>
            <w:r>
              <w:rPr>
                <w:rFonts w:hint="eastAsia"/>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53</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r>
      <w:tr w:rsidR="00B3246C" w:rsidTr="00795F74">
        <w:trPr>
          <w:trHeight w:val="69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23</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高血压患者规范管理率（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88.16</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60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70</w:t>
            </w:r>
          </w:p>
        </w:tc>
      </w:tr>
      <w:tr w:rsidR="00B3246C" w:rsidTr="00795F74">
        <w:trPr>
          <w:trHeight w:val="69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24</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糖尿病患者规范管理率（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86.89</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60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70</w:t>
            </w:r>
          </w:p>
        </w:tc>
      </w:tr>
      <w:tr w:rsidR="00B3246C" w:rsidTr="00795F74">
        <w:trPr>
          <w:trHeight w:val="695"/>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25</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乡镇卫生院提供中医非药物疗法的比例（</w:t>
            </w:r>
            <w:r>
              <w:rPr>
                <w:rFonts w:hint="eastAsia"/>
                <w:kern w:val="0"/>
                <w:sz w:val="21"/>
                <w:szCs w:val="21"/>
              </w:rPr>
              <w:t>%</w:t>
            </w:r>
            <w:r>
              <w:rPr>
                <w:rFonts w:hint="eastAsia"/>
                <w:kern w:val="0"/>
                <w:sz w:val="21"/>
                <w:szCs w:val="21"/>
              </w:rPr>
              <w:t>），村卫生室提供中医非药物疗法的比例（</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92.62%</w:t>
            </w:r>
            <w:r>
              <w:rPr>
                <w:rFonts w:hint="eastAsia"/>
                <w:bCs/>
                <w:kern w:val="0"/>
                <w:sz w:val="21"/>
                <w:szCs w:val="21"/>
              </w:rPr>
              <w:t>，</w:t>
            </w:r>
            <w:r>
              <w:rPr>
                <w:rFonts w:hint="eastAsia"/>
                <w:bCs/>
                <w:kern w:val="0"/>
                <w:sz w:val="21"/>
                <w:szCs w:val="21"/>
              </w:rPr>
              <w:t>64.86%</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2019</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100,75</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100</w:t>
            </w:r>
            <w:r>
              <w:rPr>
                <w:rFonts w:hint="eastAsia"/>
                <w:kern w:val="0"/>
                <w:sz w:val="21"/>
                <w:szCs w:val="21"/>
              </w:rPr>
              <w:t>，</w:t>
            </w:r>
            <w:r>
              <w:rPr>
                <w:rFonts w:hint="eastAsia"/>
                <w:kern w:val="0"/>
                <w:sz w:val="21"/>
                <w:szCs w:val="21"/>
              </w:rPr>
              <w:t>80</w:t>
            </w:r>
          </w:p>
        </w:tc>
      </w:tr>
      <w:tr w:rsidR="00B3246C" w:rsidTr="00795F74">
        <w:trPr>
          <w:trHeight w:val="711"/>
          <w:tblCellSpacing w:w="0" w:type="dxa"/>
        </w:trPr>
        <w:tc>
          <w:tcPr>
            <w:tcW w:w="1423" w:type="dxa"/>
            <w:vMerge/>
            <w:shd w:val="clear" w:color="auto" w:fill="FFFFFF"/>
            <w:vAlign w:val="center"/>
          </w:tcPr>
          <w:p w:rsidR="00B3246C" w:rsidRDefault="00B3246C" w:rsidP="00795F74">
            <w:pPr>
              <w:widowControl/>
              <w:adjustRightInd w:val="0"/>
              <w:snapToGrid w:val="0"/>
              <w:spacing w:line="240" w:lineRule="atLeast"/>
              <w:jc w:val="left"/>
              <w:rPr>
                <w:kern w:val="0"/>
                <w:sz w:val="21"/>
                <w:szCs w:val="21"/>
              </w:rPr>
            </w:pPr>
          </w:p>
        </w:tc>
        <w:tc>
          <w:tcPr>
            <w:tcW w:w="53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26</w:t>
            </w:r>
          </w:p>
        </w:tc>
        <w:tc>
          <w:tcPr>
            <w:tcW w:w="4519" w:type="dxa"/>
            <w:shd w:val="clear" w:color="auto" w:fill="FFFFFF"/>
            <w:vAlign w:val="center"/>
          </w:tcPr>
          <w:p w:rsidR="00B3246C" w:rsidRDefault="00B3246C" w:rsidP="00795F74">
            <w:pPr>
              <w:widowControl/>
              <w:adjustRightInd w:val="0"/>
              <w:snapToGrid w:val="0"/>
              <w:spacing w:line="240" w:lineRule="atLeast"/>
              <w:jc w:val="left"/>
              <w:rPr>
                <w:kern w:val="0"/>
                <w:sz w:val="21"/>
                <w:szCs w:val="21"/>
              </w:rPr>
            </w:pPr>
            <w:r>
              <w:rPr>
                <w:rFonts w:hint="eastAsia"/>
                <w:kern w:val="0"/>
                <w:sz w:val="21"/>
                <w:szCs w:val="21"/>
              </w:rPr>
              <w:t>以乡（镇、街道）为单位适龄儿童免疫规划疫苗接种率（</w:t>
            </w:r>
            <w:r>
              <w:rPr>
                <w:rFonts w:hint="eastAsia"/>
                <w:kern w:val="0"/>
                <w:sz w:val="21"/>
                <w:szCs w:val="21"/>
              </w:rPr>
              <w:t>%</w:t>
            </w:r>
            <w:r>
              <w:rPr>
                <w:rFonts w:hint="eastAsia"/>
                <w:kern w:val="0"/>
                <w:sz w:val="21"/>
                <w:szCs w:val="21"/>
              </w:rPr>
              <w:t>）</w:t>
            </w:r>
          </w:p>
        </w:tc>
        <w:tc>
          <w:tcPr>
            <w:tcW w:w="1442" w:type="dxa"/>
            <w:shd w:val="clear" w:color="auto" w:fill="FFFFFF"/>
            <w:vAlign w:val="center"/>
          </w:tcPr>
          <w:p w:rsidR="00B3246C" w:rsidRDefault="00B3246C" w:rsidP="00795F74">
            <w:pPr>
              <w:widowControl/>
              <w:adjustRightInd w:val="0"/>
              <w:snapToGrid w:val="0"/>
              <w:spacing w:line="240" w:lineRule="atLeast"/>
              <w:jc w:val="center"/>
              <w:rPr>
                <w:bCs/>
                <w:kern w:val="0"/>
                <w:sz w:val="21"/>
                <w:szCs w:val="21"/>
              </w:rPr>
            </w:pPr>
            <w:r>
              <w:rPr>
                <w:rFonts w:hint="eastAsia"/>
                <w:bCs/>
                <w:kern w:val="0"/>
                <w:sz w:val="21"/>
                <w:szCs w:val="21"/>
              </w:rPr>
              <w:t>99.25</w:t>
            </w:r>
          </w:p>
          <w:p w:rsidR="00B3246C" w:rsidRDefault="00B3246C" w:rsidP="00795F74">
            <w:pPr>
              <w:widowControl/>
              <w:adjustRightInd w:val="0"/>
              <w:snapToGrid w:val="0"/>
              <w:spacing w:line="240" w:lineRule="atLeast"/>
              <w:jc w:val="center"/>
              <w:rPr>
                <w:kern w:val="0"/>
                <w:sz w:val="21"/>
                <w:szCs w:val="21"/>
              </w:rPr>
            </w:pPr>
            <w:r>
              <w:rPr>
                <w:rFonts w:hint="eastAsia"/>
                <w:bCs/>
                <w:kern w:val="0"/>
                <w:sz w:val="21"/>
                <w:szCs w:val="21"/>
              </w:rPr>
              <w:t>（</w:t>
            </w:r>
            <w:r>
              <w:rPr>
                <w:rFonts w:hint="eastAsia"/>
                <w:bCs/>
                <w:kern w:val="0"/>
                <w:sz w:val="21"/>
                <w:szCs w:val="21"/>
              </w:rPr>
              <w:t>2018</w:t>
            </w:r>
            <w:r>
              <w:rPr>
                <w:rFonts w:hint="eastAsia"/>
                <w:bCs/>
                <w:kern w:val="0"/>
                <w:sz w:val="21"/>
                <w:szCs w:val="21"/>
              </w:rPr>
              <w:t>年）</w:t>
            </w:r>
          </w:p>
        </w:tc>
        <w:tc>
          <w:tcPr>
            <w:tcW w:w="697"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c>
          <w:tcPr>
            <w:tcW w:w="698" w:type="dxa"/>
            <w:shd w:val="clear" w:color="auto" w:fill="FFFFFF"/>
            <w:vAlign w:val="center"/>
          </w:tcPr>
          <w:p w:rsidR="00B3246C" w:rsidRDefault="00B3246C" w:rsidP="00795F74">
            <w:pPr>
              <w:widowControl/>
              <w:adjustRightInd w:val="0"/>
              <w:snapToGrid w:val="0"/>
              <w:spacing w:line="240" w:lineRule="atLeast"/>
              <w:jc w:val="center"/>
              <w:rPr>
                <w:kern w:val="0"/>
                <w:sz w:val="21"/>
                <w:szCs w:val="21"/>
              </w:rPr>
            </w:pPr>
            <w:r>
              <w:rPr>
                <w:rFonts w:hint="eastAsia"/>
                <w:kern w:val="0"/>
                <w:sz w:val="21"/>
                <w:szCs w:val="21"/>
              </w:rPr>
              <w:t>＞</w:t>
            </w:r>
            <w:r>
              <w:rPr>
                <w:rFonts w:hint="eastAsia"/>
                <w:kern w:val="0"/>
                <w:sz w:val="21"/>
                <w:szCs w:val="21"/>
              </w:rPr>
              <w:t>90</w:t>
            </w:r>
          </w:p>
        </w:tc>
      </w:tr>
    </w:tbl>
    <w:p w:rsidR="0052034E" w:rsidRDefault="0052034E"/>
    <w:sectPr w:rsidR="0052034E" w:rsidSect="00520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46C"/>
    <w:rsid w:val="0052034E"/>
    <w:rsid w:val="00B324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6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2021-12-23T03:08:00Z</dcterms:created>
  <dcterms:modified xsi:type="dcterms:W3CDTF">2021-12-23T03:09:00Z</dcterms:modified>
</cp:coreProperties>
</file>