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8094" w:tblpY="508"/>
        <w:tblW w:w="2700" w:type="dxa"/>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ayout w:type="fixed"/>
        <w:tblCellMar>
          <w:left w:w="0" w:type="dxa"/>
          <w:right w:w="0" w:type="dxa"/>
        </w:tblCellMar>
        <w:tblLook w:val="04A0" w:firstRow="1" w:lastRow="0" w:firstColumn="1" w:lastColumn="0" w:noHBand="0" w:noVBand="1"/>
      </w:tblPr>
      <w:tblGrid>
        <w:gridCol w:w="1050"/>
        <w:gridCol w:w="632"/>
        <w:gridCol w:w="540"/>
        <w:gridCol w:w="478"/>
      </w:tblGrid>
      <w:tr w:rsidR="005E02A9">
        <w:trPr>
          <w:cantSplit/>
          <w:trHeight w:val="783"/>
        </w:trPr>
        <w:tc>
          <w:tcPr>
            <w:tcW w:w="2700" w:type="dxa"/>
            <w:gridSpan w:val="4"/>
            <w:tcBorders>
              <w:top w:val="thickThinSmallGap" w:sz="18" w:space="0" w:color="0000FF"/>
              <w:left w:val="thickThinSmallGap" w:sz="18" w:space="0" w:color="0000FF"/>
              <w:bottom w:val="thickThinSmallGap" w:sz="18" w:space="0" w:color="0000FF"/>
              <w:right w:val="thickThinSmallGap" w:sz="18" w:space="0" w:color="0000FF"/>
            </w:tcBorders>
            <w:vAlign w:val="center"/>
          </w:tcPr>
          <w:p w:rsidR="005E02A9" w:rsidRDefault="00B84726">
            <w:pPr>
              <w:tabs>
                <w:tab w:val="left" w:pos="2023"/>
              </w:tabs>
              <w:adjustRightInd w:val="0"/>
              <w:snapToGrid w:val="0"/>
              <w:jc w:val="center"/>
              <w:rPr>
                <w:rFonts w:ascii="宋体" w:eastAsia="宋体" w:hAnsi="宋体"/>
                <w:b/>
                <w:color w:val="0000FF"/>
                <w:kern w:val="0"/>
                <w:sz w:val="21"/>
                <w:szCs w:val="21"/>
              </w:rPr>
            </w:pPr>
            <w:r>
              <w:rPr>
                <w:rFonts w:ascii="宋体" w:eastAsia="宋体" w:hAnsi="宋体" w:hint="eastAsia"/>
                <w:b/>
                <w:color w:val="0000FF"/>
                <w:kern w:val="0"/>
                <w:sz w:val="21"/>
                <w:szCs w:val="21"/>
              </w:rPr>
              <w:t>龙胜各族自治县人民政府</w:t>
            </w:r>
          </w:p>
          <w:p w:rsidR="005E02A9" w:rsidRDefault="00B84726">
            <w:pPr>
              <w:tabs>
                <w:tab w:val="left" w:pos="2023"/>
              </w:tabs>
              <w:adjustRightInd w:val="0"/>
              <w:snapToGrid w:val="0"/>
              <w:jc w:val="center"/>
              <w:rPr>
                <w:rFonts w:ascii="宋体" w:eastAsia="宋体" w:hAnsi="宋体"/>
                <w:b/>
                <w:color w:val="0000FF"/>
                <w:kern w:val="0"/>
                <w:sz w:val="21"/>
                <w:szCs w:val="21"/>
              </w:rPr>
            </w:pPr>
            <w:r>
              <w:rPr>
                <w:rFonts w:ascii="宋体" w:eastAsia="宋体" w:hAnsi="宋体" w:hint="eastAsia"/>
                <w:b/>
                <w:color w:val="0000FF"/>
                <w:kern w:val="0"/>
                <w:sz w:val="21"/>
                <w:szCs w:val="21"/>
              </w:rPr>
              <w:t>办公室（网络发文）</w:t>
            </w:r>
          </w:p>
        </w:tc>
      </w:tr>
      <w:tr w:rsidR="005E02A9">
        <w:trPr>
          <w:trHeight w:val="484"/>
        </w:trPr>
        <w:tc>
          <w:tcPr>
            <w:tcW w:w="1050" w:type="dxa"/>
            <w:tcBorders>
              <w:top w:val="thickThinSmallGap" w:sz="18" w:space="0" w:color="0000FF"/>
              <w:left w:val="thickThinSmallGap" w:sz="18" w:space="0" w:color="0000FF"/>
              <w:bottom w:val="thickThinSmallGap" w:sz="18" w:space="0" w:color="0000FF"/>
              <w:right w:val="thickThinSmallGap" w:sz="18" w:space="0" w:color="0000FF"/>
            </w:tcBorders>
            <w:vAlign w:val="center"/>
          </w:tcPr>
          <w:p w:rsidR="005E02A9" w:rsidRDefault="00B84726">
            <w:pPr>
              <w:tabs>
                <w:tab w:val="left" w:pos="2023"/>
              </w:tabs>
              <w:adjustRightInd w:val="0"/>
              <w:snapToGrid w:val="0"/>
              <w:spacing w:line="400" w:lineRule="exact"/>
              <w:jc w:val="center"/>
              <w:rPr>
                <w:rFonts w:ascii="宋体" w:eastAsia="宋体" w:hAnsi="宋体"/>
                <w:b/>
                <w:color w:val="0000FF"/>
                <w:kern w:val="0"/>
                <w:sz w:val="21"/>
                <w:szCs w:val="21"/>
              </w:rPr>
            </w:pPr>
            <w:r>
              <w:rPr>
                <w:rFonts w:ascii="宋体" w:eastAsia="宋体" w:hAnsi="宋体" w:hint="eastAsia"/>
                <w:b/>
                <w:color w:val="0000FF"/>
                <w:kern w:val="0"/>
                <w:sz w:val="21"/>
                <w:szCs w:val="21"/>
              </w:rPr>
              <w:t>202</w:t>
            </w:r>
            <w:r>
              <w:rPr>
                <w:rFonts w:ascii="宋体" w:eastAsia="宋体" w:hAnsi="宋体" w:hint="eastAsia"/>
                <w:b/>
                <w:color w:val="0000FF"/>
                <w:kern w:val="0"/>
                <w:sz w:val="21"/>
                <w:szCs w:val="21"/>
              </w:rPr>
              <w:t>3</w:t>
            </w:r>
            <w:r>
              <w:rPr>
                <w:rFonts w:ascii="宋体" w:eastAsia="宋体" w:hAnsi="宋体" w:hint="eastAsia"/>
                <w:b/>
                <w:color w:val="0000FF"/>
                <w:kern w:val="0"/>
                <w:sz w:val="21"/>
                <w:szCs w:val="21"/>
              </w:rPr>
              <w:t>年</w:t>
            </w:r>
          </w:p>
        </w:tc>
        <w:tc>
          <w:tcPr>
            <w:tcW w:w="632" w:type="dxa"/>
            <w:tcBorders>
              <w:top w:val="thickThinSmallGap" w:sz="18" w:space="0" w:color="0000FF"/>
              <w:left w:val="thickThinSmallGap" w:sz="18" w:space="0" w:color="0000FF"/>
              <w:bottom w:val="thickThinSmallGap" w:sz="18" w:space="0" w:color="0000FF"/>
              <w:right w:val="nil"/>
            </w:tcBorders>
            <w:vAlign w:val="center"/>
          </w:tcPr>
          <w:p w:rsidR="005E02A9" w:rsidRDefault="00B84726">
            <w:pPr>
              <w:tabs>
                <w:tab w:val="left" w:pos="2023"/>
              </w:tabs>
              <w:adjustRightInd w:val="0"/>
              <w:snapToGrid w:val="0"/>
              <w:spacing w:line="400" w:lineRule="exact"/>
              <w:jc w:val="center"/>
              <w:rPr>
                <w:rFonts w:ascii="宋体" w:eastAsia="宋体" w:hAnsi="宋体"/>
                <w:b/>
                <w:color w:val="0000FF"/>
                <w:kern w:val="0"/>
                <w:sz w:val="21"/>
                <w:szCs w:val="21"/>
              </w:rPr>
            </w:pPr>
            <w:r>
              <w:rPr>
                <w:rFonts w:ascii="宋体" w:eastAsia="宋体" w:hAnsi="宋体" w:hint="eastAsia"/>
                <w:b/>
                <w:color w:val="0000FF"/>
                <w:kern w:val="0"/>
                <w:sz w:val="21"/>
                <w:szCs w:val="21"/>
              </w:rPr>
              <w:t>第</w:t>
            </w:r>
          </w:p>
        </w:tc>
        <w:tc>
          <w:tcPr>
            <w:tcW w:w="540" w:type="dxa"/>
            <w:tcBorders>
              <w:top w:val="thickThinSmallGap" w:sz="18" w:space="0" w:color="0000FF"/>
              <w:left w:val="nil"/>
              <w:bottom w:val="thickThinSmallGap" w:sz="18" w:space="0" w:color="0000FF"/>
              <w:right w:val="nil"/>
            </w:tcBorders>
            <w:vAlign w:val="center"/>
          </w:tcPr>
          <w:p w:rsidR="005E02A9" w:rsidRDefault="00B84726">
            <w:pPr>
              <w:widowControl/>
              <w:spacing w:line="400" w:lineRule="exact"/>
              <w:rPr>
                <w:rFonts w:ascii="宋体" w:eastAsia="宋体" w:hAnsi="宋体"/>
                <w:b/>
                <w:color w:val="0000FF"/>
                <w:kern w:val="0"/>
                <w:sz w:val="21"/>
                <w:szCs w:val="21"/>
              </w:rPr>
            </w:pPr>
            <w:r>
              <w:rPr>
                <w:rFonts w:ascii="宋体" w:eastAsia="宋体" w:hAnsi="宋体" w:hint="eastAsia"/>
                <w:b/>
                <w:color w:val="0000FF"/>
                <w:kern w:val="0"/>
                <w:sz w:val="21"/>
                <w:szCs w:val="21"/>
              </w:rPr>
              <w:t>98</w:t>
            </w:r>
          </w:p>
        </w:tc>
        <w:tc>
          <w:tcPr>
            <w:tcW w:w="478" w:type="dxa"/>
            <w:tcBorders>
              <w:top w:val="thickThinSmallGap" w:sz="18" w:space="0" w:color="0000FF"/>
              <w:left w:val="nil"/>
              <w:bottom w:val="thickThinSmallGap" w:sz="18" w:space="0" w:color="0000FF"/>
              <w:right w:val="thickThinSmallGap" w:sz="18" w:space="0" w:color="0000FF"/>
            </w:tcBorders>
            <w:vAlign w:val="center"/>
          </w:tcPr>
          <w:p w:rsidR="005E02A9" w:rsidRDefault="00B84726">
            <w:pPr>
              <w:tabs>
                <w:tab w:val="left" w:pos="2023"/>
              </w:tabs>
              <w:adjustRightInd w:val="0"/>
              <w:snapToGrid w:val="0"/>
              <w:spacing w:line="400" w:lineRule="exact"/>
              <w:rPr>
                <w:rFonts w:ascii="宋体" w:eastAsia="宋体" w:hAnsi="宋体"/>
                <w:b/>
                <w:color w:val="0000FF"/>
                <w:kern w:val="0"/>
                <w:sz w:val="21"/>
                <w:szCs w:val="21"/>
              </w:rPr>
            </w:pPr>
            <w:r>
              <w:rPr>
                <w:rFonts w:ascii="宋体" w:eastAsia="宋体" w:hAnsi="宋体" w:hint="eastAsia"/>
                <w:b/>
                <w:color w:val="0000FF"/>
                <w:kern w:val="0"/>
                <w:sz w:val="21"/>
                <w:szCs w:val="21"/>
              </w:rPr>
              <w:t>号</w:t>
            </w:r>
          </w:p>
        </w:tc>
      </w:tr>
    </w:tbl>
    <w:p w:rsidR="005E02A9" w:rsidRDefault="00B84726">
      <w:pPr>
        <w:tabs>
          <w:tab w:val="left" w:pos="8080"/>
          <w:tab w:val="left" w:pos="8364"/>
        </w:tabs>
        <w:spacing w:line="1300" w:lineRule="exact"/>
        <w:jc w:val="center"/>
        <w:rPr>
          <w:rFonts w:ascii="方正小标宋_GBK" w:eastAsia="方正小标宋_GBK" w:hAnsi="Calibri"/>
          <w:color w:val="FF0000"/>
          <w:spacing w:val="60"/>
          <w:sz w:val="52"/>
        </w:rPr>
      </w:pPr>
      <w:r>
        <w:rPr>
          <w:noProof/>
          <w:sz w:val="52"/>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-810895</wp:posOffset>
                </wp:positionV>
                <wp:extent cx="1022350" cy="337820"/>
                <wp:effectExtent l="0" t="0" r="6350" b="5080"/>
                <wp:wrapNone/>
                <wp:docPr id="2" name="文本框 3"/>
                <wp:cNvGraphicFramePr/>
                <a:graphic xmlns:a="http://schemas.openxmlformats.org/drawingml/2006/main">
                  <a:graphicData uri="http://schemas.microsoft.com/office/word/2010/wordprocessingShape">
                    <wps:wsp>
                      <wps:cNvSpPr txBox="1"/>
                      <wps:spPr>
                        <a:xfrm>
                          <a:off x="0" y="0"/>
                          <a:ext cx="1022350" cy="337820"/>
                        </a:xfrm>
                        <a:prstGeom prst="rect">
                          <a:avLst/>
                        </a:prstGeom>
                        <a:solidFill>
                          <a:srgbClr val="FFFFFF"/>
                        </a:solidFill>
                        <a:ln>
                          <a:noFill/>
                        </a:ln>
                      </wps:spPr>
                      <wps:txbx>
                        <w:txbxContent>
                          <w:p w:rsidR="005E02A9" w:rsidRDefault="005E02A9"/>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1.4pt;margin-top:-63.85pt;width:80.5pt;height:2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2ErAEAACkDAAAOAAAAZHJzL2Uyb0RvYy54bWysUktu2zAQ3QfIHQjuYyoy2gaC5QBt4G6K&#10;tkDSA9AUJREgOcSQseQLtDfoqpvuey6fo0PacfrZFdWCImfePM57w9Xt7CzbaYwGfMuvFxVn2ivo&#10;jB9a/ulhc3XDWUzSd9KC1y3f68hv15cXqyk0uoYRbKeREYmPzRRaPqYUGiGiGrWTcQFBe0r2gE4m&#10;OuIgOpQTsTsr6qp6KSbALiAoHSNF745Jvi78fa9V+tD3USdmW069pbJiWbd5FeuVbAaUYTTq1Ib8&#10;hy6cNJ4uPVPdySTZI5q/qJxRCBH6tFDgBPS9UbpoIDXX1R9q7kcZdNFC5sRwtin+P1r1fvcRmela&#10;XnPmpaMRHb5+OXz7cfj+mS2zPVOIDaHuA+HS/BpmGvNTPFIwq557dPlPehjlyej92Vw9J6ZyUVXX&#10;yxeUUpRbLl/d1MV98VwdMKa3GhzLm5YjDa94KnfvYqJOCPoEyZdFsKbbGGvLAYftG4tsJ2nQm/Ll&#10;JqnkN5j1Gewhlx3TOSKyxqOWvEvzdj4J30K3J92PAc0wUk9FeYHTPAr96e3kgf96LqTPL3z9EwAA&#10;//8DAFBLAwQUAAYACAAAACEAJf20SeAAAAAMAQAADwAAAGRycy9kb3ducmV2LnhtbEyPwW6DMBBE&#10;75X6D9ZW6qVKDIjEKcFEbaVWvSbNByzgAApeI+wE8vfdnNrb7uxo5m2+m20vrmb0nSMN8TICYahy&#10;dUeNhuPP52IDwgekGntHRsPNeNgVjw85ZrWbaG+uh9AIDiGfoYY2hCGT0letseiXbjDEt5MbLQZe&#10;x0bWI04cbnuZRNFaWuyIG1oczEdrqvPhYjWcvqeX1etUfoWj2qfrd+xU6W5aPz/Nb1sQwczhzwx3&#10;fEaHgplKd6Hai17DIk0YPfAQJ0qBuFviTQKiZEmlK5BFLv8/UfwCAAD//wMAUEsBAi0AFAAGAAgA&#10;AAAhALaDOJL+AAAA4QEAABMAAAAAAAAAAAAAAAAAAAAAAFtDb250ZW50X1R5cGVzXS54bWxQSwEC&#10;LQAUAAYACAAAACEAOP0h/9YAAACUAQAACwAAAAAAAAAAAAAAAAAvAQAAX3JlbHMvLnJlbHNQSwEC&#10;LQAUAAYACAAAACEASMXthKwBAAApAwAADgAAAAAAAAAAAAAAAAAuAgAAZHJzL2Uyb0RvYy54bWxQ&#10;SwECLQAUAAYACAAAACEAJf20SeAAAAAMAQAADwAAAAAAAAAAAAAAAAAGBAAAZHJzL2Rvd25yZXYu&#10;eG1sUEsFBgAAAAAEAAQA8wAAABMFAAAAAA==&#10;" stroked="f">
                <v:textbox>
                  <w:txbxContent>
                    <w:p w:rsidR="005E02A9" w:rsidRDefault="005E02A9"/>
                  </w:txbxContent>
                </v:textbox>
              </v:shape>
            </w:pict>
          </mc:Fallback>
        </mc:AlternateContent>
      </w:r>
      <w:r>
        <w:rPr>
          <w:rFonts w:ascii="方正小标宋_GBK" w:eastAsia="方正小标宋_GBK" w:hAnsi="Calibri" w:hint="eastAsia"/>
          <w:color w:val="FF0000"/>
          <w:spacing w:val="60"/>
          <w:sz w:val="52"/>
        </w:rPr>
        <w:t>龙胜各族自治县</w:t>
      </w:r>
    </w:p>
    <w:p w:rsidR="005E02A9" w:rsidRDefault="00B84726">
      <w:pPr>
        <w:spacing w:line="1300" w:lineRule="exact"/>
        <w:jc w:val="center"/>
        <w:rPr>
          <w:rFonts w:ascii="方正小标宋_GBK" w:eastAsia="方正小标宋_GBK" w:hAnsi="Calibri"/>
          <w:color w:val="FF0000"/>
          <w:sz w:val="21"/>
        </w:rPr>
      </w:pPr>
      <w:r>
        <w:rPr>
          <w:rFonts w:ascii="方正小标宋_GBK" w:eastAsia="方正小标宋_GBK" w:hAnsi="Calibri" w:hint="eastAsia"/>
          <w:color w:val="FF0000"/>
          <w:spacing w:val="60"/>
          <w:sz w:val="96"/>
        </w:rPr>
        <w:t>人民政府文件</w:t>
      </w:r>
    </w:p>
    <w:p w:rsidR="005E02A9" w:rsidRDefault="005E02A9">
      <w:pPr>
        <w:spacing w:line="200" w:lineRule="exact"/>
        <w:jc w:val="center"/>
        <w:rPr>
          <w:rFonts w:ascii="方正仿宋_GBK" w:eastAsia="方正仿宋_GBK" w:hAnsi="Calibri"/>
          <w:szCs w:val="32"/>
        </w:rPr>
      </w:pPr>
    </w:p>
    <w:p w:rsidR="005E02A9" w:rsidRDefault="00B84726">
      <w:pPr>
        <w:spacing w:line="500" w:lineRule="exact"/>
        <w:jc w:val="center"/>
        <w:rPr>
          <w:szCs w:val="32"/>
        </w:rPr>
      </w:pPr>
      <w:r>
        <w:rPr>
          <w:szCs w:val="32"/>
        </w:rPr>
        <w:t>龙政发〔</w:t>
      </w:r>
      <w:r>
        <w:rPr>
          <w:szCs w:val="32"/>
        </w:rPr>
        <w:t>202</w:t>
      </w:r>
      <w:r>
        <w:rPr>
          <w:rFonts w:hint="eastAsia"/>
          <w:szCs w:val="32"/>
        </w:rPr>
        <w:t>3</w:t>
      </w:r>
      <w:r>
        <w:rPr>
          <w:szCs w:val="32"/>
        </w:rPr>
        <w:t>〕</w:t>
      </w:r>
      <w:r>
        <w:rPr>
          <w:rFonts w:hint="eastAsia"/>
          <w:szCs w:val="32"/>
        </w:rPr>
        <w:t>16</w:t>
      </w:r>
      <w:r>
        <w:rPr>
          <w:szCs w:val="32"/>
        </w:rPr>
        <w:t>号</w:t>
      </w:r>
    </w:p>
    <w:p w:rsidR="005E02A9" w:rsidRDefault="00B84726">
      <w:pPr>
        <w:tabs>
          <w:tab w:val="left" w:pos="8364"/>
        </w:tabs>
        <w:spacing w:line="500" w:lineRule="exact"/>
        <w:jc w:val="center"/>
        <w:rPr>
          <w:rFonts w:ascii="仿宋_GB2312" w:hAnsi="Calibri"/>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196850</wp:posOffset>
                </wp:positionV>
                <wp:extent cx="5829300" cy="0"/>
                <wp:effectExtent l="0" t="15875" r="0" b="22225"/>
                <wp:wrapNone/>
                <wp:docPr id="1"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wps:wsp>
                  </a:graphicData>
                </a:graphic>
              </wp:anchor>
            </w:drawing>
          </mc:Choice>
          <mc:Fallback>
            <w:pict>
              <v:line w14:anchorId="3CBBCC68"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ky2wEAAIsDAAAOAAAAZHJzL2Uyb0RvYy54bWysU81uEzEQviPxDpbvZDepCu0qmx4awgVB&#10;JOABJrZ315L/5DHZ5CV4ASRucOLInbdpeQzGTpoWuCBEDpPxeOab+T7Pzq921rCtiqi9a/l0UnOm&#10;nPBSu77l796unlxwhgmcBOOdavleIb9aPH40H0OjZn7wRqrICMRhM4aWDymFpqpQDMoCTnxQji47&#10;Hy0kOsa+khFGQremmtX102r0UYbohUKk6PJwyRcFv+uUSK+7DlVipuU0Wyo2FrvJtlrMoekjhEGL&#10;4xjwD1NY0I6anqCWkIC9j/oPKKtF9Oi7NBHeVr7rtFCFA7GZ1r+xeTNAUIULiYPhJBP+P1jxaruO&#10;TEt6O84cWHqi24/fbj58/vH9E9nbr1/YLIs0Bmwo99qt4/GEYR0z410Xbf4nLmxXhN2fhFW7xAQF&#10;zy9ml2c16S/u7qr7whAxvVDesuy03GiXOUMD25eYqBml3qXksHFsbPnZ9Nl5xgPamc5AItcGYoGu&#10;L8XojZYrbUwuwdhvrk1kW6AtWK1q+mVOBPxLWu6yBBwOeeXqsB+DAvncSZb2gfRxtMg8z2CV5Mwo&#10;2vvsESA0CbT5m0xqbRxNkGU9CJm9jZf7om+J04uXGY/bmVfq4blU339Di58AAAD//wMAUEsDBBQA&#10;BgAIAAAAIQBRV6qn3gAAAAkBAAAPAAAAZHJzL2Rvd25yZXYueG1sTI9Pa4NAEMXvhX6HZQK9lGTV&#10;gIh1DVIoFDyUpjnkOLpblbiz4m4Sm0/fKT20p/n3ePN7xW6xo7iY2Q+OFMSbCISh1umBOgWHj5d1&#10;BsIHJI2jI6Pgy3jYlfd3BebaXendXPahE2xCPkcFfQhTLqVve2PRb9xkiG+fbrYYeJw7qWe8srkd&#10;ZRJFqbQ4EH/ocTLPvWlP+7NV8IjHtMp8nGj3Vje3V1sfblWt1MNqqZ5ABLOEPzH84DM6lMzUuDNp&#10;L0YF623KWYKCbcyVBVmWcNP8LmRZyP8Jym8AAAD//wMAUEsBAi0AFAAGAAgAAAAhALaDOJL+AAAA&#10;4QEAABMAAAAAAAAAAAAAAAAAAAAAAFtDb250ZW50X1R5cGVzXS54bWxQSwECLQAUAAYACAAAACEA&#10;OP0h/9YAAACUAQAACwAAAAAAAAAAAAAAAAAvAQAAX3JlbHMvLnJlbHNQSwECLQAUAAYACAAAACEA&#10;xDmJMtsBAACLAwAADgAAAAAAAAAAAAAAAAAuAgAAZHJzL2Uyb0RvYy54bWxQSwECLQAUAAYACAAA&#10;ACEAUVeqp94AAAAJAQAADwAAAAAAAAAAAAAAAAA1BAAAZHJzL2Rvd25yZXYueG1sUEsFBgAAAAAE&#10;AAQA8wAAAEAFAAAAAA==&#10;" strokecolor="red" strokeweight="2.5pt"/>
            </w:pict>
          </mc:Fallback>
        </mc:AlternateContent>
      </w:r>
    </w:p>
    <w:p w:rsidR="005E02A9" w:rsidRDefault="005E02A9">
      <w:pPr>
        <w:spacing w:line="400" w:lineRule="exact"/>
        <w:rPr>
          <w:rFonts w:eastAsia="方正小标宋_GBK"/>
          <w:snapToGrid w:val="0"/>
          <w:kern w:val="0"/>
          <w:sz w:val="44"/>
          <w:szCs w:val="44"/>
        </w:rPr>
      </w:pPr>
    </w:p>
    <w:p w:rsidR="005E02A9" w:rsidRDefault="00B84726">
      <w:pPr>
        <w:adjustRightInd w:val="0"/>
        <w:snapToGrid w:val="0"/>
        <w:spacing w:line="640" w:lineRule="exact"/>
        <w:jc w:val="center"/>
        <w:rPr>
          <w:rFonts w:eastAsia="方正小标宋_GBK"/>
          <w:sz w:val="44"/>
          <w:szCs w:val="44"/>
        </w:rPr>
      </w:pPr>
      <w:r>
        <w:rPr>
          <w:rFonts w:eastAsia="方正小标宋_GBK"/>
          <w:sz w:val="44"/>
          <w:szCs w:val="44"/>
        </w:rPr>
        <w:t>龙胜各族自治</w:t>
      </w:r>
      <w:r>
        <w:rPr>
          <w:rFonts w:eastAsia="方正小标宋_GBK"/>
          <w:sz w:val="44"/>
          <w:szCs w:val="44"/>
        </w:rPr>
        <w:t>县人民政府关于印发</w:t>
      </w:r>
      <w:r>
        <w:rPr>
          <w:rFonts w:eastAsia="方正小标宋_GBK"/>
          <w:sz w:val="44"/>
          <w:szCs w:val="44"/>
        </w:rPr>
        <w:t>本级</w:t>
      </w:r>
      <w:r>
        <w:rPr>
          <w:rFonts w:eastAsia="方正小标宋_GBK"/>
          <w:sz w:val="44"/>
          <w:szCs w:val="44"/>
        </w:rPr>
        <w:t>零基</w:t>
      </w:r>
    </w:p>
    <w:p w:rsidR="005E02A9" w:rsidRDefault="00B84726">
      <w:pPr>
        <w:adjustRightInd w:val="0"/>
        <w:snapToGrid w:val="0"/>
        <w:spacing w:line="640" w:lineRule="exact"/>
        <w:jc w:val="center"/>
        <w:rPr>
          <w:rFonts w:eastAsia="方正小标宋_GBK"/>
          <w:sz w:val="44"/>
          <w:szCs w:val="44"/>
        </w:rPr>
      </w:pPr>
      <w:r>
        <w:rPr>
          <w:rFonts w:eastAsia="方正小标宋_GBK"/>
          <w:sz w:val="44"/>
          <w:szCs w:val="44"/>
        </w:rPr>
        <w:t>预算改革实施方案的通知</w:t>
      </w:r>
    </w:p>
    <w:p w:rsidR="005E02A9" w:rsidRDefault="005E02A9">
      <w:pPr>
        <w:adjustRightInd w:val="0"/>
        <w:snapToGrid w:val="0"/>
        <w:spacing w:line="586" w:lineRule="exact"/>
        <w:rPr>
          <w:szCs w:val="32"/>
        </w:rPr>
      </w:pPr>
    </w:p>
    <w:p w:rsidR="005E02A9" w:rsidRDefault="00B84726">
      <w:pPr>
        <w:adjustRightInd w:val="0"/>
        <w:snapToGrid w:val="0"/>
        <w:spacing w:line="586" w:lineRule="exact"/>
        <w:rPr>
          <w:rFonts w:eastAsia="楷体_GB2312"/>
          <w:szCs w:val="32"/>
        </w:rPr>
      </w:pPr>
      <w:r>
        <w:rPr>
          <w:rFonts w:eastAsia="楷体_GB2312"/>
          <w:szCs w:val="32"/>
        </w:rPr>
        <w:t>各乡（镇）人民政府</w:t>
      </w:r>
      <w:r>
        <w:rPr>
          <w:rFonts w:eastAsia="楷体_GB2312"/>
          <w:szCs w:val="32"/>
        </w:rPr>
        <w:t>，</w:t>
      </w:r>
      <w:r>
        <w:rPr>
          <w:rFonts w:eastAsia="楷体_GB2312"/>
          <w:szCs w:val="32"/>
        </w:rPr>
        <w:t>县直各部门：</w:t>
      </w:r>
    </w:p>
    <w:p w:rsidR="005E02A9" w:rsidRDefault="00B84726">
      <w:pPr>
        <w:adjustRightInd w:val="0"/>
        <w:snapToGrid w:val="0"/>
        <w:spacing w:line="586" w:lineRule="exact"/>
        <w:ind w:firstLineChars="200" w:firstLine="640"/>
        <w:rPr>
          <w:rFonts w:eastAsia="楷体_GB2312"/>
          <w:szCs w:val="32"/>
        </w:rPr>
      </w:pPr>
      <w:r>
        <w:rPr>
          <w:rFonts w:eastAsia="楷体_GB2312"/>
          <w:szCs w:val="32"/>
        </w:rPr>
        <w:t>现将《</w:t>
      </w:r>
      <w:r>
        <w:rPr>
          <w:rFonts w:eastAsia="楷体_GB2312"/>
          <w:szCs w:val="32"/>
        </w:rPr>
        <w:t>龙胜各族自治</w:t>
      </w:r>
      <w:r>
        <w:rPr>
          <w:rFonts w:eastAsia="楷体_GB2312"/>
          <w:szCs w:val="32"/>
        </w:rPr>
        <w:t>县</w:t>
      </w:r>
      <w:r>
        <w:rPr>
          <w:rFonts w:eastAsia="楷体_GB2312"/>
          <w:szCs w:val="32"/>
        </w:rPr>
        <w:t>本级</w:t>
      </w:r>
      <w:r>
        <w:rPr>
          <w:rFonts w:eastAsia="楷体_GB2312"/>
          <w:szCs w:val="32"/>
        </w:rPr>
        <w:t>零基预算改革实施方案》印发给你们，请认真贯彻执行。</w:t>
      </w:r>
    </w:p>
    <w:p w:rsidR="005E02A9" w:rsidRDefault="005E02A9">
      <w:pPr>
        <w:adjustRightInd w:val="0"/>
        <w:snapToGrid w:val="0"/>
        <w:spacing w:line="586" w:lineRule="exact"/>
        <w:ind w:firstLineChars="200" w:firstLine="640"/>
        <w:rPr>
          <w:rFonts w:eastAsia="楷体_GB2312"/>
          <w:szCs w:val="32"/>
        </w:rPr>
      </w:pPr>
    </w:p>
    <w:p w:rsidR="005E02A9" w:rsidRDefault="00B84726">
      <w:pPr>
        <w:adjustRightInd w:val="0"/>
        <w:snapToGrid w:val="0"/>
        <w:spacing w:line="586" w:lineRule="exact"/>
        <w:rPr>
          <w:rFonts w:eastAsia="楷体_GB2312"/>
          <w:szCs w:val="32"/>
        </w:rPr>
      </w:pPr>
      <w:r>
        <w:rPr>
          <w:rFonts w:eastAsia="楷体_GB2312"/>
          <w:szCs w:val="32"/>
        </w:rPr>
        <w:t xml:space="preserve">　　　　　　　　　　　　　</w:t>
      </w:r>
      <w:r>
        <w:rPr>
          <w:rFonts w:eastAsia="楷体_GB2312" w:hint="eastAsia"/>
          <w:szCs w:val="32"/>
        </w:rPr>
        <w:t xml:space="preserve">    </w:t>
      </w:r>
      <w:r>
        <w:rPr>
          <w:rFonts w:eastAsia="楷体_GB2312"/>
          <w:szCs w:val="32"/>
        </w:rPr>
        <w:t>龙胜各族自治</w:t>
      </w:r>
      <w:r>
        <w:rPr>
          <w:rFonts w:eastAsia="楷体_GB2312"/>
          <w:szCs w:val="32"/>
        </w:rPr>
        <w:t>县人民政府</w:t>
      </w:r>
    </w:p>
    <w:p w:rsidR="005E02A9" w:rsidRDefault="00B84726">
      <w:pPr>
        <w:adjustRightInd w:val="0"/>
        <w:snapToGrid w:val="0"/>
        <w:spacing w:line="586" w:lineRule="exact"/>
        <w:ind w:leftChars="-50" w:left="-160" w:firstLineChars="1800" w:firstLine="5760"/>
        <w:rPr>
          <w:rFonts w:eastAsia="楷体_GB2312"/>
          <w:szCs w:val="32"/>
        </w:rPr>
      </w:pPr>
      <w:r>
        <w:rPr>
          <w:rFonts w:eastAsia="楷体_GB2312"/>
          <w:szCs w:val="32"/>
        </w:rPr>
        <w:t>202</w:t>
      </w:r>
      <w:r>
        <w:rPr>
          <w:rFonts w:eastAsia="楷体_GB2312"/>
          <w:szCs w:val="32"/>
        </w:rPr>
        <w:t>3</w:t>
      </w:r>
      <w:r>
        <w:rPr>
          <w:rFonts w:eastAsia="楷体_GB2312"/>
          <w:szCs w:val="32"/>
        </w:rPr>
        <w:t>年</w:t>
      </w:r>
      <w:r>
        <w:rPr>
          <w:rFonts w:eastAsia="楷体_GB2312"/>
          <w:szCs w:val="32"/>
        </w:rPr>
        <w:t>10</w:t>
      </w:r>
      <w:r>
        <w:rPr>
          <w:rFonts w:eastAsia="楷体_GB2312"/>
          <w:szCs w:val="32"/>
        </w:rPr>
        <w:t>月</w:t>
      </w:r>
      <w:r>
        <w:rPr>
          <w:rFonts w:eastAsia="楷体_GB2312" w:hint="eastAsia"/>
          <w:szCs w:val="32"/>
        </w:rPr>
        <w:t>20</w:t>
      </w:r>
      <w:r>
        <w:rPr>
          <w:rFonts w:eastAsia="楷体_GB2312"/>
          <w:szCs w:val="32"/>
        </w:rPr>
        <w:t>日</w:t>
      </w:r>
    </w:p>
    <w:p w:rsidR="005E02A9" w:rsidRDefault="005E02A9">
      <w:pPr>
        <w:adjustRightInd w:val="0"/>
        <w:snapToGrid w:val="0"/>
        <w:spacing w:line="580" w:lineRule="exact"/>
      </w:pPr>
    </w:p>
    <w:p w:rsidR="005E02A9" w:rsidRDefault="002404AE">
      <w:pPr>
        <w:adjustRightInd w:val="0"/>
        <w:snapToGrid w:val="0"/>
        <w:spacing w:line="580" w:lineRule="exact"/>
        <w:rPr>
          <w:rFonts w:hint="eastAsia"/>
        </w:rPr>
      </w:pPr>
      <w:r>
        <w:rPr>
          <w:rFonts w:hint="eastAsia"/>
        </w:rPr>
        <w:t>(</w:t>
      </w:r>
      <w:r>
        <w:rPr>
          <w:rFonts w:hint="eastAsia"/>
        </w:rPr>
        <w:t>此件公开发布</w:t>
      </w:r>
      <w:r>
        <w:rPr>
          <w:rFonts w:hint="eastAsia"/>
        </w:rPr>
        <w:t>)</w:t>
      </w:r>
      <w:bookmarkStart w:id="0" w:name="_GoBack"/>
      <w:bookmarkEnd w:id="0"/>
    </w:p>
    <w:p w:rsidR="005E02A9" w:rsidRDefault="005E02A9">
      <w:pPr>
        <w:adjustRightInd w:val="0"/>
        <w:snapToGrid w:val="0"/>
        <w:spacing w:line="580" w:lineRule="exact"/>
      </w:pPr>
    </w:p>
    <w:p w:rsidR="005E02A9" w:rsidRDefault="005E02A9">
      <w:pPr>
        <w:adjustRightInd w:val="0"/>
        <w:snapToGrid w:val="0"/>
        <w:spacing w:line="580" w:lineRule="exact"/>
      </w:pPr>
    </w:p>
    <w:p w:rsidR="005E02A9" w:rsidRDefault="005E02A9">
      <w:pPr>
        <w:adjustRightInd w:val="0"/>
        <w:snapToGrid w:val="0"/>
        <w:spacing w:line="580" w:lineRule="exact"/>
      </w:pPr>
    </w:p>
    <w:p w:rsidR="005E02A9" w:rsidRDefault="005E02A9">
      <w:pPr>
        <w:jc w:val="left"/>
        <w:rPr>
          <w:rFonts w:asciiTheme="minorHAnsi" w:eastAsiaTheme="minorEastAsia" w:hAnsiTheme="minorHAnsi" w:cstheme="minorBidi"/>
          <w:sz w:val="21"/>
        </w:rPr>
      </w:pPr>
    </w:p>
    <w:p w:rsidR="005E02A9" w:rsidRDefault="00B84726">
      <w:pPr>
        <w:spacing w:line="640" w:lineRule="exact"/>
        <w:jc w:val="center"/>
        <w:rPr>
          <w:rFonts w:eastAsia="方正小标宋_GBK"/>
          <w:sz w:val="44"/>
          <w:szCs w:val="44"/>
        </w:rPr>
      </w:pPr>
      <w:r>
        <w:rPr>
          <w:rFonts w:eastAsia="方正小标宋_GBK"/>
          <w:sz w:val="44"/>
          <w:szCs w:val="44"/>
        </w:rPr>
        <w:lastRenderedPageBreak/>
        <w:t>龙胜各族自治</w:t>
      </w:r>
      <w:r>
        <w:rPr>
          <w:rFonts w:eastAsia="方正小标宋_GBK"/>
          <w:sz w:val="44"/>
          <w:szCs w:val="44"/>
        </w:rPr>
        <w:t>县</w:t>
      </w:r>
      <w:r>
        <w:rPr>
          <w:rFonts w:eastAsia="方正小标宋_GBK"/>
          <w:sz w:val="44"/>
          <w:szCs w:val="44"/>
        </w:rPr>
        <w:t>本级</w:t>
      </w:r>
      <w:r>
        <w:rPr>
          <w:rFonts w:eastAsia="方正小标宋_GBK"/>
          <w:sz w:val="44"/>
          <w:szCs w:val="44"/>
        </w:rPr>
        <w:t>零基预算改革实施方案</w:t>
      </w:r>
    </w:p>
    <w:p w:rsidR="005E02A9" w:rsidRDefault="005E02A9">
      <w:pPr>
        <w:spacing w:line="640" w:lineRule="exact"/>
        <w:jc w:val="center"/>
        <w:rPr>
          <w:szCs w:val="32"/>
        </w:rPr>
      </w:pPr>
    </w:p>
    <w:p w:rsidR="005E02A9" w:rsidRDefault="00B84726">
      <w:pPr>
        <w:spacing w:line="586" w:lineRule="exact"/>
        <w:ind w:firstLineChars="200" w:firstLine="640"/>
        <w:rPr>
          <w:szCs w:val="32"/>
        </w:rPr>
      </w:pPr>
      <w:r>
        <w:rPr>
          <w:szCs w:val="32"/>
        </w:rPr>
        <w:t>为进一步深化</w:t>
      </w:r>
      <w:r>
        <w:rPr>
          <w:szCs w:val="32"/>
        </w:rPr>
        <w:t>全</w:t>
      </w:r>
      <w:r>
        <w:rPr>
          <w:szCs w:val="32"/>
        </w:rPr>
        <w:t>县预算管理制度改革，加大财政资源统筹力度，提高财政资源配置效率，根据《中华人民共和国预算法》及</w:t>
      </w:r>
      <w:r>
        <w:rPr>
          <w:szCs w:val="32"/>
        </w:rPr>
        <w:t>其</w:t>
      </w:r>
      <w:r>
        <w:rPr>
          <w:szCs w:val="32"/>
        </w:rPr>
        <w:t>实施条例有关规定、《国务院关于进一步深化预算管理制度改革的意见》（国发〔</w:t>
      </w:r>
      <w:r>
        <w:rPr>
          <w:szCs w:val="32"/>
        </w:rPr>
        <w:t>2021</w:t>
      </w:r>
      <w:r>
        <w:rPr>
          <w:szCs w:val="32"/>
        </w:rPr>
        <w:t>〕</w:t>
      </w:r>
      <w:r>
        <w:rPr>
          <w:szCs w:val="32"/>
        </w:rPr>
        <w:t>5</w:t>
      </w:r>
      <w:r>
        <w:rPr>
          <w:szCs w:val="32"/>
        </w:rPr>
        <w:t>号）、《广西壮族自治区</w:t>
      </w:r>
      <w:r>
        <w:rPr>
          <w:szCs w:val="32"/>
        </w:rPr>
        <w:t>人民政府关于印发自治区本级</w:t>
      </w:r>
      <w:r>
        <w:rPr>
          <w:szCs w:val="32"/>
        </w:rPr>
        <w:t>零基预算改革</w:t>
      </w:r>
      <w:r>
        <w:rPr>
          <w:szCs w:val="32"/>
        </w:rPr>
        <w:t>实施方案</w:t>
      </w:r>
      <w:r>
        <w:rPr>
          <w:szCs w:val="32"/>
        </w:rPr>
        <w:t>的通知》（桂</w:t>
      </w:r>
      <w:r>
        <w:rPr>
          <w:szCs w:val="32"/>
        </w:rPr>
        <w:t>政发</w:t>
      </w:r>
      <w:r>
        <w:rPr>
          <w:szCs w:val="32"/>
        </w:rPr>
        <w:t>〔</w:t>
      </w:r>
      <w:r>
        <w:rPr>
          <w:szCs w:val="32"/>
        </w:rPr>
        <w:t>202</w:t>
      </w:r>
      <w:r>
        <w:rPr>
          <w:szCs w:val="32"/>
        </w:rPr>
        <w:t>1</w:t>
      </w:r>
      <w:r>
        <w:rPr>
          <w:szCs w:val="32"/>
        </w:rPr>
        <w:t>〕</w:t>
      </w:r>
      <w:r>
        <w:rPr>
          <w:szCs w:val="32"/>
        </w:rPr>
        <w:t>44</w:t>
      </w:r>
      <w:r>
        <w:rPr>
          <w:szCs w:val="32"/>
        </w:rPr>
        <w:t>号）和《</w:t>
      </w:r>
      <w:r>
        <w:rPr>
          <w:szCs w:val="32"/>
        </w:rPr>
        <w:t>桂林</w:t>
      </w:r>
      <w:r>
        <w:rPr>
          <w:szCs w:val="32"/>
        </w:rPr>
        <w:t>市人民政府关于印发</w:t>
      </w:r>
      <w:r>
        <w:rPr>
          <w:szCs w:val="32"/>
        </w:rPr>
        <w:t>桂林市</w:t>
      </w:r>
      <w:r>
        <w:rPr>
          <w:szCs w:val="32"/>
        </w:rPr>
        <w:t>本级零基预算改</w:t>
      </w:r>
      <w:r>
        <w:rPr>
          <w:szCs w:val="32"/>
        </w:rPr>
        <w:t>革实施方案的通知》（</w:t>
      </w:r>
      <w:r>
        <w:rPr>
          <w:szCs w:val="32"/>
        </w:rPr>
        <w:t>市</w:t>
      </w:r>
      <w:r>
        <w:rPr>
          <w:szCs w:val="32"/>
        </w:rPr>
        <w:t>政〔</w:t>
      </w:r>
      <w:r>
        <w:rPr>
          <w:szCs w:val="32"/>
        </w:rPr>
        <w:t>202</w:t>
      </w:r>
      <w:r>
        <w:rPr>
          <w:szCs w:val="32"/>
        </w:rPr>
        <w:t>3</w:t>
      </w:r>
      <w:r>
        <w:rPr>
          <w:szCs w:val="32"/>
        </w:rPr>
        <w:t>〕</w:t>
      </w:r>
      <w:r>
        <w:rPr>
          <w:szCs w:val="32"/>
        </w:rPr>
        <w:t>12</w:t>
      </w:r>
      <w:r>
        <w:rPr>
          <w:szCs w:val="32"/>
        </w:rPr>
        <w:t>号）等</w:t>
      </w:r>
      <w:r>
        <w:rPr>
          <w:szCs w:val="32"/>
        </w:rPr>
        <w:t>文件</w:t>
      </w:r>
      <w:r>
        <w:rPr>
          <w:szCs w:val="32"/>
        </w:rPr>
        <w:t>精神，结合我</w:t>
      </w:r>
      <w:r>
        <w:rPr>
          <w:szCs w:val="32"/>
        </w:rPr>
        <w:t>县实际，制定本方案。</w:t>
      </w:r>
    </w:p>
    <w:p w:rsidR="005E02A9" w:rsidRDefault="00B84726">
      <w:pPr>
        <w:spacing w:line="586" w:lineRule="exact"/>
        <w:ind w:firstLineChars="200" w:firstLine="640"/>
        <w:rPr>
          <w:rFonts w:eastAsia="黑体"/>
          <w:szCs w:val="32"/>
        </w:rPr>
      </w:pPr>
      <w:r>
        <w:rPr>
          <w:rFonts w:eastAsia="黑体"/>
          <w:szCs w:val="32"/>
        </w:rPr>
        <w:t>一、总体要求</w:t>
      </w:r>
    </w:p>
    <w:p w:rsidR="005E02A9" w:rsidRDefault="00B84726">
      <w:pPr>
        <w:spacing w:line="586" w:lineRule="exact"/>
        <w:ind w:firstLineChars="200" w:firstLine="640"/>
        <w:rPr>
          <w:szCs w:val="32"/>
        </w:rPr>
      </w:pPr>
      <w:r>
        <w:rPr>
          <w:szCs w:val="32"/>
        </w:rPr>
        <w:t>坚持以习近平新时代中国特色社会主义思想为指导，</w:t>
      </w:r>
      <w:r>
        <w:rPr>
          <w:szCs w:val="32"/>
        </w:rPr>
        <w:t>全面</w:t>
      </w:r>
      <w:r>
        <w:rPr>
          <w:szCs w:val="32"/>
        </w:rPr>
        <w:t>贯彻党的二十大精神，</w:t>
      </w:r>
      <w:r>
        <w:rPr>
          <w:szCs w:val="32"/>
        </w:rPr>
        <w:t>认真学习</w:t>
      </w:r>
      <w:r>
        <w:rPr>
          <w:szCs w:val="32"/>
        </w:rPr>
        <w:t>贯彻落实习近平总书记视察广西</w:t>
      </w:r>
      <w:r>
        <w:rPr>
          <w:szCs w:val="32"/>
        </w:rPr>
        <w:t>“4·27”</w:t>
      </w:r>
      <w:r>
        <w:rPr>
          <w:szCs w:val="32"/>
        </w:rPr>
        <w:t>重要讲话和对</w:t>
      </w:r>
      <w:r>
        <w:rPr>
          <w:szCs w:val="32"/>
        </w:rPr>
        <w:t>桂林</w:t>
      </w:r>
      <w:r>
        <w:rPr>
          <w:szCs w:val="32"/>
        </w:rPr>
        <w:t>的重要指示</w:t>
      </w:r>
      <w:r>
        <w:rPr>
          <w:szCs w:val="32"/>
        </w:rPr>
        <w:t>精神</w:t>
      </w:r>
      <w:r>
        <w:rPr>
          <w:szCs w:val="32"/>
        </w:rPr>
        <w:t>，按照建立现代财税体制要求完善预算编制机制，</w:t>
      </w:r>
      <w:r>
        <w:rPr>
          <w:szCs w:val="32"/>
        </w:rPr>
        <w:t>通过实施零基预算管理，引导部门立足全局，系统谋划年度目标任务，科学申报编制预算，加强全口径预算管理，</w:t>
      </w:r>
      <w:r>
        <w:rPr>
          <w:szCs w:val="32"/>
        </w:rPr>
        <w:t>切实增强财政资金和政策的指向性、精准性、有效性，提高财政资金统筹能力和资源配置效率，更好地为</w:t>
      </w:r>
      <w:r>
        <w:rPr>
          <w:szCs w:val="32"/>
        </w:rPr>
        <w:t>全</w:t>
      </w:r>
      <w:r>
        <w:rPr>
          <w:szCs w:val="32"/>
        </w:rPr>
        <w:t>县经济社会高质量发展提供财力保障。</w:t>
      </w:r>
    </w:p>
    <w:p w:rsidR="005E02A9" w:rsidRDefault="00B84726">
      <w:pPr>
        <w:spacing w:line="586" w:lineRule="exact"/>
        <w:ind w:firstLineChars="200" w:firstLine="640"/>
        <w:rPr>
          <w:rFonts w:eastAsia="黑体"/>
          <w:szCs w:val="32"/>
        </w:rPr>
      </w:pPr>
      <w:r>
        <w:rPr>
          <w:rFonts w:eastAsia="黑体"/>
          <w:szCs w:val="32"/>
        </w:rPr>
        <w:t>二、基本原则</w:t>
      </w:r>
    </w:p>
    <w:p w:rsidR="005E02A9" w:rsidRDefault="00B84726">
      <w:pPr>
        <w:spacing w:line="586" w:lineRule="exact"/>
        <w:ind w:firstLineChars="200" w:firstLine="640"/>
        <w:rPr>
          <w:szCs w:val="32"/>
        </w:rPr>
      </w:pPr>
      <w:r>
        <w:rPr>
          <w:rFonts w:eastAsia="楷体_GB2312"/>
          <w:szCs w:val="32"/>
        </w:rPr>
        <w:t>（一）统筹平衡，保障重点。</w:t>
      </w:r>
      <w:r>
        <w:rPr>
          <w:szCs w:val="32"/>
        </w:rPr>
        <w:t>收入预算实事求是、积极稳妥，与经济社会发展状况相适</w:t>
      </w:r>
      <w:r>
        <w:rPr>
          <w:szCs w:val="32"/>
        </w:rPr>
        <w:t>应；支出预算着力优化支出结构，强化</w:t>
      </w:r>
      <w:r>
        <w:rPr>
          <w:szCs w:val="32"/>
        </w:rPr>
        <w:lastRenderedPageBreak/>
        <w:t>资金统筹，聚焦我</w:t>
      </w:r>
      <w:r>
        <w:rPr>
          <w:szCs w:val="32"/>
        </w:rPr>
        <w:t>县</w:t>
      </w:r>
      <w:r>
        <w:rPr>
          <w:szCs w:val="32"/>
        </w:rPr>
        <w:t>国民经济和社会发展规划工作重点，聚焦绩效考评指标任务，聚焦</w:t>
      </w:r>
      <w:r>
        <w:rPr>
          <w:szCs w:val="32"/>
        </w:rPr>
        <w:t>县</w:t>
      </w:r>
      <w:r>
        <w:rPr>
          <w:szCs w:val="32"/>
        </w:rPr>
        <w:t>委、</w:t>
      </w:r>
      <w:r>
        <w:rPr>
          <w:szCs w:val="32"/>
        </w:rPr>
        <w:t>县</w:t>
      </w:r>
      <w:r>
        <w:rPr>
          <w:szCs w:val="32"/>
        </w:rPr>
        <w:t>人民政府主要目标任务，聚焦重要战略、重点工作和重大项目支出。体现创先争优导向，优化项目设置，全力支持重大战略、政策和改革有效实施。</w:t>
      </w:r>
    </w:p>
    <w:p w:rsidR="005E02A9" w:rsidRDefault="00B84726">
      <w:pPr>
        <w:spacing w:line="586" w:lineRule="exact"/>
        <w:ind w:firstLineChars="200" w:firstLine="640"/>
        <w:rPr>
          <w:szCs w:val="32"/>
        </w:rPr>
      </w:pPr>
      <w:r>
        <w:rPr>
          <w:rFonts w:eastAsia="楷体_GB2312"/>
          <w:szCs w:val="32"/>
        </w:rPr>
        <w:t>（二）强化管理，硬化约束。</w:t>
      </w:r>
      <w:r>
        <w:rPr>
          <w:szCs w:val="32"/>
        </w:rPr>
        <w:t>坚持预算法定，严格按照《中华人民共和国预算法》及其实施条例有关规定编制预算，强化预算约束，严控预算调整和调剂，推进建立约束有力的预算制度；严格执行预算管理一体化业务规范，规范预算管理，实现项目全生命周期管理；完善部门职能职责、重点工作引领项目支出设置机制，落实零基预算要求，着力增强预算安排科学性。</w:t>
      </w:r>
    </w:p>
    <w:p w:rsidR="005E02A9" w:rsidRDefault="00B84726">
      <w:pPr>
        <w:spacing w:line="586" w:lineRule="exact"/>
        <w:ind w:firstLineChars="200" w:firstLine="640"/>
        <w:rPr>
          <w:szCs w:val="32"/>
        </w:rPr>
      </w:pPr>
      <w:r>
        <w:rPr>
          <w:rFonts w:eastAsia="楷体_GB2312"/>
          <w:szCs w:val="32"/>
        </w:rPr>
        <w:t>（三）讲求绩效，提高效益。</w:t>
      </w:r>
      <w:r>
        <w:rPr>
          <w:szCs w:val="32"/>
        </w:rPr>
        <w:t>全面实施预算绩效管理，推进预算和绩效管理深度融合，实行预算编制、执行和监督全过程绩效管理，强化事前绩效评估，增强项目立项和预算安排的科学性；加强绩效监控和评价结果运用，大力削减非急需非刚</w:t>
      </w:r>
      <w:r>
        <w:rPr>
          <w:szCs w:val="32"/>
        </w:rPr>
        <w:t>性支出、取消低效无效支出，着力提高财政资源配置效率和使用效益。</w:t>
      </w:r>
    </w:p>
    <w:p w:rsidR="005E02A9" w:rsidRDefault="00B84726">
      <w:pPr>
        <w:spacing w:line="586" w:lineRule="exact"/>
        <w:ind w:firstLineChars="200" w:firstLine="640"/>
        <w:rPr>
          <w:szCs w:val="32"/>
        </w:rPr>
      </w:pPr>
      <w:r>
        <w:rPr>
          <w:rFonts w:eastAsia="楷体_GB2312"/>
          <w:szCs w:val="32"/>
        </w:rPr>
        <w:t>（四）坚持底线，防范风险。</w:t>
      </w:r>
      <w:r>
        <w:rPr>
          <w:szCs w:val="32"/>
        </w:rPr>
        <w:t>把防风险摆在更加突出位置，统筹考虑发展和安全、当前和长远，杜绝脱离实际的过高承诺，形成稳定合理的社会预期。聚焦应对重大挑战、抵御重大风险，加强政府债务和中长期支出事项管理，牢牢守住不发生系统性风险底线，维护社会长治久安。</w:t>
      </w:r>
    </w:p>
    <w:p w:rsidR="005E02A9" w:rsidRDefault="00B84726">
      <w:pPr>
        <w:spacing w:line="586" w:lineRule="exact"/>
        <w:ind w:firstLineChars="200" w:firstLine="640"/>
        <w:rPr>
          <w:rFonts w:eastAsia="黑体"/>
          <w:szCs w:val="32"/>
        </w:rPr>
      </w:pPr>
      <w:r>
        <w:rPr>
          <w:rFonts w:eastAsia="黑体"/>
          <w:szCs w:val="32"/>
        </w:rPr>
        <w:t>三</w:t>
      </w:r>
      <w:r>
        <w:rPr>
          <w:rFonts w:eastAsia="黑体"/>
          <w:szCs w:val="32"/>
        </w:rPr>
        <w:t>、主要</w:t>
      </w:r>
      <w:r>
        <w:rPr>
          <w:rFonts w:eastAsia="黑体"/>
          <w:szCs w:val="32"/>
        </w:rPr>
        <w:t>内容</w:t>
      </w:r>
    </w:p>
    <w:p w:rsidR="005E02A9" w:rsidRDefault="00B84726">
      <w:pPr>
        <w:spacing w:line="586" w:lineRule="exact"/>
        <w:ind w:firstLineChars="200" w:firstLine="640"/>
        <w:rPr>
          <w:szCs w:val="32"/>
        </w:rPr>
      </w:pPr>
      <w:r>
        <w:rPr>
          <w:szCs w:val="32"/>
        </w:rPr>
        <w:t>县直各部门和乡（镇）年度预算编制不受以往年度预算安排</w:t>
      </w:r>
      <w:r>
        <w:rPr>
          <w:szCs w:val="32"/>
        </w:rPr>
        <w:lastRenderedPageBreak/>
        <w:t>情况影响，所有支出预算均以零为基点，一切从实际需要与可能出发，逐项审核预算年度内各项支出的必要性、合理性及其开支标准、支出金额。打破基</w:t>
      </w:r>
      <w:r>
        <w:rPr>
          <w:szCs w:val="32"/>
        </w:rPr>
        <w:t>数概念和支出固化格局，结合财力水平、轻重缓急、实际需求、绩效情况、执行进度、项目储备情况等，在综合平衡的基础上编制和审核预算，提高支出效率和资金绩效。</w:t>
      </w:r>
    </w:p>
    <w:p w:rsidR="005E02A9" w:rsidRDefault="00B84726">
      <w:pPr>
        <w:spacing w:line="586" w:lineRule="exact"/>
        <w:ind w:firstLineChars="200" w:firstLine="640"/>
        <w:rPr>
          <w:szCs w:val="32"/>
        </w:rPr>
      </w:pPr>
      <w:r>
        <w:rPr>
          <w:rFonts w:eastAsia="楷体_GB2312"/>
          <w:szCs w:val="32"/>
        </w:rPr>
        <w:t>（一）不断优化支出结构，集中财力保重点支出。</w:t>
      </w:r>
      <w:r>
        <w:rPr>
          <w:szCs w:val="32"/>
        </w:rPr>
        <w:t>县直各部门和乡（镇）要打破部门预算基数概念，按照实事求是、集中财力、过紧日子的原则编制预算。要紧紧围绕中央、自治区</w:t>
      </w:r>
      <w:r>
        <w:rPr>
          <w:szCs w:val="32"/>
        </w:rPr>
        <w:t>、</w:t>
      </w:r>
      <w:r>
        <w:rPr>
          <w:szCs w:val="32"/>
        </w:rPr>
        <w:t>桂林市</w:t>
      </w:r>
      <w:r>
        <w:rPr>
          <w:szCs w:val="32"/>
        </w:rPr>
        <w:t>和我</w:t>
      </w:r>
      <w:r>
        <w:rPr>
          <w:szCs w:val="32"/>
        </w:rPr>
        <w:t>县</w:t>
      </w:r>
      <w:r>
        <w:rPr>
          <w:szCs w:val="32"/>
        </w:rPr>
        <w:t>重大政策、重大改革和中心工作，提前做好项目谋划，优先安排中央、自治区</w:t>
      </w:r>
      <w:r>
        <w:rPr>
          <w:szCs w:val="32"/>
        </w:rPr>
        <w:t>、</w:t>
      </w:r>
      <w:r>
        <w:rPr>
          <w:szCs w:val="32"/>
        </w:rPr>
        <w:t>桂林市</w:t>
      </w:r>
      <w:r>
        <w:rPr>
          <w:szCs w:val="32"/>
        </w:rPr>
        <w:t>和</w:t>
      </w:r>
      <w:r>
        <w:rPr>
          <w:szCs w:val="32"/>
        </w:rPr>
        <w:t>县</w:t>
      </w:r>
      <w:r>
        <w:rPr>
          <w:szCs w:val="32"/>
        </w:rPr>
        <w:t>委、</w:t>
      </w:r>
      <w:r>
        <w:rPr>
          <w:szCs w:val="32"/>
        </w:rPr>
        <w:t>县</w:t>
      </w:r>
      <w:r>
        <w:rPr>
          <w:szCs w:val="32"/>
        </w:rPr>
        <w:t>人民政府确定的、前期工作准备充分的重点项目。</w:t>
      </w:r>
    </w:p>
    <w:p w:rsidR="005E02A9" w:rsidRDefault="00B84726">
      <w:pPr>
        <w:spacing w:line="586" w:lineRule="exact"/>
        <w:ind w:firstLineChars="200" w:firstLine="640"/>
        <w:rPr>
          <w:szCs w:val="32"/>
        </w:rPr>
      </w:pPr>
      <w:r>
        <w:rPr>
          <w:rFonts w:eastAsia="楷体_GB2312"/>
          <w:szCs w:val="32"/>
        </w:rPr>
        <w:t>（</w:t>
      </w:r>
      <w:r>
        <w:rPr>
          <w:rFonts w:eastAsia="楷体_GB2312"/>
          <w:szCs w:val="32"/>
        </w:rPr>
        <w:t>二</w:t>
      </w:r>
      <w:r>
        <w:rPr>
          <w:rFonts w:eastAsia="楷体_GB2312"/>
          <w:szCs w:val="32"/>
        </w:rPr>
        <w:t>）编细编实年初预算，提高预算细化率和到位率。</w:t>
      </w:r>
      <w:r>
        <w:rPr>
          <w:szCs w:val="32"/>
        </w:rPr>
        <w:t>及时制定</w:t>
      </w:r>
      <w:r>
        <w:rPr>
          <w:szCs w:val="32"/>
        </w:rPr>
        <w:t>资金分配意向方案，围绕中心工作提前谋划下一年度预算安排，该纳入部门预算的要纳入部门预算，除应急救灾、预备费和突发事件处置等特殊项目资金外，所有纳入预算安排的项目资金均要在部门预算草案提交本级人大审议前细化到具体可执行的项目或单位，并明确具体安排金额，做到预算一经批准即可实施，避免钱等项目和资金闲置浪费，尽早发挥财政资金使用效益。</w:t>
      </w:r>
    </w:p>
    <w:p w:rsidR="005E02A9" w:rsidRDefault="00B84726">
      <w:pPr>
        <w:spacing w:line="586" w:lineRule="exact"/>
        <w:ind w:firstLineChars="200" w:firstLine="640"/>
        <w:rPr>
          <w:szCs w:val="32"/>
        </w:rPr>
      </w:pPr>
      <w:r>
        <w:rPr>
          <w:rFonts w:eastAsia="楷体_GB2312"/>
          <w:szCs w:val="32"/>
        </w:rPr>
        <w:t>（</w:t>
      </w:r>
      <w:r>
        <w:rPr>
          <w:rFonts w:eastAsia="楷体_GB2312"/>
          <w:szCs w:val="32"/>
        </w:rPr>
        <w:t>三</w:t>
      </w:r>
      <w:r>
        <w:rPr>
          <w:rFonts w:eastAsia="楷体_GB2312"/>
          <w:szCs w:val="32"/>
        </w:rPr>
        <w:t>）强化项目审核管理，提高支出安排精准性。</w:t>
      </w:r>
      <w:r>
        <w:rPr>
          <w:szCs w:val="32"/>
        </w:rPr>
        <w:t>县直各部门和乡（镇）预算支出要全部以项目形式纳入预算项目库，未纳入预算项目库的项目一律不得安排预算。纳入预算项目库的项目必须具备充分的立项依据、明确的实施期限、科学的绩效目标等</w:t>
      </w:r>
      <w:r>
        <w:rPr>
          <w:szCs w:val="32"/>
        </w:rPr>
        <w:lastRenderedPageBreak/>
        <w:t>要素，县直各部门和乡（镇）根据支出标准科学测算预算需求。对纳入预算项目库的项目应当按规定完成可行性研究论证、制定具体实施计划等前期工作，做到预算一经批准即可实施。</w:t>
      </w:r>
    </w:p>
    <w:p w:rsidR="005E02A9" w:rsidRDefault="00B84726">
      <w:pPr>
        <w:spacing w:line="586" w:lineRule="exact"/>
        <w:ind w:firstLineChars="200" w:firstLine="640"/>
        <w:rPr>
          <w:szCs w:val="32"/>
        </w:rPr>
      </w:pPr>
      <w:r>
        <w:rPr>
          <w:rFonts w:eastAsia="楷体_GB2312"/>
          <w:szCs w:val="32"/>
        </w:rPr>
        <w:t>（</w:t>
      </w:r>
      <w:r>
        <w:rPr>
          <w:rFonts w:eastAsia="楷体_GB2312"/>
          <w:szCs w:val="32"/>
        </w:rPr>
        <w:t>四</w:t>
      </w:r>
      <w:r>
        <w:rPr>
          <w:rFonts w:eastAsia="楷体_GB2312"/>
          <w:szCs w:val="32"/>
        </w:rPr>
        <w:t>）加快推进项目支出标准体系建设，夯实预算编审基础。</w:t>
      </w:r>
      <w:r>
        <w:rPr>
          <w:szCs w:val="32"/>
        </w:rPr>
        <w:t>县直各部门和乡（镇）要进一步完善项目支出标准，根据支出政策、项目要素及成本、财力水平等因素，强化对项目执行情况的分析和</w:t>
      </w:r>
      <w:r>
        <w:rPr>
          <w:szCs w:val="32"/>
        </w:rPr>
        <w:t>结果运用，将实际执行情况作为制定和调整支出标准的重要参考，加快建立完善不同行业、不同地区、分类分档的预算项目支出标准体系，将支出标准作为预算编审的基本依据，不得超标准编制预算。</w:t>
      </w:r>
    </w:p>
    <w:p w:rsidR="005E02A9" w:rsidRDefault="00B84726">
      <w:pPr>
        <w:spacing w:line="586" w:lineRule="exact"/>
        <w:ind w:firstLineChars="200" w:firstLine="640"/>
        <w:rPr>
          <w:szCs w:val="32"/>
        </w:rPr>
      </w:pPr>
      <w:r>
        <w:rPr>
          <w:rFonts w:eastAsia="楷体_GB2312"/>
          <w:szCs w:val="32"/>
        </w:rPr>
        <w:t>（五）全面实施预算绩效管理，提高资金使用效益。</w:t>
      </w:r>
      <w:r>
        <w:rPr>
          <w:szCs w:val="32"/>
        </w:rPr>
        <w:t>县直各部门和乡（镇）要强化</w:t>
      </w:r>
      <w:r>
        <w:rPr>
          <w:szCs w:val="32"/>
        </w:rPr>
        <w:t>“</w:t>
      </w:r>
      <w:r>
        <w:rPr>
          <w:szCs w:val="32"/>
        </w:rPr>
        <w:t>花钱必问效，无效必问责</w:t>
      </w:r>
      <w:r>
        <w:rPr>
          <w:szCs w:val="32"/>
        </w:rPr>
        <w:t>”</w:t>
      </w:r>
      <w:r>
        <w:rPr>
          <w:szCs w:val="32"/>
        </w:rPr>
        <w:t>理念，定期清理整合交叉重叠的支出政策，对绩效评价低效无效的既有专项资金和项目经费，减少安排或不予安排。要优先保障预期绩效较好的项目。出台各类产业政策和新增项目要更加注重产值贡献、税收贡献和就业贡献等效益指标，确保取得较好的预期绩效。</w:t>
      </w:r>
    </w:p>
    <w:p w:rsidR="005E02A9" w:rsidRDefault="00B84726">
      <w:pPr>
        <w:spacing w:line="586" w:lineRule="exact"/>
        <w:ind w:firstLineChars="200" w:firstLine="640"/>
        <w:rPr>
          <w:rFonts w:eastAsia="楷体_GB2312"/>
          <w:szCs w:val="32"/>
        </w:rPr>
      </w:pPr>
      <w:r>
        <w:rPr>
          <w:rFonts w:eastAsia="楷体_GB2312"/>
          <w:szCs w:val="32"/>
        </w:rPr>
        <w:t>（</w:t>
      </w:r>
      <w:r>
        <w:rPr>
          <w:rFonts w:eastAsia="楷体_GB2312"/>
          <w:szCs w:val="32"/>
        </w:rPr>
        <w:t>六）加大各类资金统筹力度，增强财政政策效果。</w:t>
      </w:r>
      <w:r>
        <w:rPr>
          <w:szCs w:val="32"/>
        </w:rPr>
        <w:t>县直各部门和乡（镇）要加大跨部门资金统筹力度，将可统筹的资金集中到</w:t>
      </w:r>
      <w:r>
        <w:rPr>
          <w:szCs w:val="32"/>
        </w:rPr>
        <w:t>县</w:t>
      </w:r>
      <w:r>
        <w:rPr>
          <w:szCs w:val="32"/>
        </w:rPr>
        <w:t>级层面，优先安排用于重大项目、重点项目。要充分发挥财政资金撬动作用，对可以通过招商引资、贷款、发行企业债券以及政府和社会资本合作（</w:t>
      </w:r>
      <w:r>
        <w:rPr>
          <w:szCs w:val="32"/>
        </w:rPr>
        <w:t>PPP</w:t>
      </w:r>
      <w:r>
        <w:rPr>
          <w:szCs w:val="32"/>
        </w:rPr>
        <w:t>）等市场化融资方式解决的，优先通过市场化融资方式解决。预算安排要与本部门非财政拨款收入</w:t>
      </w:r>
      <w:r>
        <w:rPr>
          <w:spacing w:val="-11"/>
          <w:szCs w:val="32"/>
        </w:rPr>
        <w:lastRenderedPageBreak/>
        <w:t>统筹衔接，优先使用部门单位资金，减少或不再安排财政拨款补助。</w:t>
      </w:r>
    </w:p>
    <w:p w:rsidR="005E02A9" w:rsidRDefault="00B84726">
      <w:pPr>
        <w:spacing w:line="586" w:lineRule="exact"/>
        <w:ind w:firstLineChars="200" w:firstLine="640"/>
        <w:rPr>
          <w:szCs w:val="32"/>
        </w:rPr>
      </w:pPr>
      <w:r>
        <w:rPr>
          <w:rFonts w:eastAsia="楷体_GB2312"/>
          <w:szCs w:val="32"/>
        </w:rPr>
        <w:t>（</w:t>
      </w:r>
      <w:r>
        <w:rPr>
          <w:rFonts w:eastAsia="楷体_GB2312"/>
          <w:szCs w:val="32"/>
        </w:rPr>
        <w:t>七</w:t>
      </w:r>
      <w:r>
        <w:rPr>
          <w:rFonts w:eastAsia="楷体_GB2312"/>
          <w:szCs w:val="32"/>
        </w:rPr>
        <w:t>）全面清理存量资金和政策，有效盘活财政资源。</w:t>
      </w:r>
      <w:r>
        <w:rPr>
          <w:szCs w:val="32"/>
        </w:rPr>
        <w:t>除中央有规定外，各领域不得硬性规定财政支出增速，不得要求建立长期稳定</w:t>
      </w:r>
      <w:r>
        <w:rPr>
          <w:szCs w:val="32"/>
        </w:rPr>
        <w:t>的支出增长机制。县直各部门和乡（镇）要全面清理评估本部门各项支出，对不合规定、超出标准的基本支出和低效无效的项目支出，一律收回或调整预算。全面清理结余资金、</w:t>
      </w:r>
      <w:r>
        <w:rPr>
          <w:szCs w:val="32"/>
        </w:rPr>
        <w:t>2</w:t>
      </w:r>
      <w:r>
        <w:rPr>
          <w:szCs w:val="32"/>
        </w:rPr>
        <w:t>年以上结转资金以及部门实有资金账户结余资金，对沉淀的财政性资金一律收回，对沉淀的其他资金纳入部门预算统筹安排各项支出。定期评估各项政策实施效果，结合评估结果及时调整优化政策措施，腾退出更多资金保障优质项目的实施。</w:t>
      </w:r>
    </w:p>
    <w:p w:rsidR="005E02A9" w:rsidRDefault="00B84726">
      <w:pPr>
        <w:spacing w:line="586" w:lineRule="exact"/>
        <w:ind w:firstLineChars="200" w:firstLine="640"/>
        <w:rPr>
          <w:szCs w:val="32"/>
        </w:rPr>
      </w:pPr>
      <w:r>
        <w:rPr>
          <w:rFonts w:eastAsia="楷体_GB2312"/>
          <w:szCs w:val="32"/>
        </w:rPr>
        <w:t>（</w:t>
      </w:r>
      <w:r>
        <w:rPr>
          <w:rFonts w:eastAsia="楷体_GB2312"/>
          <w:szCs w:val="32"/>
        </w:rPr>
        <w:t>八</w:t>
      </w:r>
      <w:r>
        <w:rPr>
          <w:rFonts w:eastAsia="楷体_GB2312"/>
          <w:szCs w:val="32"/>
        </w:rPr>
        <w:t>）落实预算编制与执行挂钩机制，提高预算安排科学性。</w:t>
      </w:r>
      <w:r>
        <w:rPr>
          <w:szCs w:val="32"/>
        </w:rPr>
        <w:t>预算执行进度慢、结转结余资金额度大、项目预算调整频繁、审计查出问题突出的部门，要切实履</w:t>
      </w:r>
      <w:r>
        <w:rPr>
          <w:szCs w:val="32"/>
        </w:rPr>
        <w:t>行预算执行主体责任，认真研究提出改进措施，进一步优化预算安排。县财政局要加强督促指导，完善预算编制与执行挂钩机制，确保财政资金使用合法合规、及时见效。</w:t>
      </w:r>
    </w:p>
    <w:p w:rsidR="005E02A9" w:rsidRDefault="00B84726">
      <w:pPr>
        <w:spacing w:line="586" w:lineRule="exact"/>
        <w:ind w:firstLineChars="200" w:firstLine="640"/>
        <w:rPr>
          <w:rFonts w:eastAsia="黑体"/>
          <w:szCs w:val="32"/>
        </w:rPr>
      </w:pPr>
      <w:r>
        <w:rPr>
          <w:rFonts w:eastAsia="黑体"/>
          <w:szCs w:val="32"/>
        </w:rPr>
        <w:t>四</w:t>
      </w:r>
      <w:r>
        <w:rPr>
          <w:rFonts w:eastAsia="黑体"/>
          <w:szCs w:val="32"/>
        </w:rPr>
        <w:t>、零基预算编</w:t>
      </w:r>
      <w:r>
        <w:rPr>
          <w:rFonts w:eastAsia="黑体"/>
          <w:szCs w:val="32"/>
        </w:rPr>
        <w:t>审程序</w:t>
      </w:r>
    </w:p>
    <w:p w:rsidR="005E02A9" w:rsidRDefault="00B84726">
      <w:pPr>
        <w:spacing w:line="586" w:lineRule="exact"/>
        <w:ind w:firstLineChars="200" w:firstLine="640"/>
        <w:rPr>
          <w:szCs w:val="32"/>
        </w:rPr>
      </w:pPr>
      <w:r>
        <w:rPr>
          <w:rFonts w:eastAsia="楷体_GB2312"/>
          <w:szCs w:val="32"/>
        </w:rPr>
        <w:t>（一）基本支出预算编审程序（保工资保运转）。</w:t>
      </w:r>
      <w:r>
        <w:rPr>
          <w:szCs w:val="32"/>
        </w:rPr>
        <w:t>基本支出是指部门为保障其机构正常运转、完成日常工作任务、正常履行公共管理和服务职能所必需的基本开支而编制的年度支出计划。基本支出按照支出方向和用途分为人员类项目支出和运转类公用经费项目支出。基本支出全部实行分类分档、定员定额管理。</w:t>
      </w:r>
    </w:p>
    <w:p w:rsidR="005E02A9" w:rsidRDefault="00B84726">
      <w:pPr>
        <w:spacing w:line="586" w:lineRule="exact"/>
        <w:ind w:firstLineChars="200" w:firstLine="640"/>
        <w:rPr>
          <w:szCs w:val="32"/>
        </w:rPr>
      </w:pPr>
      <w:r>
        <w:rPr>
          <w:szCs w:val="32"/>
        </w:rPr>
        <w:lastRenderedPageBreak/>
        <w:t>1.</w:t>
      </w:r>
      <w:r>
        <w:rPr>
          <w:szCs w:val="32"/>
        </w:rPr>
        <w:t>基本支出预算测算。人员类项目支出方面，县直各部门和乡（镇）</w:t>
      </w:r>
      <w:r>
        <w:rPr>
          <w:szCs w:val="32"/>
        </w:rPr>
        <w:t>根据实有在编人数、人员类别、人员工资福利等基础信息，按政策及相关标准测算安排；运转类公用经费项目支出方面，县直各部门和乡（镇）根据人员编制数、离退休人数、公务车辆数等基础信息，结合分类分档，按政策及相关标准测算安排。</w:t>
      </w:r>
      <w:r>
        <w:rPr>
          <w:szCs w:val="32"/>
        </w:rPr>
        <w:t>县</w:t>
      </w:r>
      <w:r>
        <w:rPr>
          <w:szCs w:val="32"/>
        </w:rPr>
        <w:t>财政局根据制定的分类分档定额标准和核定的部门基础信息数据，结合部门经费保障渠道，统筹考虑上级补助资金、事业收入、结转结余资金等情况，测算形成部门基本支出预算控制数和财政拨款补助数。</w:t>
      </w:r>
    </w:p>
    <w:p w:rsidR="005E02A9" w:rsidRDefault="00B84726">
      <w:pPr>
        <w:spacing w:line="586" w:lineRule="exact"/>
        <w:ind w:firstLineChars="200" w:firstLine="640"/>
        <w:rPr>
          <w:szCs w:val="32"/>
        </w:rPr>
      </w:pPr>
      <w:r>
        <w:rPr>
          <w:szCs w:val="32"/>
        </w:rPr>
        <w:t>2.</w:t>
      </w:r>
      <w:r>
        <w:rPr>
          <w:szCs w:val="32"/>
        </w:rPr>
        <w:t>基本支出预算审核。基本支出由县直各部门和乡（镇）按照预算管理程序在</w:t>
      </w:r>
      <w:r>
        <w:rPr>
          <w:szCs w:val="32"/>
        </w:rPr>
        <w:t>“</w:t>
      </w:r>
      <w:r>
        <w:rPr>
          <w:szCs w:val="32"/>
        </w:rPr>
        <w:t>一上</w:t>
      </w:r>
      <w:r>
        <w:rPr>
          <w:szCs w:val="32"/>
        </w:rPr>
        <w:t>”</w:t>
      </w:r>
      <w:r>
        <w:rPr>
          <w:szCs w:val="32"/>
        </w:rPr>
        <w:t>阶段据实填报，根据基本支出测算数生</w:t>
      </w:r>
      <w:r>
        <w:rPr>
          <w:szCs w:val="32"/>
        </w:rPr>
        <w:t>成基本支出</w:t>
      </w:r>
      <w:r>
        <w:rPr>
          <w:szCs w:val="32"/>
        </w:rPr>
        <w:t>“</w:t>
      </w:r>
      <w:r>
        <w:rPr>
          <w:szCs w:val="32"/>
        </w:rPr>
        <w:t>一上</w:t>
      </w:r>
      <w:r>
        <w:rPr>
          <w:szCs w:val="32"/>
        </w:rPr>
        <w:t>”</w:t>
      </w:r>
      <w:r>
        <w:rPr>
          <w:szCs w:val="32"/>
        </w:rPr>
        <w:t>预算申报数，</w:t>
      </w:r>
      <w:r>
        <w:rPr>
          <w:szCs w:val="32"/>
        </w:rPr>
        <w:t>县</w:t>
      </w:r>
      <w:r>
        <w:rPr>
          <w:szCs w:val="32"/>
        </w:rPr>
        <w:t>财政局据实审核后，形成</w:t>
      </w:r>
      <w:r>
        <w:rPr>
          <w:szCs w:val="32"/>
        </w:rPr>
        <w:t>“</w:t>
      </w:r>
      <w:r>
        <w:rPr>
          <w:szCs w:val="32"/>
        </w:rPr>
        <w:t>一下</w:t>
      </w:r>
      <w:r>
        <w:rPr>
          <w:szCs w:val="32"/>
        </w:rPr>
        <w:t>”</w:t>
      </w:r>
      <w:r>
        <w:rPr>
          <w:szCs w:val="32"/>
        </w:rPr>
        <w:t>预算控制数并下达至县直各部门和乡（镇）。各部门在</w:t>
      </w:r>
      <w:r>
        <w:rPr>
          <w:szCs w:val="32"/>
        </w:rPr>
        <w:t>“</w:t>
      </w:r>
      <w:r>
        <w:rPr>
          <w:szCs w:val="32"/>
        </w:rPr>
        <w:t>二上</w:t>
      </w:r>
      <w:r>
        <w:rPr>
          <w:szCs w:val="32"/>
        </w:rPr>
        <w:t>”</w:t>
      </w:r>
      <w:r>
        <w:rPr>
          <w:szCs w:val="32"/>
        </w:rPr>
        <w:t>阶段按照控制数限额对基本支出预算进行核对和调整。基本支出预算经</w:t>
      </w:r>
      <w:r>
        <w:rPr>
          <w:szCs w:val="32"/>
        </w:rPr>
        <w:t>县</w:t>
      </w:r>
      <w:r>
        <w:rPr>
          <w:szCs w:val="32"/>
        </w:rPr>
        <w:t>人民代表大会批准后，按规定下达至县直各部门和乡（镇）。县直各部门和乡（镇）当年预算安排的基本支出不予结转。</w:t>
      </w:r>
    </w:p>
    <w:p w:rsidR="005E02A9" w:rsidRDefault="00B84726">
      <w:pPr>
        <w:spacing w:line="586" w:lineRule="exact"/>
        <w:ind w:firstLineChars="200" w:firstLine="640"/>
        <w:rPr>
          <w:szCs w:val="32"/>
        </w:rPr>
      </w:pPr>
      <w:r>
        <w:rPr>
          <w:rFonts w:eastAsia="楷体_GB2312"/>
          <w:szCs w:val="32"/>
        </w:rPr>
        <w:t>（二）项目支出预算编审程序（事业发展支出）。</w:t>
      </w:r>
      <w:r>
        <w:rPr>
          <w:szCs w:val="32"/>
        </w:rPr>
        <w:t>项目支出预算是指部门为完成其特定的工作任务和事业发展目标，在基本支出之外编制的年度支出计划。项目支出实行分类管理，分为其他运转类和特定目标类。</w:t>
      </w:r>
    </w:p>
    <w:p w:rsidR="005E02A9" w:rsidRDefault="00B84726">
      <w:pPr>
        <w:spacing w:line="586" w:lineRule="exact"/>
        <w:ind w:firstLineChars="200" w:firstLine="640"/>
        <w:rPr>
          <w:szCs w:val="32"/>
        </w:rPr>
      </w:pPr>
      <w:r>
        <w:rPr>
          <w:szCs w:val="32"/>
        </w:rPr>
        <w:t>其他运转类是指根据各部门</w:t>
      </w:r>
      <w:r>
        <w:rPr>
          <w:szCs w:val="32"/>
        </w:rPr>
        <w:t>“</w:t>
      </w:r>
      <w:r>
        <w:rPr>
          <w:szCs w:val="32"/>
        </w:rPr>
        <w:t>三定</w:t>
      </w:r>
      <w:r>
        <w:rPr>
          <w:szCs w:val="32"/>
        </w:rPr>
        <w:t>”</w:t>
      </w:r>
      <w:r>
        <w:rPr>
          <w:szCs w:val="32"/>
        </w:rPr>
        <w:t>方案，为保障本机构专项工作开展（包括专项用于大型公用设施、专用设备、专业信息系</w:t>
      </w:r>
      <w:r>
        <w:rPr>
          <w:szCs w:val="32"/>
        </w:rPr>
        <w:lastRenderedPageBreak/>
        <w:t>统等运行维护）而安排的一次性或阶段性业务经费。运转类项目支出应本着厉行节约的原则据实测算。一次性或阶段性任务完成后不再保留，不形成固定基数，一律予以清零。</w:t>
      </w:r>
    </w:p>
    <w:p w:rsidR="005E02A9" w:rsidRDefault="00B84726">
      <w:pPr>
        <w:spacing w:line="586" w:lineRule="exact"/>
        <w:ind w:firstLineChars="200" w:firstLine="640"/>
        <w:rPr>
          <w:szCs w:val="32"/>
        </w:rPr>
      </w:pPr>
      <w:r>
        <w:rPr>
          <w:szCs w:val="32"/>
        </w:rPr>
        <w:t>特定目标类是指各部门聚焦中央、自治区</w:t>
      </w:r>
      <w:r>
        <w:rPr>
          <w:szCs w:val="32"/>
        </w:rPr>
        <w:t>、</w:t>
      </w:r>
      <w:r>
        <w:rPr>
          <w:szCs w:val="32"/>
        </w:rPr>
        <w:t>桂林市和县</w:t>
      </w:r>
      <w:r>
        <w:rPr>
          <w:szCs w:val="32"/>
        </w:rPr>
        <w:t>委、</w:t>
      </w:r>
      <w:r>
        <w:rPr>
          <w:szCs w:val="32"/>
        </w:rPr>
        <w:t>县</w:t>
      </w:r>
      <w:r>
        <w:rPr>
          <w:szCs w:val="32"/>
        </w:rPr>
        <w:t>人民政府重要战略、重大决策和重点工作任务，结合本</w:t>
      </w:r>
      <w:r>
        <w:rPr>
          <w:szCs w:val="32"/>
        </w:rPr>
        <w:t>部门职责和事业发展完成的特定任务和重大项目支出。项目资金包括配套中央、自治区</w:t>
      </w:r>
      <w:r>
        <w:rPr>
          <w:szCs w:val="32"/>
        </w:rPr>
        <w:t>、</w:t>
      </w:r>
      <w:r>
        <w:rPr>
          <w:szCs w:val="32"/>
        </w:rPr>
        <w:t>桂林市和县</w:t>
      </w:r>
      <w:r>
        <w:rPr>
          <w:szCs w:val="32"/>
        </w:rPr>
        <w:t>本级重点项目资金的，予以优先保障。配套中央、自治区资金是指根据中央、自治区与地方共同财政事权和支出责任安排的项目资金，按照中央、自治区规定和各级负担比例按年核定。</w:t>
      </w:r>
      <w:r>
        <w:rPr>
          <w:szCs w:val="32"/>
        </w:rPr>
        <w:t>县</w:t>
      </w:r>
      <w:r>
        <w:rPr>
          <w:szCs w:val="32"/>
        </w:rPr>
        <w:t>本级重点项目资金是指除配套中央、自治区项目之外，围绕</w:t>
      </w:r>
      <w:r>
        <w:rPr>
          <w:szCs w:val="32"/>
        </w:rPr>
        <w:t>县</w:t>
      </w:r>
      <w:r>
        <w:rPr>
          <w:szCs w:val="32"/>
        </w:rPr>
        <w:t>委、</w:t>
      </w:r>
      <w:r>
        <w:rPr>
          <w:szCs w:val="32"/>
        </w:rPr>
        <w:t>县</w:t>
      </w:r>
      <w:r>
        <w:rPr>
          <w:szCs w:val="32"/>
        </w:rPr>
        <w:t>人民政府重大决策、重点工作安排的阶段性项目资金，结合财力状况、预算执行情况、绩效评价结果、项目储备情况等按年核定。</w:t>
      </w:r>
    </w:p>
    <w:p w:rsidR="005E02A9" w:rsidRDefault="00B84726">
      <w:pPr>
        <w:spacing w:line="586" w:lineRule="exact"/>
        <w:ind w:firstLineChars="200" w:firstLine="640"/>
        <w:rPr>
          <w:szCs w:val="32"/>
        </w:rPr>
      </w:pPr>
      <w:r>
        <w:rPr>
          <w:szCs w:val="32"/>
        </w:rPr>
        <w:t>1.</w:t>
      </w:r>
      <w:r>
        <w:rPr>
          <w:szCs w:val="32"/>
        </w:rPr>
        <w:t>部门编报</w:t>
      </w:r>
      <w:r>
        <w:rPr>
          <w:szCs w:val="32"/>
        </w:rPr>
        <w:t>“</w:t>
      </w:r>
      <w:r>
        <w:rPr>
          <w:szCs w:val="32"/>
        </w:rPr>
        <w:t>一上</w:t>
      </w:r>
      <w:r>
        <w:rPr>
          <w:szCs w:val="32"/>
        </w:rPr>
        <w:t>”</w:t>
      </w:r>
      <w:r>
        <w:rPr>
          <w:szCs w:val="32"/>
        </w:rPr>
        <w:t>预算的要求。县直各部门和乡（镇）要按以下要求逐项梳理本年度所有项</w:t>
      </w:r>
      <w:r>
        <w:rPr>
          <w:szCs w:val="32"/>
        </w:rPr>
        <w:t>目支出预算情况，并按时提交</w:t>
      </w:r>
      <w:r>
        <w:rPr>
          <w:szCs w:val="32"/>
        </w:rPr>
        <w:t>县</w:t>
      </w:r>
      <w:r>
        <w:rPr>
          <w:szCs w:val="32"/>
        </w:rPr>
        <w:t>财政局汇总。</w:t>
      </w:r>
    </w:p>
    <w:p w:rsidR="005E02A9" w:rsidRDefault="00B84726">
      <w:pPr>
        <w:spacing w:line="586" w:lineRule="exact"/>
        <w:ind w:firstLineChars="200" w:firstLine="640"/>
        <w:rPr>
          <w:szCs w:val="32"/>
        </w:rPr>
      </w:pPr>
      <w:r>
        <w:rPr>
          <w:szCs w:val="32"/>
        </w:rPr>
        <w:t>（</w:t>
      </w:r>
      <w:r>
        <w:rPr>
          <w:szCs w:val="32"/>
        </w:rPr>
        <w:t>1</w:t>
      </w:r>
      <w:r>
        <w:rPr>
          <w:szCs w:val="32"/>
        </w:rPr>
        <w:t>）规范项目设置。项目要集中反映部门职责职能，应有明确的名称、实施内容、支出范围等要素，合理控制项目数量，杜绝项目金额小、内容散、数量多的现象。</w:t>
      </w:r>
    </w:p>
    <w:p w:rsidR="005E02A9" w:rsidRDefault="00B84726">
      <w:pPr>
        <w:spacing w:line="586" w:lineRule="exact"/>
        <w:ind w:firstLineChars="200" w:firstLine="640"/>
        <w:rPr>
          <w:szCs w:val="32"/>
        </w:rPr>
      </w:pPr>
      <w:r>
        <w:rPr>
          <w:szCs w:val="32"/>
        </w:rPr>
        <w:t>（</w:t>
      </w:r>
      <w:r>
        <w:rPr>
          <w:szCs w:val="32"/>
        </w:rPr>
        <w:t>2</w:t>
      </w:r>
      <w:r>
        <w:rPr>
          <w:szCs w:val="32"/>
        </w:rPr>
        <w:t>）全面开展存量项目清理。申报下一年度预算前，县直各部门和乡（镇）应对原有项目进行清理评估。对工作目标已完成的，应及时取消；对实际情况发生变化的，应调整优化；对性质</w:t>
      </w:r>
      <w:r>
        <w:rPr>
          <w:szCs w:val="32"/>
        </w:rPr>
        <w:lastRenderedPageBreak/>
        <w:t>相近的，应整合归并；对继续保留的，需说明以前年度预算项目执行情况和绩效评价情况。</w:t>
      </w:r>
    </w:p>
    <w:p w:rsidR="005E02A9" w:rsidRDefault="00B84726">
      <w:pPr>
        <w:spacing w:line="586" w:lineRule="exact"/>
        <w:ind w:firstLineChars="200" w:firstLine="640"/>
        <w:rPr>
          <w:szCs w:val="32"/>
        </w:rPr>
      </w:pPr>
      <w:r>
        <w:rPr>
          <w:szCs w:val="32"/>
        </w:rPr>
        <w:t>（</w:t>
      </w:r>
      <w:r>
        <w:rPr>
          <w:szCs w:val="32"/>
        </w:rPr>
        <w:t>3</w:t>
      </w:r>
      <w:r>
        <w:rPr>
          <w:szCs w:val="32"/>
        </w:rPr>
        <w:t>）研究提出明确的项目预算安排依据和测算过程。对中央、自治区</w:t>
      </w:r>
      <w:r>
        <w:rPr>
          <w:szCs w:val="32"/>
        </w:rPr>
        <w:t>、</w:t>
      </w:r>
      <w:r>
        <w:rPr>
          <w:szCs w:val="32"/>
        </w:rPr>
        <w:t>桂林市和县</w:t>
      </w:r>
      <w:r>
        <w:rPr>
          <w:szCs w:val="32"/>
        </w:rPr>
        <w:t>委、</w:t>
      </w:r>
      <w:r>
        <w:rPr>
          <w:szCs w:val="32"/>
        </w:rPr>
        <w:t>县</w:t>
      </w:r>
      <w:r>
        <w:rPr>
          <w:szCs w:val="32"/>
        </w:rPr>
        <w:t>人民政府确定的项目，应提供项目安排的政策文件依据。部门专项工作经费项目，应提供工作职能、规划或其他政策文件等依据。对重点项目资金，应提供安排依据、测算标准和测算过程，属于投资评审范围的</w:t>
      </w:r>
      <w:r>
        <w:rPr>
          <w:szCs w:val="32"/>
        </w:rPr>
        <w:t>项目申报预算额度不得超过财政投资评审审定金额。</w:t>
      </w:r>
    </w:p>
    <w:p w:rsidR="005E02A9" w:rsidRDefault="00B84726">
      <w:pPr>
        <w:spacing w:line="586" w:lineRule="exact"/>
        <w:ind w:firstLineChars="200" w:firstLine="640"/>
        <w:rPr>
          <w:szCs w:val="32"/>
        </w:rPr>
      </w:pPr>
      <w:r>
        <w:rPr>
          <w:szCs w:val="32"/>
        </w:rPr>
        <w:t>（</w:t>
      </w:r>
      <w:r>
        <w:rPr>
          <w:szCs w:val="32"/>
        </w:rPr>
        <w:t>4</w:t>
      </w:r>
      <w:r>
        <w:rPr>
          <w:szCs w:val="32"/>
        </w:rPr>
        <w:t>）申报项目前需进行评估论证。对纳入预算项目库的项目，应严格审核论证，审核内容包括计划任务、实施方案、实施年限、分年度计划是否合理，预期效益、绩效目标是否明确清晰，投资及资金筹措方案是否科学合理等。未按要求提交绩效目标，或绩效目标设定与实际脱节的，不安排</w:t>
      </w:r>
      <w:r>
        <w:rPr>
          <w:szCs w:val="32"/>
        </w:rPr>
        <w:t>年度预算。出台重大政策、新增投资</w:t>
      </w:r>
      <w:r>
        <w:rPr>
          <w:szCs w:val="32"/>
        </w:rPr>
        <w:t>5</w:t>
      </w:r>
      <w:r>
        <w:rPr>
          <w:szCs w:val="32"/>
        </w:rPr>
        <w:t>00</w:t>
      </w:r>
      <w:r>
        <w:rPr>
          <w:szCs w:val="32"/>
        </w:rPr>
        <w:t>万元以上重大项</w:t>
      </w:r>
      <w:r>
        <w:rPr>
          <w:szCs w:val="32"/>
        </w:rPr>
        <w:t>目，要组织开展事前绩效评估，评估结果作为申请入库和安排预算的必要条件。未按要求提交绩效目标，或绩效目标设定与实际脱节的，不安排年度预算。</w:t>
      </w:r>
    </w:p>
    <w:p w:rsidR="005E02A9" w:rsidRDefault="00B84726">
      <w:pPr>
        <w:spacing w:line="586" w:lineRule="exact"/>
        <w:ind w:firstLineChars="200" w:firstLine="640"/>
        <w:rPr>
          <w:szCs w:val="32"/>
        </w:rPr>
      </w:pPr>
      <w:r>
        <w:rPr>
          <w:szCs w:val="32"/>
        </w:rPr>
        <w:t>（</w:t>
      </w:r>
      <w:r>
        <w:rPr>
          <w:szCs w:val="32"/>
        </w:rPr>
        <w:t>5</w:t>
      </w:r>
      <w:r>
        <w:rPr>
          <w:szCs w:val="32"/>
        </w:rPr>
        <w:t>）实行项目支出</w:t>
      </w:r>
      <w:r>
        <w:rPr>
          <w:szCs w:val="32"/>
        </w:rPr>
        <w:t>预算评审制度。对纳入预算项目库的项目，在预算编制阶段，由</w:t>
      </w:r>
      <w:r>
        <w:rPr>
          <w:szCs w:val="32"/>
        </w:rPr>
        <w:t>县</w:t>
      </w:r>
      <w:r>
        <w:rPr>
          <w:szCs w:val="32"/>
        </w:rPr>
        <w:t>财政局对拟纳入预算安排且属于财政投资评审范围的项目开展评审，评审结果作为预算编制和安排的重要依据。对属于财政投资评审范围但未经评审或未通过评审的项目，不安排年度预算。</w:t>
      </w:r>
    </w:p>
    <w:p w:rsidR="005E02A9" w:rsidRDefault="00B84726">
      <w:pPr>
        <w:spacing w:line="586" w:lineRule="exact"/>
        <w:ind w:firstLineChars="200" w:firstLine="640"/>
        <w:rPr>
          <w:szCs w:val="32"/>
        </w:rPr>
      </w:pPr>
      <w:r>
        <w:rPr>
          <w:szCs w:val="32"/>
        </w:rPr>
        <w:t>（</w:t>
      </w:r>
      <w:r>
        <w:rPr>
          <w:szCs w:val="32"/>
        </w:rPr>
        <w:t>6</w:t>
      </w:r>
      <w:r>
        <w:rPr>
          <w:szCs w:val="32"/>
        </w:rPr>
        <w:t>）应有明确的项目实施周期。项目实施周期原则上不超过</w:t>
      </w:r>
      <w:r>
        <w:rPr>
          <w:szCs w:val="32"/>
        </w:rPr>
        <w:lastRenderedPageBreak/>
        <w:t>5</w:t>
      </w:r>
      <w:r>
        <w:rPr>
          <w:szCs w:val="32"/>
        </w:rPr>
        <w:t>年，实施周期超过</w:t>
      </w:r>
      <w:r>
        <w:rPr>
          <w:szCs w:val="32"/>
        </w:rPr>
        <w:t>1</w:t>
      </w:r>
      <w:r>
        <w:rPr>
          <w:szCs w:val="32"/>
        </w:rPr>
        <w:t>年的需提供相关说明，到期后需继续安排资金的，应按程序重新申报。分年度实施项目应分年度申报预算，除中央和自治区有规定外，对分年度实施项目当年未支出的资金，原则上一律按照结余资金收回总预算，所需资金在下一年度预算编列</w:t>
      </w:r>
      <w:r>
        <w:rPr>
          <w:szCs w:val="32"/>
        </w:rPr>
        <w:t>；项目结束后，原有预算全部清零。</w:t>
      </w:r>
    </w:p>
    <w:p w:rsidR="005E02A9" w:rsidRDefault="00B84726">
      <w:pPr>
        <w:spacing w:line="586" w:lineRule="exact"/>
        <w:ind w:firstLineChars="200" w:firstLine="640"/>
        <w:rPr>
          <w:szCs w:val="32"/>
        </w:rPr>
      </w:pPr>
      <w:r>
        <w:rPr>
          <w:szCs w:val="32"/>
        </w:rPr>
        <w:t>（</w:t>
      </w:r>
      <w:r>
        <w:rPr>
          <w:szCs w:val="32"/>
        </w:rPr>
        <w:t>7</w:t>
      </w:r>
      <w:r>
        <w:rPr>
          <w:szCs w:val="32"/>
        </w:rPr>
        <w:t>）要细化编制项目支出。县直各部门和乡（镇）要提高项目资金细化率，对实行不同分配办法的项目资金，要分类采取有针对性的措施提高预算细化率。对部分按原有办法难以提前细化的，要及时研究修订资金管理办法，创新预算安排和资金分配方式。其中，按项目法管理的，年初细化到具体项目的比例原则上不低于</w:t>
      </w:r>
      <w:r>
        <w:rPr>
          <w:szCs w:val="32"/>
        </w:rPr>
        <w:t>60%</w:t>
      </w:r>
      <w:r>
        <w:rPr>
          <w:szCs w:val="32"/>
        </w:rPr>
        <w:t>。按因素法管理的，年初细化到相关县直各部门和乡（镇）的比例原则上不低于</w:t>
      </w:r>
      <w:r>
        <w:rPr>
          <w:szCs w:val="32"/>
        </w:rPr>
        <w:t>80%</w:t>
      </w:r>
      <w:r>
        <w:rPr>
          <w:szCs w:val="32"/>
        </w:rPr>
        <w:t>。因对应年度的基础数据尚未统计发布而无法获取、影响资金分配细化的，可使用已发布的最近年度数据分配资金，确有必要时</w:t>
      </w:r>
      <w:r>
        <w:rPr>
          <w:szCs w:val="32"/>
        </w:rPr>
        <w:t>可在以后年度办理资金清算。对于据实结算的资金，可结合近年资金下达情况细化下一年度预算，或延后一年办理结算时再安排并细化预算；对于各类需要考核、评审和验收后才能细化安排的项目资金，原则上在考核、评审或验收结果确定后延后一年安排并细化预算；对于配套中央、自治区项目的资金，如未明确要求地方在收到上级资金的当年落实资金投入责任，原则上延后一年安排并细化预算。除应急救灾、预备费和突发事件处置等特殊项目资金外，对未达到细化比例的项目资金，</w:t>
      </w:r>
      <w:r>
        <w:rPr>
          <w:szCs w:val="32"/>
        </w:rPr>
        <w:t>县</w:t>
      </w:r>
      <w:r>
        <w:rPr>
          <w:szCs w:val="32"/>
        </w:rPr>
        <w:t>财政局代为细化编制或统筹用于平衡预算。</w:t>
      </w:r>
    </w:p>
    <w:p w:rsidR="005E02A9" w:rsidRDefault="00B84726">
      <w:pPr>
        <w:spacing w:line="586" w:lineRule="exact"/>
        <w:ind w:firstLineChars="200" w:firstLine="640"/>
        <w:rPr>
          <w:szCs w:val="32"/>
        </w:rPr>
      </w:pPr>
      <w:r>
        <w:rPr>
          <w:szCs w:val="32"/>
        </w:rPr>
        <w:lastRenderedPageBreak/>
        <w:t>（</w:t>
      </w:r>
      <w:r>
        <w:rPr>
          <w:szCs w:val="32"/>
        </w:rPr>
        <w:t>8</w:t>
      </w:r>
      <w:r>
        <w:rPr>
          <w:szCs w:val="32"/>
        </w:rPr>
        <w:t>）严格按要求做好项目优先排序。根据重</w:t>
      </w:r>
      <w:r>
        <w:rPr>
          <w:szCs w:val="32"/>
        </w:rPr>
        <w:t>要程度，项目分为重要、比较重要、一般等三类。重要项目包括：</w:t>
      </w:r>
      <w:r>
        <w:rPr>
          <w:szCs w:val="32"/>
        </w:rPr>
        <w:t>县</w:t>
      </w:r>
      <w:r>
        <w:rPr>
          <w:szCs w:val="32"/>
        </w:rPr>
        <w:t>委、</w:t>
      </w:r>
      <w:r>
        <w:rPr>
          <w:szCs w:val="32"/>
        </w:rPr>
        <w:t>县</w:t>
      </w:r>
      <w:r>
        <w:rPr>
          <w:szCs w:val="32"/>
        </w:rPr>
        <w:t>人民政府确定的重大项目和重点工作；中央、自治区</w:t>
      </w:r>
      <w:r>
        <w:rPr>
          <w:szCs w:val="32"/>
        </w:rPr>
        <w:t>、</w:t>
      </w:r>
      <w:r>
        <w:rPr>
          <w:szCs w:val="32"/>
        </w:rPr>
        <w:t>桂林市和我县</w:t>
      </w:r>
      <w:r>
        <w:rPr>
          <w:szCs w:val="32"/>
        </w:rPr>
        <w:t>统一规定保障范围、支出标准的基本民生支出；政府债务还本付息资金；中央、自治区</w:t>
      </w:r>
      <w:r>
        <w:rPr>
          <w:szCs w:val="32"/>
        </w:rPr>
        <w:t>、</w:t>
      </w:r>
      <w:r>
        <w:rPr>
          <w:szCs w:val="32"/>
        </w:rPr>
        <w:t>桂林市</w:t>
      </w:r>
      <w:r>
        <w:rPr>
          <w:szCs w:val="32"/>
        </w:rPr>
        <w:t>和</w:t>
      </w:r>
      <w:r>
        <w:rPr>
          <w:szCs w:val="32"/>
        </w:rPr>
        <w:t>县</w:t>
      </w:r>
      <w:r>
        <w:rPr>
          <w:szCs w:val="32"/>
        </w:rPr>
        <w:t>委、</w:t>
      </w:r>
      <w:r>
        <w:rPr>
          <w:szCs w:val="32"/>
        </w:rPr>
        <w:t>县</w:t>
      </w:r>
      <w:r>
        <w:rPr>
          <w:szCs w:val="32"/>
        </w:rPr>
        <w:t>人民政府有关文件明确规定</w:t>
      </w:r>
      <w:r>
        <w:rPr>
          <w:szCs w:val="32"/>
        </w:rPr>
        <w:t>县</w:t>
      </w:r>
      <w:r>
        <w:rPr>
          <w:szCs w:val="32"/>
        </w:rPr>
        <w:t>级预算安排的支出，以及有关政策已明确必须由政府承担的据实结算支出。比较重要项目包括：部门统筹谋划，并已按程序报经</w:t>
      </w:r>
      <w:r>
        <w:rPr>
          <w:szCs w:val="32"/>
        </w:rPr>
        <w:t>县</w:t>
      </w:r>
      <w:r>
        <w:rPr>
          <w:szCs w:val="32"/>
        </w:rPr>
        <w:t>委、</w:t>
      </w:r>
      <w:r>
        <w:rPr>
          <w:szCs w:val="32"/>
        </w:rPr>
        <w:t>县</w:t>
      </w:r>
      <w:r>
        <w:rPr>
          <w:szCs w:val="32"/>
        </w:rPr>
        <w:t>人民政府同意的项目；部门为履职运转而发生的大型设施设备购置费、大型修缮费、大型专用网络运行维护费等。一般项目包括：与本部门职责相匹配，符合部门工作计划规划、事业发展需要和属于财政资金供给范围的项目。县直各部门和乡（镇）要严格按照项目重要程度编制项目预算。</w:t>
      </w:r>
    </w:p>
    <w:p w:rsidR="005E02A9" w:rsidRDefault="00B84726">
      <w:pPr>
        <w:spacing w:line="586" w:lineRule="exact"/>
        <w:ind w:firstLineChars="200" w:firstLine="640"/>
        <w:rPr>
          <w:szCs w:val="32"/>
        </w:rPr>
      </w:pPr>
      <w:r>
        <w:rPr>
          <w:szCs w:val="32"/>
        </w:rPr>
        <w:t>（</w:t>
      </w:r>
      <w:r>
        <w:rPr>
          <w:szCs w:val="32"/>
        </w:rPr>
        <w:t>9</w:t>
      </w:r>
      <w:r>
        <w:rPr>
          <w:szCs w:val="32"/>
        </w:rPr>
        <w:t>）落实财政事权与支出责任划分改革要求。对纳入预算项目库的项目，应明确项目支出方向。应由市场或社会承担的事务交由市场主体或社会力量承担，政府不过多干预。逐步清理退坡竞争性领域的各类补贴政策和项目支出。</w:t>
      </w:r>
    </w:p>
    <w:p w:rsidR="005E02A9" w:rsidRDefault="00B84726">
      <w:pPr>
        <w:spacing w:line="586" w:lineRule="exact"/>
        <w:ind w:firstLineChars="200" w:firstLine="640"/>
        <w:rPr>
          <w:szCs w:val="32"/>
        </w:rPr>
      </w:pPr>
      <w:r>
        <w:rPr>
          <w:szCs w:val="32"/>
        </w:rPr>
        <w:t>2.</w:t>
      </w:r>
      <w:r>
        <w:rPr>
          <w:szCs w:val="32"/>
        </w:rPr>
        <w:t>初步审核。</w:t>
      </w:r>
      <w:r>
        <w:rPr>
          <w:szCs w:val="32"/>
        </w:rPr>
        <w:t>县</w:t>
      </w:r>
      <w:r>
        <w:rPr>
          <w:szCs w:val="32"/>
        </w:rPr>
        <w:t>财政局根据前述要求进行初审，项目支出</w:t>
      </w:r>
      <w:r>
        <w:rPr>
          <w:szCs w:val="32"/>
        </w:rPr>
        <w:t>细化情况作为审核重点内容，强化审核结果应用。对审核中发现的未按要求进行细化或细化分配结果不符合规定的，各部门要配合</w:t>
      </w:r>
      <w:r>
        <w:rPr>
          <w:szCs w:val="32"/>
        </w:rPr>
        <w:t>县</w:t>
      </w:r>
      <w:r>
        <w:rPr>
          <w:szCs w:val="32"/>
        </w:rPr>
        <w:t>财政局采取限期调整、收回预算数、延后到以后年度安排等措施进行整改。其中：对于超出政策规定的经费开支标准或本级财政支出责任范围、非刚性、非必要等支出，收回部门预算数；对</w:t>
      </w:r>
      <w:r>
        <w:rPr>
          <w:szCs w:val="32"/>
        </w:rPr>
        <w:lastRenderedPageBreak/>
        <w:t>于应当细化但未按规定细化的支出，待相关部门细化并延后一年安排预算；对于细化后的项目支出存在不符合</w:t>
      </w:r>
      <w:r>
        <w:rPr>
          <w:szCs w:val="32"/>
        </w:rPr>
        <w:t>县</w:t>
      </w:r>
      <w:r>
        <w:rPr>
          <w:szCs w:val="32"/>
        </w:rPr>
        <w:t>本级确定的重点方向、预期绩效不高等问题的，要求限期整改，重新上报预算，限期整改不到位的，收回预算数或延后到以后年度安排。</w:t>
      </w:r>
    </w:p>
    <w:p w:rsidR="005E02A9" w:rsidRDefault="00B84726">
      <w:pPr>
        <w:spacing w:line="586" w:lineRule="exact"/>
        <w:ind w:firstLineChars="200" w:firstLine="640"/>
        <w:rPr>
          <w:szCs w:val="32"/>
        </w:rPr>
      </w:pPr>
      <w:r>
        <w:rPr>
          <w:szCs w:val="32"/>
        </w:rPr>
        <w:t>3.</w:t>
      </w:r>
      <w:r>
        <w:rPr>
          <w:szCs w:val="32"/>
        </w:rPr>
        <w:t>县</w:t>
      </w:r>
      <w:r>
        <w:rPr>
          <w:szCs w:val="32"/>
        </w:rPr>
        <w:t>财政</w:t>
      </w:r>
      <w:r>
        <w:rPr>
          <w:szCs w:val="32"/>
        </w:rPr>
        <w:t>统筹安排。</w:t>
      </w:r>
      <w:r>
        <w:rPr>
          <w:szCs w:val="32"/>
        </w:rPr>
        <w:t>县</w:t>
      </w:r>
      <w:r>
        <w:rPr>
          <w:szCs w:val="32"/>
        </w:rPr>
        <w:t>财政局结合当年可用财力，优先保障基本支出、基本民生支出和政府债务还本付息资金等</w:t>
      </w:r>
      <w:r>
        <w:rPr>
          <w:szCs w:val="32"/>
        </w:rPr>
        <w:t>“</w:t>
      </w:r>
      <w:r>
        <w:rPr>
          <w:szCs w:val="32"/>
        </w:rPr>
        <w:t>三保</w:t>
      </w:r>
      <w:r>
        <w:rPr>
          <w:szCs w:val="32"/>
        </w:rPr>
        <w:t>”</w:t>
      </w:r>
      <w:r>
        <w:rPr>
          <w:szCs w:val="32"/>
        </w:rPr>
        <w:t>及其他</w:t>
      </w:r>
      <w:r>
        <w:rPr>
          <w:szCs w:val="32"/>
        </w:rPr>
        <w:t>刚性支出后，综合平衡确定其他项目资金支出总额。对部门申报项目按重要、比较重要、一般的顺序依次安排预算，超出财力许可的不再安排，形成县直各部门和乡（镇）</w:t>
      </w:r>
      <w:r>
        <w:rPr>
          <w:szCs w:val="32"/>
        </w:rPr>
        <w:t>“</w:t>
      </w:r>
      <w:r>
        <w:rPr>
          <w:szCs w:val="32"/>
        </w:rPr>
        <w:t>一下</w:t>
      </w:r>
      <w:r>
        <w:rPr>
          <w:szCs w:val="32"/>
        </w:rPr>
        <w:t>”</w:t>
      </w:r>
      <w:r>
        <w:rPr>
          <w:szCs w:val="32"/>
        </w:rPr>
        <w:t>预算控制数。</w:t>
      </w:r>
    </w:p>
    <w:p w:rsidR="005E02A9" w:rsidRDefault="00B84726">
      <w:pPr>
        <w:spacing w:line="586" w:lineRule="exact"/>
        <w:ind w:firstLineChars="200" w:firstLine="640"/>
        <w:rPr>
          <w:szCs w:val="32"/>
        </w:rPr>
      </w:pPr>
      <w:r>
        <w:rPr>
          <w:szCs w:val="32"/>
        </w:rPr>
        <w:t>4.</w:t>
      </w:r>
      <w:r>
        <w:rPr>
          <w:szCs w:val="32"/>
        </w:rPr>
        <w:t>部门细化申报</w:t>
      </w:r>
      <w:r>
        <w:rPr>
          <w:szCs w:val="32"/>
        </w:rPr>
        <w:t>“</w:t>
      </w:r>
      <w:r>
        <w:rPr>
          <w:szCs w:val="32"/>
        </w:rPr>
        <w:t>二上</w:t>
      </w:r>
      <w:r>
        <w:rPr>
          <w:szCs w:val="32"/>
        </w:rPr>
        <w:t>”</w:t>
      </w:r>
      <w:r>
        <w:rPr>
          <w:szCs w:val="32"/>
        </w:rPr>
        <w:t>项目。县直各部门和乡（镇）在核定的</w:t>
      </w:r>
      <w:r>
        <w:rPr>
          <w:szCs w:val="32"/>
        </w:rPr>
        <w:t>“</w:t>
      </w:r>
      <w:r>
        <w:rPr>
          <w:szCs w:val="32"/>
        </w:rPr>
        <w:t>一下</w:t>
      </w:r>
      <w:r>
        <w:rPr>
          <w:szCs w:val="32"/>
        </w:rPr>
        <w:t>”</w:t>
      </w:r>
      <w:r>
        <w:rPr>
          <w:szCs w:val="32"/>
        </w:rPr>
        <w:t>预算控制数内，编制具体的部门预算草案，完成部门预算</w:t>
      </w:r>
      <w:r>
        <w:rPr>
          <w:szCs w:val="32"/>
        </w:rPr>
        <w:t>“</w:t>
      </w:r>
      <w:r>
        <w:rPr>
          <w:szCs w:val="32"/>
        </w:rPr>
        <w:t>二上</w:t>
      </w:r>
      <w:r>
        <w:rPr>
          <w:szCs w:val="32"/>
        </w:rPr>
        <w:t>”</w:t>
      </w:r>
      <w:r>
        <w:rPr>
          <w:szCs w:val="32"/>
        </w:rPr>
        <w:t>工作，</w:t>
      </w:r>
      <w:r>
        <w:rPr>
          <w:szCs w:val="32"/>
        </w:rPr>
        <w:t>县</w:t>
      </w:r>
      <w:r>
        <w:rPr>
          <w:szCs w:val="32"/>
        </w:rPr>
        <w:t>财政局在规定时间内按程序审核。</w:t>
      </w:r>
    </w:p>
    <w:p w:rsidR="005E02A9" w:rsidRDefault="00B84726">
      <w:pPr>
        <w:spacing w:line="586" w:lineRule="exact"/>
        <w:ind w:firstLineChars="200" w:firstLine="640"/>
        <w:rPr>
          <w:szCs w:val="32"/>
        </w:rPr>
      </w:pPr>
      <w:r>
        <w:rPr>
          <w:szCs w:val="32"/>
        </w:rPr>
        <w:t>5.</w:t>
      </w:r>
      <w:r>
        <w:rPr>
          <w:szCs w:val="32"/>
        </w:rPr>
        <w:t>专家组审核。在</w:t>
      </w:r>
      <w:r>
        <w:rPr>
          <w:szCs w:val="32"/>
        </w:rPr>
        <w:t>县</w:t>
      </w:r>
      <w:r>
        <w:rPr>
          <w:szCs w:val="32"/>
        </w:rPr>
        <w:t>财政局审核基础上，可结合当年实际情况，组建由</w:t>
      </w:r>
      <w:r>
        <w:rPr>
          <w:szCs w:val="32"/>
        </w:rPr>
        <w:t>县</w:t>
      </w:r>
      <w:r>
        <w:rPr>
          <w:szCs w:val="32"/>
        </w:rPr>
        <w:t>人大财</w:t>
      </w:r>
      <w:r>
        <w:rPr>
          <w:szCs w:val="32"/>
        </w:rPr>
        <w:t>经委、</w:t>
      </w:r>
      <w:r>
        <w:rPr>
          <w:szCs w:val="32"/>
        </w:rPr>
        <w:t>县</w:t>
      </w:r>
      <w:r>
        <w:rPr>
          <w:szCs w:val="32"/>
        </w:rPr>
        <w:t>审计局、</w:t>
      </w:r>
      <w:r>
        <w:rPr>
          <w:szCs w:val="32"/>
        </w:rPr>
        <w:t>县</w:t>
      </w:r>
      <w:r>
        <w:rPr>
          <w:szCs w:val="32"/>
        </w:rPr>
        <w:t>财政局等具有预算监督职能的部门及</w:t>
      </w:r>
      <w:r>
        <w:rPr>
          <w:szCs w:val="32"/>
        </w:rPr>
        <w:t>县</w:t>
      </w:r>
      <w:r>
        <w:rPr>
          <w:szCs w:val="32"/>
        </w:rPr>
        <w:t>人大预算审核专家等组成的预算审核组，对部门</w:t>
      </w:r>
      <w:r>
        <w:rPr>
          <w:spacing w:val="-11"/>
          <w:szCs w:val="32"/>
        </w:rPr>
        <w:t>申报的项目支出预算进行审核，审核结果作为安排预算的重要依据。</w:t>
      </w:r>
    </w:p>
    <w:p w:rsidR="005E02A9" w:rsidRDefault="00B84726">
      <w:pPr>
        <w:spacing w:line="586" w:lineRule="exact"/>
        <w:ind w:firstLineChars="200" w:firstLine="640"/>
        <w:rPr>
          <w:rFonts w:eastAsia="黑体"/>
          <w:szCs w:val="32"/>
        </w:rPr>
      </w:pPr>
      <w:r>
        <w:rPr>
          <w:rFonts w:eastAsia="黑体"/>
          <w:szCs w:val="32"/>
        </w:rPr>
        <w:t>五、保障措施</w:t>
      </w:r>
    </w:p>
    <w:p w:rsidR="005E02A9" w:rsidRDefault="00B84726">
      <w:pPr>
        <w:spacing w:line="586" w:lineRule="exact"/>
        <w:ind w:firstLineChars="150" w:firstLine="480"/>
        <w:rPr>
          <w:szCs w:val="32"/>
        </w:rPr>
      </w:pPr>
      <w:r>
        <w:rPr>
          <w:rFonts w:eastAsia="楷体_GB2312"/>
          <w:szCs w:val="32"/>
        </w:rPr>
        <w:t>（一）强化责任意识。</w:t>
      </w:r>
      <w:r>
        <w:rPr>
          <w:szCs w:val="32"/>
        </w:rPr>
        <w:t>县</w:t>
      </w:r>
      <w:r>
        <w:rPr>
          <w:szCs w:val="32"/>
        </w:rPr>
        <w:t>直各部门是</w:t>
      </w:r>
      <w:r>
        <w:rPr>
          <w:szCs w:val="32"/>
        </w:rPr>
        <w:t>县</w:t>
      </w:r>
      <w:r>
        <w:rPr>
          <w:szCs w:val="32"/>
        </w:rPr>
        <w:t>本级零基预算改革的主体，要切实提高政治站位，强化责任意识，充分认识零基预算管理工作的重要性，按照部署要求，统一思想认识，科学统筹谋划，制定本部门工作方案，落实落细各项工作。</w:t>
      </w:r>
    </w:p>
    <w:p w:rsidR="005E02A9" w:rsidRDefault="00B84726">
      <w:pPr>
        <w:spacing w:line="586" w:lineRule="exact"/>
        <w:ind w:firstLineChars="150" w:firstLine="480"/>
        <w:rPr>
          <w:szCs w:val="32"/>
        </w:rPr>
      </w:pPr>
      <w:r>
        <w:rPr>
          <w:rFonts w:eastAsia="楷体_GB2312"/>
          <w:szCs w:val="32"/>
        </w:rPr>
        <w:t>（二）强化督促检查。</w:t>
      </w:r>
      <w:r>
        <w:rPr>
          <w:szCs w:val="32"/>
        </w:rPr>
        <w:t>县</w:t>
      </w:r>
      <w:r>
        <w:rPr>
          <w:szCs w:val="32"/>
        </w:rPr>
        <w:t>财政局要进一步强化对县直各部门和</w:t>
      </w:r>
      <w:r>
        <w:rPr>
          <w:szCs w:val="32"/>
        </w:rPr>
        <w:lastRenderedPageBreak/>
        <w:t>乡（镇）预算管理工作的指导，对县直各部门和乡（镇）零基预算实施情况进行督促检查。</w:t>
      </w:r>
      <w:r>
        <w:rPr>
          <w:szCs w:val="32"/>
        </w:rPr>
        <w:t>县</w:t>
      </w:r>
      <w:r>
        <w:rPr>
          <w:szCs w:val="32"/>
        </w:rPr>
        <w:t>审计局要结合审计计划，对各部门预算安排、预算执行等情况开展审计。</w:t>
      </w:r>
    </w:p>
    <w:p w:rsidR="005E02A9" w:rsidRDefault="00B84726">
      <w:pPr>
        <w:spacing w:line="586" w:lineRule="exact"/>
        <w:ind w:firstLineChars="150" w:firstLine="480"/>
        <w:rPr>
          <w:szCs w:val="32"/>
        </w:rPr>
      </w:pPr>
      <w:r>
        <w:rPr>
          <w:rFonts w:eastAsia="楷体_GB2312"/>
          <w:szCs w:val="32"/>
        </w:rPr>
        <w:t>（三）深入推进改革。</w:t>
      </w:r>
      <w:r>
        <w:rPr>
          <w:szCs w:val="32"/>
        </w:rPr>
        <w:t>从编制</w:t>
      </w:r>
      <w:r>
        <w:rPr>
          <w:szCs w:val="32"/>
        </w:rPr>
        <w:t>202</w:t>
      </w:r>
      <w:r>
        <w:rPr>
          <w:szCs w:val="32"/>
        </w:rPr>
        <w:t>4</w:t>
      </w:r>
      <w:r>
        <w:rPr>
          <w:szCs w:val="32"/>
        </w:rPr>
        <w:t>年部门预算开始，</w:t>
      </w:r>
      <w:r>
        <w:rPr>
          <w:szCs w:val="32"/>
        </w:rPr>
        <w:t>县</w:t>
      </w:r>
      <w:r>
        <w:rPr>
          <w:szCs w:val="32"/>
        </w:rPr>
        <w:t>直各部门按照零基预算改革要求编制部门预算，实现部门零基预算编制全覆盖。</w:t>
      </w:r>
    </w:p>
    <w:p w:rsidR="005E02A9" w:rsidRDefault="00B84726">
      <w:pPr>
        <w:spacing w:line="586" w:lineRule="exact"/>
        <w:ind w:firstLineChars="150" w:firstLine="480"/>
        <w:rPr>
          <w:szCs w:val="32"/>
        </w:rPr>
      </w:pPr>
      <w:r>
        <w:rPr>
          <w:rFonts w:eastAsia="楷体_GB2312"/>
          <w:szCs w:val="32"/>
        </w:rPr>
        <w:t>（四）建立激</w:t>
      </w:r>
      <w:r>
        <w:rPr>
          <w:rFonts w:eastAsia="楷体_GB2312"/>
          <w:szCs w:val="32"/>
        </w:rPr>
        <w:t>励约束机制。</w:t>
      </w:r>
      <w:r>
        <w:rPr>
          <w:szCs w:val="32"/>
        </w:rPr>
        <w:t>建立健全零基预算编制考核指标体系，对预算编制质量、预算执行和项目绩效等进行考核。推进绩效评定结果应用，对绩效评定结果为</w:t>
      </w:r>
      <w:r>
        <w:rPr>
          <w:szCs w:val="32"/>
        </w:rPr>
        <w:t>“</w:t>
      </w:r>
      <w:r>
        <w:rPr>
          <w:szCs w:val="32"/>
        </w:rPr>
        <w:t>优秀</w:t>
      </w:r>
      <w:r>
        <w:rPr>
          <w:szCs w:val="32"/>
        </w:rPr>
        <w:t>”</w:t>
      </w:r>
      <w:r>
        <w:rPr>
          <w:szCs w:val="32"/>
        </w:rPr>
        <w:t>的单位，根据情况予以激励支持；对绩效评定结果为</w:t>
      </w:r>
      <w:r>
        <w:rPr>
          <w:szCs w:val="32"/>
        </w:rPr>
        <w:t>“</w:t>
      </w:r>
      <w:r>
        <w:rPr>
          <w:szCs w:val="32"/>
        </w:rPr>
        <w:t>合格</w:t>
      </w:r>
      <w:r>
        <w:rPr>
          <w:szCs w:val="32"/>
        </w:rPr>
        <w:t>”</w:t>
      </w:r>
      <w:r>
        <w:rPr>
          <w:szCs w:val="32"/>
        </w:rPr>
        <w:t>的单位，要完善政策、改进管理，根据情况核减预算，通过约谈、通报等方式督促其提高预算管理水平。</w:t>
      </w:r>
    </w:p>
    <w:p w:rsidR="005E02A9" w:rsidRDefault="005E02A9">
      <w:pPr>
        <w:spacing w:line="586" w:lineRule="exact"/>
        <w:ind w:firstLineChars="200" w:firstLine="640"/>
        <w:rPr>
          <w:szCs w:val="32"/>
        </w:rPr>
      </w:pPr>
    </w:p>
    <w:p w:rsidR="005E02A9" w:rsidRDefault="005E02A9">
      <w:pPr>
        <w:pStyle w:val="a3"/>
        <w:tabs>
          <w:tab w:val="left" w:pos="7560"/>
          <w:tab w:val="left" w:pos="7740"/>
          <w:tab w:val="left" w:pos="7920"/>
          <w:tab w:val="left" w:pos="8100"/>
          <w:tab w:val="left" w:pos="8280"/>
        </w:tabs>
        <w:spacing w:line="586" w:lineRule="exact"/>
        <w:rPr>
          <w:szCs w:val="32"/>
        </w:rPr>
      </w:pPr>
    </w:p>
    <w:p w:rsidR="005E02A9" w:rsidRDefault="005E02A9">
      <w:pPr>
        <w:pStyle w:val="a3"/>
        <w:tabs>
          <w:tab w:val="left" w:pos="7560"/>
          <w:tab w:val="left" w:pos="7740"/>
          <w:tab w:val="left" w:pos="7920"/>
          <w:tab w:val="left" w:pos="8100"/>
          <w:tab w:val="left" w:pos="8280"/>
        </w:tabs>
        <w:spacing w:line="586" w:lineRule="exact"/>
        <w:ind w:firstLineChars="1650" w:firstLine="5280"/>
        <w:rPr>
          <w:szCs w:val="32"/>
        </w:rPr>
      </w:pPr>
    </w:p>
    <w:p w:rsidR="005E02A9" w:rsidRDefault="005E02A9">
      <w:pPr>
        <w:pStyle w:val="a3"/>
        <w:tabs>
          <w:tab w:val="left" w:pos="7560"/>
          <w:tab w:val="left" w:pos="7740"/>
          <w:tab w:val="left" w:pos="7920"/>
          <w:tab w:val="left" w:pos="8100"/>
          <w:tab w:val="left" w:pos="8280"/>
        </w:tabs>
        <w:spacing w:line="586" w:lineRule="exact"/>
        <w:ind w:firstLineChars="1650" w:firstLine="5280"/>
        <w:rPr>
          <w:szCs w:val="32"/>
        </w:rPr>
      </w:pPr>
    </w:p>
    <w:p w:rsidR="005E02A9" w:rsidRDefault="005E02A9">
      <w:pPr>
        <w:pStyle w:val="a3"/>
        <w:tabs>
          <w:tab w:val="left" w:pos="7560"/>
          <w:tab w:val="left" w:pos="7740"/>
          <w:tab w:val="left" w:pos="7920"/>
          <w:tab w:val="left" w:pos="8100"/>
          <w:tab w:val="left" w:pos="8280"/>
        </w:tabs>
        <w:spacing w:line="586" w:lineRule="exact"/>
        <w:ind w:firstLineChars="1650" w:firstLine="528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1650" w:firstLine="528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0" w:firstLine="0"/>
        <w:rPr>
          <w:szCs w:val="32"/>
        </w:rPr>
      </w:pPr>
    </w:p>
    <w:p w:rsidR="005E02A9" w:rsidRDefault="005E02A9">
      <w:pPr>
        <w:pStyle w:val="a3"/>
        <w:tabs>
          <w:tab w:val="left" w:pos="7560"/>
          <w:tab w:val="left" w:pos="7740"/>
          <w:tab w:val="left" w:pos="7920"/>
          <w:tab w:val="left" w:pos="8100"/>
          <w:tab w:val="left" w:pos="8280"/>
        </w:tabs>
        <w:spacing w:line="586" w:lineRule="exact"/>
        <w:ind w:firstLineChars="1650" w:firstLine="5280"/>
        <w:rPr>
          <w:szCs w:val="32"/>
        </w:rPr>
      </w:pPr>
    </w:p>
    <w:p w:rsidR="005E02A9" w:rsidRDefault="00B84726">
      <w:pPr>
        <w:tabs>
          <w:tab w:val="left" w:pos="2355"/>
        </w:tabs>
        <w:spacing w:line="500" w:lineRule="exact"/>
        <w:ind w:firstLineChars="500" w:firstLine="1400"/>
        <w:rPr>
          <w:sz w:val="28"/>
          <w:szCs w:val="28"/>
        </w:rPr>
      </w:pPr>
      <w:r>
        <w:rPr>
          <w:sz w:val="28"/>
          <w:szCs w:val="28"/>
        </w:rPr>
        <w:tab/>
      </w:r>
    </w:p>
    <w:p w:rsidR="005E02A9" w:rsidRDefault="00B84726">
      <w:pPr>
        <w:pBdr>
          <w:top w:val="single" w:sz="4" w:space="0" w:color="auto"/>
        </w:pBdr>
        <w:spacing w:line="380" w:lineRule="exact"/>
        <w:ind w:firstLineChars="100" w:firstLine="280"/>
        <w:rPr>
          <w:sz w:val="28"/>
          <w:szCs w:val="28"/>
        </w:rPr>
      </w:pPr>
      <w:r>
        <w:rPr>
          <w:sz w:val="28"/>
          <w:szCs w:val="28"/>
        </w:rPr>
        <w:t>抄送：县委各部门，人民武装部，武警驻龙胜中队，各人民团体，</w:t>
      </w:r>
    </w:p>
    <w:p w:rsidR="005E02A9" w:rsidRDefault="00B84726">
      <w:pPr>
        <w:pBdr>
          <w:top w:val="single" w:sz="4" w:space="0" w:color="auto"/>
        </w:pBdr>
        <w:spacing w:line="380" w:lineRule="exact"/>
        <w:ind w:firstLineChars="400" w:firstLine="1120"/>
        <w:rPr>
          <w:sz w:val="28"/>
          <w:szCs w:val="28"/>
        </w:rPr>
      </w:pPr>
      <w:r>
        <w:rPr>
          <w:sz w:val="28"/>
          <w:szCs w:val="28"/>
        </w:rPr>
        <w:t>中央、自治区、市直驻龙胜各单位，县人大办，政协办，</w:t>
      </w:r>
    </w:p>
    <w:p w:rsidR="005E02A9" w:rsidRDefault="00B84726">
      <w:pPr>
        <w:pBdr>
          <w:top w:val="single" w:sz="4" w:space="0" w:color="auto"/>
        </w:pBdr>
        <w:spacing w:line="380" w:lineRule="exact"/>
        <w:ind w:firstLineChars="400" w:firstLine="1120"/>
        <w:rPr>
          <w:sz w:val="28"/>
          <w:szCs w:val="28"/>
        </w:rPr>
      </w:pPr>
      <w:r>
        <w:rPr>
          <w:sz w:val="28"/>
          <w:szCs w:val="28"/>
        </w:rPr>
        <w:t>法院，检察院，县工商联。</w:t>
      </w:r>
    </w:p>
    <w:p w:rsidR="005E02A9" w:rsidRDefault="00B84726">
      <w:pPr>
        <w:pBdr>
          <w:top w:val="single" w:sz="4" w:space="1" w:color="auto"/>
          <w:bottom w:val="single" w:sz="4" w:space="1" w:color="auto"/>
        </w:pBdr>
        <w:tabs>
          <w:tab w:val="left" w:pos="7797"/>
          <w:tab w:val="left" w:pos="8460"/>
        </w:tabs>
        <w:spacing w:line="380" w:lineRule="exact"/>
        <w:ind w:firstLineChars="100" w:firstLine="280"/>
        <w:rPr>
          <w:rFonts w:eastAsia="黑体"/>
          <w:szCs w:val="32"/>
        </w:rPr>
      </w:pPr>
      <w:r>
        <w:rPr>
          <w:sz w:val="28"/>
          <w:szCs w:val="28"/>
        </w:rPr>
        <w:t>龙胜各族自治县人民政府办公室</w:t>
      </w:r>
      <w:r>
        <w:rPr>
          <w:sz w:val="28"/>
          <w:szCs w:val="28"/>
        </w:rPr>
        <w:t xml:space="preserve">           </w:t>
      </w:r>
      <w:r>
        <w:rPr>
          <w:rFonts w:hint="eastAsia"/>
          <w:sz w:val="28"/>
          <w:szCs w:val="28"/>
        </w:rPr>
        <w:t xml:space="preserve"> </w:t>
      </w:r>
      <w:r>
        <w:rPr>
          <w:sz w:val="28"/>
          <w:szCs w:val="28"/>
        </w:rPr>
        <w:t>202</w:t>
      </w:r>
      <w:r>
        <w:rPr>
          <w:rFonts w:hint="eastAsia"/>
          <w:sz w:val="28"/>
          <w:szCs w:val="28"/>
        </w:rPr>
        <w:t>3</w:t>
      </w:r>
      <w:r>
        <w:rPr>
          <w:sz w:val="28"/>
          <w:szCs w:val="28"/>
        </w:rPr>
        <w:t>年</w:t>
      </w:r>
      <w:r>
        <w:rPr>
          <w:rFonts w:hint="eastAsia"/>
          <w:sz w:val="28"/>
          <w:szCs w:val="28"/>
        </w:rPr>
        <w:t>10</w:t>
      </w:r>
      <w:r>
        <w:rPr>
          <w:sz w:val="28"/>
          <w:szCs w:val="28"/>
        </w:rPr>
        <w:t>月</w:t>
      </w:r>
      <w:r>
        <w:rPr>
          <w:rFonts w:hint="eastAsia"/>
          <w:sz w:val="28"/>
          <w:szCs w:val="28"/>
        </w:rPr>
        <w:t>20</w:t>
      </w:r>
      <w:r>
        <w:rPr>
          <w:sz w:val="28"/>
          <w:szCs w:val="28"/>
        </w:rPr>
        <w:t>日印发</w:t>
      </w:r>
    </w:p>
    <w:sectPr w:rsidR="005E02A9">
      <w:headerReference w:type="default" r:id="rId7"/>
      <w:footerReference w:type="even" r:id="rId8"/>
      <w:footerReference w:type="default" r:id="rId9"/>
      <w:pgSz w:w="11906" w:h="16838"/>
      <w:pgMar w:top="2098" w:right="1304" w:bottom="1304" w:left="1588" w:header="851" w:footer="1361"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726" w:rsidRDefault="00B84726">
      <w:r>
        <w:separator/>
      </w:r>
    </w:p>
  </w:endnote>
  <w:endnote w:type="continuationSeparator" w:id="0">
    <w:p w:rsidR="00B84726" w:rsidRDefault="00B8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2A9" w:rsidRDefault="00B84726">
    <w:pPr>
      <w:tabs>
        <w:tab w:val="center" w:pos="4153"/>
        <w:tab w:val="right" w:pos="8306"/>
      </w:tabs>
      <w:snapToGrid w:val="0"/>
      <w:ind w:leftChars="100" w:left="320"/>
      <w:jc w:val="left"/>
      <w:rPr>
        <w:rFonts w:eastAsia="宋体"/>
        <w:sz w:val="28"/>
        <w:szCs w:val="28"/>
      </w:rPr>
    </w:pPr>
    <w:r>
      <w:rPr>
        <w:rFonts w:eastAsia="宋体"/>
        <w:sz w:val="28"/>
        <w:szCs w:val="28"/>
      </w:rPr>
      <w:t xml:space="preserve">— </w:t>
    </w:r>
    <w:r>
      <w:rPr>
        <w:rFonts w:eastAsia="宋体" w:hint="eastAsia"/>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eastAsia="宋体"/>
        <w:sz w:val="28"/>
        <w:szCs w:val="28"/>
      </w:rPr>
      <w:t xml:space="preserve"> </w:t>
    </w:r>
    <w:r>
      <w:rPr>
        <w:rFonts w:eastAsia="宋体" w:hint="eastAsia"/>
        <w:sz w:val="28"/>
        <w:szCs w:val="28"/>
      </w:rPr>
      <w:t xml:space="preserve"> </w:t>
    </w:r>
    <w:r>
      <w:rPr>
        <w:rFonts w:eastAsia="宋体"/>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2A9" w:rsidRDefault="00B84726">
    <w:pPr>
      <w:tabs>
        <w:tab w:val="center" w:pos="4153"/>
        <w:tab w:val="right" w:pos="8306"/>
      </w:tabs>
      <w:snapToGrid w:val="0"/>
      <w:ind w:rightChars="100" w:right="320"/>
      <w:jc w:val="right"/>
      <w:rPr>
        <w:rFonts w:eastAsia="宋体"/>
        <w:sz w:val="28"/>
        <w:szCs w:val="28"/>
      </w:rPr>
    </w:pPr>
    <w:r>
      <w:rPr>
        <w:rFonts w:eastAsia="宋体"/>
        <w:sz w:val="28"/>
        <w:szCs w:val="28"/>
      </w:rPr>
      <w:t xml:space="preserve">— </w:t>
    </w:r>
    <w:r>
      <w:rPr>
        <w:rFonts w:eastAsia="宋体" w:hint="eastAsia"/>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eastAsia="宋体" w:hint="eastAsia"/>
        <w:sz w:val="28"/>
        <w:szCs w:val="28"/>
      </w:rPr>
      <w:t xml:space="preserve"> </w:t>
    </w:r>
    <w:r>
      <w:rPr>
        <w:rFonts w:eastAsia="宋体"/>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726" w:rsidRDefault="00B84726">
      <w:r>
        <w:separator/>
      </w:r>
    </w:p>
  </w:footnote>
  <w:footnote w:type="continuationSeparator" w:id="0">
    <w:p w:rsidR="00B84726" w:rsidRDefault="00B8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2A9" w:rsidRDefault="005E02A9">
    <w:pPr>
      <w:pStyle w:val="a7"/>
      <w:pBdr>
        <w:bottom w:val="none" w:sz="0" w:space="0" w:color="auto"/>
      </w:pBdr>
      <w:tabs>
        <w:tab w:val="left" w:pos="79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0N2UyMzc5NTY5MTQwMmUxYTliMjZkZTZiOTY0YjIifQ=="/>
  </w:docVars>
  <w:rsids>
    <w:rsidRoot w:val="001500F0"/>
    <w:rsid w:val="C5E7C53E"/>
    <w:rsid w:val="0000228B"/>
    <w:rsid w:val="00003045"/>
    <w:rsid w:val="000110BE"/>
    <w:rsid w:val="00012C2D"/>
    <w:rsid w:val="00014AEF"/>
    <w:rsid w:val="00014EE7"/>
    <w:rsid w:val="00015819"/>
    <w:rsid w:val="000201F9"/>
    <w:rsid w:val="00024089"/>
    <w:rsid w:val="00031D7E"/>
    <w:rsid w:val="00032824"/>
    <w:rsid w:val="00036E8B"/>
    <w:rsid w:val="00041FFF"/>
    <w:rsid w:val="0004244A"/>
    <w:rsid w:val="000431F3"/>
    <w:rsid w:val="00046939"/>
    <w:rsid w:val="0004762C"/>
    <w:rsid w:val="0005105A"/>
    <w:rsid w:val="00055A21"/>
    <w:rsid w:val="00055B58"/>
    <w:rsid w:val="00056777"/>
    <w:rsid w:val="000609CD"/>
    <w:rsid w:val="00062768"/>
    <w:rsid w:val="00065FCE"/>
    <w:rsid w:val="0007072C"/>
    <w:rsid w:val="00071C2A"/>
    <w:rsid w:val="00072799"/>
    <w:rsid w:val="0007308F"/>
    <w:rsid w:val="00073FDF"/>
    <w:rsid w:val="00075342"/>
    <w:rsid w:val="00075CBB"/>
    <w:rsid w:val="00076323"/>
    <w:rsid w:val="00080417"/>
    <w:rsid w:val="00080F7A"/>
    <w:rsid w:val="00081A4A"/>
    <w:rsid w:val="000828B5"/>
    <w:rsid w:val="0008708A"/>
    <w:rsid w:val="00087CC9"/>
    <w:rsid w:val="00092AFB"/>
    <w:rsid w:val="00095EA8"/>
    <w:rsid w:val="0009627F"/>
    <w:rsid w:val="0009629B"/>
    <w:rsid w:val="000A1881"/>
    <w:rsid w:val="000A4245"/>
    <w:rsid w:val="000A5D40"/>
    <w:rsid w:val="000B1FC5"/>
    <w:rsid w:val="000B38EE"/>
    <w:rsid w:val="000C0B9B"/>
    <w:rsid w:val="000C327B"/>
    <w:rsid w:val="000C6504"/>
    <w:rsid w:val="000D6AE7"/>
    <w:rsid w:val="000E2BA8"/>
    <w:rsid w:val="000E3013"/>
    <w:rsid w:val="000E6802"/>
    <w:rsid w:val="000E6E72"/>
    <w:rsid w:val="000E7F7C"/>
    <w:rsid w:val="000F50AE"/>
    <w:rsid w:val="000F766D"/>
    <w:rsid w:val="000F7CE3"/>
    <w:rsid w:val="001015D8"/>
    <w:rsid w:val="00101DFF"/>
    <w:rsid w:val="0011065C"/>
    <w:rsid w:val="00110FAF"/>
    <w:rsid w:val="00111C38"/>
    <w:rsid w:val="00111CC0"/>
    <w:rsid w:val="00114D3B"/>
    <w:rsid w:val="00116E83"/>
    <w:rsid w:val="001171E5"/>
    <w:rsid w:val="00134128"/>
    <w:rsid w:val="001362A0"/>
    <w:rsid w:val="0014536C"/>
    <w:rsid w:val="001500F0"/>
    <w:rsid w:val="001553F2"/>
    <w:rsid w:val="0015742E"/>
    <w:rsid w:val="001602A5"/>
    <w:rsid w:val="00161551"/>
    <w:rsid w:val="00162A75"/>
    <w:rsid w:val="00163B3D"/>
    <w:rsid w:val="001657B1"/>
    <w:rsid w:val="00166031"/>
    <w:rsid w:val="00166ACB"/>
    <w:rsid w:val="00171C70"/>
    <w:rsid w:val="00180479"/>
    <w:rsid w:val="001805A5"/>
    <w:rsid w:val="0018268D"/>
    <w:rsid w:val="0018374D"/>
    <w:rsid w:val="001840AD"/>
    <w:rsid w:val="0018463E"/>
    <w:rsid w:val="00184DC8"/>
    <w:rsid w:val="00184F80"/>
    <w:rsid w:val="00185EB7"/>
    <w:rsid w:val="00186265"/>
    <w:rsid w:val="001913EA"/>
    <w:rsid w:val="00193258"/>
    <w:rsid w:val="00193AC7"/>
    <w:rsid w:val="001A05BD"/>
    <w:rsid w:val="001A5AD9"/>
    <w:rsid w:val="001A685D"/>
    <w:rsid w:val="001B44D6"/>
    <w:rsid w:val="001B5FB4"/>
    <w:rsid w:val="001B799A"/>
    <w:rsid w:val="001C198C"/>
    <w:rsid w:val="001C37E2"/>
    <w:rsid w:val="001C48F9"/>
    <w:rsid w:val="001D02F4"/>
    <w:rsid w:val="001D2B13"/>
    <w:rsid w:val="001D694E"/>
    <w:rsid w:val="001E1E52"/>
    <w:rsid w:val="001E26CA"/>
    <w:rsid w:val="001E7702"/>
    <w:rsid w:val="001F3BC6"/>
    <w:rsid w:val="00200438"/>
    <w:rsid w:val="00200D59"/>
    <w:rsid w:val="00203211"/>
    <w:rsid w:val="002040DE"/>
    <w:rsid w:val="00205D2B"/>
    <w:rsid w:val="00206F1B"/>
    <w:rsid w:val="00207CC4"/>
    <w:rsid w:val="00210186"/>
    <w:rsid w:val="00211CD0"/>
    <w:rsid w:val="002128BB"/>
    <w:rsid w:val="00213C0E"/>
    <w:rsid w:val="00220D61"/>
    <w:rsid w:val="002228A1"/>
    <w:rsid w:val="002301D3"/>
    <w:rsid w:val="002404AE"/>
    <w:rsid w:val="002430A5"/>
    <w:rsid w:val="002458FF"/>
    <w:rsid w:val="002527B9"/>
    <w:rsid w:val="0025464F"/>
    <w:rsid w:val="0025753D"/>
    <w:rsid w:val="002579C0"/>
    <w:rsid w:val="00261D0D"/>
    <w:rsid w:val="0027025D"/>
    <w:rsid w:val="0027029B"/>
    <w:rsid w:val="002709FA"/>
    <w:rsid w:val="00271094"/>
    <w:rsid w:val="00273279"/>
    <w:rsid w:val="0027666E"/>
    <w:rsid w:val="0027708C"/>
    <w:rsid w:val="0028065E"/>
    <w:rsid w:val="00285725"/>
    <w:rsid w:val="0028752D"/>
    <w:rsid w:val="002876A1"/>
    <w:rsid w:val="00290116"/>
    <w:rsid w:val="0029724F"/>
    <w:rsid w:val="002A0189"/>
    <w:rsid w:val="002A2ED0"/>
    <w:rsid w:val="002A7A15"/>
    <w:rsid w:val="002B32C7"/>
    <w:rsid w:val="002B5E36"/>
    <w:rsid w:val="002B6E24"/>
    <w:rsid w:val="002C0DB7"/>
    <w:rsid w:val="002D105C"/>
    <w:rsid w:val="002D2531"/>
    <w:rsid w:val="002D3983"/>
    <w:rsid w:val="002D3B91"/>
    <w:rsid w:val="002D64BF"/>
    <w:rsid w:val="002D6BD6"/>
    <w:rsid w:val="002D7DF5"/>
    <w:rsid w:val="002E0C61"/>
    <w:rsid w:val="002E1A75"/>
    <w:rsid w:val="002E4A42"/>
    <w:rsid w:val="002E5A5E"/>
    <w:rsid w:val="002F21A8"/>
    <w:rsid w:val="002F3B6E"/>
    <w:rsid w:val="002F3B84"/>
    <w:rsid w:val="00300319"/>
    <w:rsid w:val="00302F20"/>
    <w:rsid w:val="003041CD"/>
    <w:rsid w:val="0030774B"/>
    <w:rsid w:val="00316610"/>
    <w:rsid w:val="00316B7E"/>
    <w:rsid w:val="00323B00"/>
    <w:rsid w:val="00324875"/>
    <w:rsid w:val="00324DDF"/>
    <w:rsid w:val="003258E7"/>
    <w:rsid w:val="00332264"/>
    <w:rsid w:val="00332E52"/>
    <w:rsid w:val="003375AD"/>
    <w:rsid w:val="003402E2"/>
    <w:rsid w:val="00342EDC"/>
    <w:rsid w:val="00346A96"/>
    <w:rsid w:val="00350316"/>
    <w:rsid w:val="00357180"/>
    <w:rsid w:val="003606E3"/>
    <w:rsid w:val="00360C0C"/>
    <w:rsid w:val="00363D89"/>
    <w:rsid w:val="003642A8"/>
    <w:rsid w:val="00365B02"/>
    <w:rsid w:val="00366F5A"/>
    <w:rsid w:val="00370FD0"/>
    <w:rsid w:val="00374FC6"/>
    <w:rsid w:val="00383712"/>
    <w:rsid w:val="00383D59"/>
    <w:rsid w:val="00384D22"/>
    <w:rsid w:val="00385080"/>
    <w:rsid w:val="003861E1"/>
    <w:rsid w:val="00387422"/>
    <w:rsid w:val="00391826"/>
    <w:rsid w:val="00395325"/>
    <w:rsid w:val="00397826"/>
    <w:rsid w:val="003A04D1"/>
    <w:rsid w:val="003A0B2F"/>
    <w:rsid w:val="003A4EA3"/>
    <w:rsid w:val="003A61FF"/>
    <w:rsid w:val="003A7A2D"/>
    <w:rsid w:val="003B4C46"/>
    <w:rsid w:val="003B7444"/>
    <w:rsid w:val="003C1C51"/>
    <w:rsid w:val="003C47C6"/>
    <w:rsid w:val="003C500F"/>
    <w:rsid w:val="003C5B6E"/>
    <w:rsid w:val="003D46F9"/>
    <w:rsid w:val="003E013A"/>
    <w:rsid w:val="003E4A67"/>
    <w:rsid w:val="003F6378"/>
    <w:rsid w:val="003F6B14"/>
    <w:rsid w:val="004006F7"/>
    <w:rsid w:val="004024AA"/>
    <w:rsid w:val="0040362D"/>
    <w:rsid w:val="00405747"/>
    <w:rsid w:val="004064FE"/>
    <w:rsid w:val="00406D41"/>
    <w:rsid w:val="00411D3B"/>
    <w:rsid w:val="0041222D"/>
    <w:rsid w:val="004125E9"/>
    <w:rsid w:val="00413F8D"/>
    <w:rsid w:val="00415E9B"/>
    <w:rsid w:val="00421E13"/>
    <w:rsid w:val="0042441B"/>
    <w:rsid w:val="00427B05"/>
    <w:rsid w:val="00431A83"/>
    <w:rsid w:val="00435428"/>
    <w:rsid w:val="00436198"/>
    <w:rsid w:val="00437647"/>
    <w:rsid w:val="0044026D"/>
    <w:rsid w:val="004426E5"/>
    <w:rsid w:val="00442D75"/>
    <w:rsid w:val="004460B9"/>
    <w:rsid w:val="00451DE5"/>
    <w:rsid w:val="00455746"/>
    <w:rsid w:val="00455A85"/>
    <w:rsid w:val="00460872"/>
    <w:rsid w:val="00460C54"/>
    <w:rsid w:val="00470304"/>
    <w:rsid w:val="00470A17"/>
    <w:rsid w:val="004739F2"/>
    <w:rsid w:val="00475509"/>
    <w:rsid w:val="00476C2D"/>
    <w:rsid w:val="00477999"/>
    <w:rsid w:val="00481C5F"/>
    <w:rsid w:val="00482DEF"/>
    <w:rsid w:val="00486467"/>
    <w:rsid w:val="00487531"/>
    <w:rsid w:val="00487C60"/>
    <w:rsid w:val="00492607"/>
    <w:rsid w:val="00492F12"/>
    <w:rsid w:val="00493B7C"/>
    <w:rsid w:val="004943A9"/>
    <w:rsid w:val="00497DDF"/>
    <w:rsid w:val="004A12F8"/>
    <w:rsid w:val="004A4ED7"/>
    <w:rsid w:val="004A5DD4"/>
    <w:rsid w:val="004B1573"/>
    <w:rsid w:val="004B3024"/>
    <w:rsid w:val="004B4B34"/>
    <w:rsid w:val="004B5B5E"/>
    <w:rsid w:val="004C007F"/>
    <w:rsid w:val="004C154E"/>
    <w:rsid w:val="004D03EC"/>
    <w:rsid w:val="004D4E14"/>
    <w:rsid w:val="004E2E38"/>
    <w:rsid w:val="004E72F2"/>
    <w:rsid w:val="004E7FEA"/>
    <w:rsid w:val="004F4172"/>
    <w:rsid w:val="004F4656"/>
    <w:rsid w:val="004F4C44"/>
    <w:rsid w:val="004F4C9C"/>
    <w:rsid w:val="004F57F1"/>
    <w:rsid w:val="004F5972"/>
    <w:rsid w:val="004F5E5E"/>
    <w:rsid w:val="00501840"/>
    <w:rsid w:val="00503238"/>
    <w:rsid w:val="00503A04"/>
    <w:rsid w:val="00503AAA"/>
    <w:rsid w:val="00514187"/>
    <w:rsid w:val="00515B0C"/>
    <w:rsid w:val="00523800"/>
    <w:rsid w:val="00525A1F"/>
    <w:rsid w:val="00526002"/>
    <w:rsid w:val="00526B96"/>
    <w:rsid w:val="00532D9C"/>
    <w:rsid w:val="005349B8"/>
    <w:rsid w:val="005352F7"/>
    <w:rsid w:val="005402DF"/>
    <w:rsid w:val="00541A70"/>
    <w:rsid w:val="00541ADE"/>
    <w:rsid w:val="00543641"/>
    <w:rsid w:val="00556ADD"/>
    <w:rsid w:val="005613F6"/>
    <w:rsid w:val="00561B07"/>
    <w:rsid w:val="00561BD8"/>
    <w:rsid w:val="005625D8"/>
    <w:rsid w:val="005629EE"/>
    <w:rsid w:val="00564105"/>
    <w:rsid w:val="0056448E"/>
    <w:rsid w:val="00565BB0"/>
    <w:rsid w:val="00572779"/>
    <w:rsid w:val="00573543"/>
    <w:rsid w:val="0057423C"/>
    <w:rsid w:val="00575496"/>
    <w:rsid w:val="005778F2"/>
    <w:rsid w:val="00580C8D"/>
    <w:rsid w:val="005837A5"/>
    <w:rsid w:val="0058428C"/>
    <w:rsid w:val="00584CAD"/>
    <w:rsid w:val="00586CF8"/>
    <w:rsid w:val="005929EF"/>
    <w:rsid w:val="00594307"/>
    <w:rsid w:val="00596EF0"/>
    <w:rsid w:val="005A24A1"/>
    <w:rsid w:val="005A47AA"/>
    <w:rsid w:val="005A566C"/>
    <w:rsid w:val="005A6DBE"/>
    <w:rsid w:val="005A7E9D"/>
    <w:rsid w:val="005B0087"/>
    <w:rsid w:val="005C4B5A"/>
    <w:rsid w:val="005C7386"/>
    <w:rsid w:val="005C7BCB"/>
    <w:rsid w:val="005C7EBC"/>
    <w:rsid w:val="005D1F4C"/>
    <w:rsid w:val="005D23B1"/>
    <w:rsid w:val="005D35D5"/>
    <w:rsid w:val="005D37C3"/>
    <w:rsid w:val="005D49ED"/>
    <w:rsid w:val="005D71C0"/>
    <w:rsid w:val="005E02A9"/>
    <w:rsid w:val="005E1AD3"/>
    <w:rsid w:val="005F159B"/>
    <w:rsid w:val="005F2BAD"/>
    <w:rsid w:val="005F61A3"/>
    <w:rsid w:val="00601307"/>
    <w:rsid w:val="00604AEB"/>
    <w:rsid w:val="00604E79"/>
    <w:rsid w:val="0061133B"/>
    <w:rsid w:val="0061158B"/>
    <w:rsid w:val="006123AC"/>
    <w:rsid w:val="006126B6"/>
    <w:rsid w:val="006139C6"/>
    <w:rsid w:val="0061403B"/>
    <w:rsid w:val="0061690D"/>
    <w:rsid w:val="00617EC8"/>
    <w:rsid w:val="0062223C"/>
    <w:rsid w:val="00622ADD"/>
    <w:rsid w:val="00623D88"/>
    <w:rsid w:val="00626A73"/>
    <w:rsid w:val="00627418"/>
    <w:rsid w:val="00630901"/>
    <w:rsid w:val="00632A40"/>
    <w:rsid w:val="006339A9"/>
    <w:rsid w:val="00636485"/>
    <w:rsid w:val="00636974"/>
    <w:rsid w:val="00640869"/>
    <w:rsid w:val="00642019"/>
    <w:rsid w:val="006442A3"/>
    <w:rsid w:val="006477CF"/>
    <w:rsid w:val="00651A47"/>
    <w:rsid w:val="006549FF"/>
    <w:rsid w:val="00655F9A"/>
    <w:rsid w:val="006573F9"/>
    <w:rsid w:val="00663422"/>
    <w:rsid w:val="00664D0D"/>
    <w:rsid w:val="00665152"/>
    <w:rsid w:val="006657F3"/>
    <w:rsid w:val="00667224"/>
    <w:rsid w:val="00670624"/>
    <w:rsid w:val="00673741"/>
    <w:rsid w:val="00685CC9"/>
    <w:rsid w:val="00687077"/>
    <w:rsid w:val="00691216"/>
    <w:rsid w:val="0069124E"/>
    <w:rsid w:val="00693123"/>
    <w:rsid w:val="006951B3"/>
    <w:rsid w:val="0069531B"/>
    <w:rsid w:val="006A13A5"/>
    <w:rsid w:val="006A1BB1"/>
    <w:rsid w:val="006A2635"/>
    <w:rsid w:val="006A4926"/>
    <w:rsid w:val="006A5093"/>
    <w:rsid w:val="006A6B12"/>
    <w:rsid w:val="006B07DF"/>
    <w:rsid w:val="006B44C9"/>
    <w:rsid w:val="006B5576"/>
    <w:rsid w:val="006B561A"/>
    <w:rsid w:val="006C21A9"/>
    <w:rsid w:val="006C4576"/>
    <w:rsid w:val="006C50DD"/>
    <w:rsid w:val="006C5C11"/>
    <w:rsid w:val="006D1A78"/>
    <w:rsid w:val="006D3035"/>
    <w:rsid w:val="006D3645"/>
    <w:rsid w:val="006D3AE3"/>
    <w:rsid w:val="006D6190"/>
    <w:rsid w:val="006D667C"/>
    <w:rsid w:val="006E10DE"/>
    <w:rsid w:val="006E1401"/>
    <w:rsid w:val="006E411C"/>
    <w:rsid w:val="006E7F16"/>
    <w:rsid w:val="006F1138"/>
    <w:rsid w:val="006F1495"/>
    <w:rsid w:val="006F73BF"/>
    <w:rsid w:val="00701C07"/>
    <w:rsid w:val="007046C0"/>
    <w:rsid w:val="00705420"/>
    <w:rsid w:val="00705C25"/>
    <w:rsid w:val="007075E8"/>
    <w:rsid w:val="007077D4"/>
    <w:rsid w:val="00710083"/>
    <w:rsid w:val="007101C2"/>
    <w:rsid w:val="007104AB"/>
    <w:rsid w:val="00711DC9"/>
    <w:rsid w:val="00711FE2"/>
    <w:rsid w:val="007128A1"/>
    <w:rsid w:val="007154C6"/>
    <w:rsid w:val="00722CE0"/>
    <w:rsid w:val="007248BD"/>
    <w:rsid w:val="007252FA"/>
    <w:rsid w:val="007267BF"/>
    <w:rsid w:val="00726FFB"/>
    <w:rsid w:val="0072708A"/>
    <w:rsid w:val="007278CC"/>
    <w:rsid w:val="00731DF6"/>
    <w:rsid w:val="007332B8"/>
    <w:rsid w:val="00733993"/>
    <w:rsid w:val="00737549"/>
    <w:rsid w:val="00740D5E"/>
    <w:rsid w:val="00740FD8"/>
    <w:rsid w:val="0074535C"/>
    <w:rsid w:val="00747ADD"/>
    <w:rsid w:val="0075311A"/>
    <w:rsid w:val="00753EB9"/>
    <w:rsid w:val="007544AA"/>
    <w:rsid w:val="0076209F"/>
    <w:rsid w:val="00765607"/>
    <w:rsid w:val="0076605D"/>
    <w:rsid w:val="00767B43"/>
    <w:rsid w:val="00767C9E"/>
    <w:rsid w:val="0077253C"/>
    <w:rsid w:val="007757EA"/>
    <w:rsid w:val="00775D43"/>
    <w:rsid w:val="00776763"/>
    <w:rsid w:val="007805DE"/>
    <w:rsid w:val="00781B29"/>
    <w:rsid w:val="007912E3"/>
    <w:rsid w:val="00792E74"/>
    <w:rsid w:val="00793899"/>
    <w:rsid w:val="00795103"/>
    <w:rsid w:val="00795CEC"/>
    <w:rsid w:val="00796C69"/>
    <w:rsid w:val="00797338"/>
    <w:rsid w:val="007A0C16"/>
    <w:rsid w:val="007A3E8C"/>
    <w:rsid w:val="007A4F38"/>
    <w:rsid w:val="007A6D48"/>
    <w:rsid w:val="007B0361"/>
    <w:rsid w:val="007B2353"/>
    <w:rsid w:val="007B29FB"/>
    <w:rsid w:val="007B4FE9"/>
    <w:rsid w:val="007B6913"/>
    <w:rsid w:val="007C3A57"/>
    <w:rsid w:val="007C4EA7"/>
    <w:rsid w:val="007C6AF8"/>
    <w:rsid w:val="007D259C"/>
    <w:rsid w:val="007D3D02"/>
    <w:rsid w:val="007D50E6"/>
    <w:rsid w:val="007D5B48"/>
    <w:rsid w:val="007D6FB5"/>
    <w:rsid w:val="007D759C"/>
    <w:rsid w:val="007E09E1"/>
    <w:rsid w:val="007E131E"/>
    <w:rsid w:val="007E1407"/>
    <w:rsid w:val="007E2228"/>
    <w:rsid w:val="007E4C65"/>
    <w:rsid w:val="007F789C"/>
    <w:rsid w:val="00802F7E"/>
    <w:rsid w:val="008054DD"/>
    <w:rsid w:val="00805A66"/>
    <w:rsid w:val="00807469"/>
    <w:rsid w:val="00826704"/>
    <w:rsid w:val="00827B05"/>
    <w:rsid w:val="00832AB8"/>
    <w:rsid w:val="00837277"/>
    <w:rsid w:val="0084331E"/>
    <w:rsid w:val="0085038A"/>
    <w:rsid w:val="00850E85"/>
    <w:rsid w:val="008510D3"/>
    <w:rsid w:val="00852754"/>
    <w:rsid w:val="008528C1"/>
    <w:rsid w:val="00852CD8"/>
    <w:rsid w:val="00853D9C"/>
    <w:rsid w:val="008540BA"/>
    <w:rsid w:val="0085575D"/>
    <w:rsid w:val="00856575"/>
    <w:rsid w:val="00861A7A"/>
    <w:rsid w:val="00861D99"/>
    <w:rsid w:val="0086798F"/>
    <w:rsid w:val="008756D8"/>
    <w:rsid w:val="00875FC6"/>
    <w:rsid w:val="00877A1F"/>
    <w:rsid w:val="00891C25"/>
    <w:rsid w:val="0089475E"/>
    <w:rsid w:val="00894985"/>
    <w:rsid w:val="008958DB"/>
    <w:rsid w:val="008A0C82"/>
    <w:rsid w:val="008A283A"/>
    <w:rsid w:val="008A2F97"/>
    <w:rsid w:val="008B01C2"/>
    <w:rsid w:val="008B0EE9"/>
    <w:rsid w:val="008B2EAA"/>
    <w:rsid w:val="008B5034"/>
    <w:rsid w:val="008B59D5"/>
    <w:rsid w:val="008B59E3"/>
    <w:rsid w:val="008C1394"/>
    <w:rsid w:val="008C2D3E"/>
    <w:rsid w:val="008C5766"/>
    <w:rsid w:val="008C71CA"/>
    <w:rsid w:val="008D0074"/>
    <w:rsid w:val="008D2D99"/>
    <w:rsid w:val="008D4621"/>
    <w:rsid w:val="008D4D0B"/>
    <w:rsid w:val="008E1D30"/>
    <w:rsid w:val="008E209F"/>
    <w:rsid w:val="008F25F3"/>
    <w:rsid w:val="008F3168"/>
    <w:rsid w:val="008F5820"/>
    <w:rsid w:val="008F62D3"/>
    <w:rsid w:val="008F74F4"/>
    <w:rsid w:val="008F7AD0"/>
    <w:rsid w:val="0090042E"/>
    <w:rsid w:val="00901A0D"/>
    <w:rsid w:val="009036B3"/>
    <w:rsid w:val="00903E2A"/>
    <w:rsid w:val="00904214"/>
    <w:rsid w:val="009048F5"/>
    <w:rsid w:val="00905DB7"/>
    <w:rsid w:val="009112D8"/>
    <w:rsid w:val="009148AE"/>
    <w:rsid w:val="00914B2F"/>
    <w:rsid w:val="009175CA"/>
    <w:rsid w:val="009177C4"/>
    <w:rsid w:val="0092154E"/>
    <w:rsid w:val="00923236"/>
    <w:rsid w:val="00927277"/>
    <w:rsid w:val="009305FF"/>
    <w:rsid w:val="009327B6"/>
    <w:rsid w:val="00933FE1"/>
    <w:rsid w:val="009431C1"/>
    <w:rsid w:val="00944239"/>
    <w:rsid w:val="0094479C"/>
    <w:rsid w:val="00951250"/>
    <w:rsid w:val="009517A9"/>
    <w:rsid w:val="00952163"/>
    <w:rsid w:val="00954D8F"/>
    <w:rsid w:val="0095574E"/>
    <w:rsid w:val="00956843"/>
    <w:rsid w:val="00961A83"/>
    <w:rsid w:val="00962355"/>
    <w:rsid w:val="0096465B"/>
    <w:rsid w:val="00964675"/>
    <w:rsid w:val="009667E4"/>
    <w:rsid w:val="009672DE"/>
    <w:rsid w:val="00970B67"/>
    <w:rsid w:val="00972E7D"/>
    <w:rsid w:val="00974518"/>
    <w:rsid w:val="00990338"/>
    <w:rsid w:val="00993A43"/>
    <w:rsid w:val="00994FE6"/>
    <w:rsid w:val="009A5A41"/>
    <w:rsid w:val="009A6FEE"/>
    <w:rsid w:val="009A75A2"/>
    <w:rsid w:val="009B5E77"/>
    <w:rsid w:val="009C2EAF"/>
    <w:rsid w:val="009C3BA0"/>
    <w:rsid w:val="009C4B8D"/>
    <w:rsid w:val="009C5665"/>
    <w:rsid w:val="009C65C6"/>
    <w:rsid w:val="009D5190"/>
    <w:rsid w:val="009D551B"/>
    <w:rsid w:val="009E1E87"/>
    <w:rsid w:val="009E6DE0"/>
    <w:rsid w:val="009E6E9C"/>
    <w:rsid w:val="009F015E"/>
    <w:rsid w:val="009F09C5"/>
    <w:rsid w:val="009F0D59"/>
    <w:rsid w:val="009F3AB5"/>
    <w:rsid w:val="009F570F"/>
    <w:rsid w:val="009F6499"/>
    <w:rsid w:val="00A02CA8"/>
    <w:rsid w:val="00A0571D"/>
    <w:rsid w:val="00A05BF9"/>
    <w:rsid w:val="00A067E6"/>
    <w:rsid w:val="00A074BB"/>
    <w:rsid w:val="00A15924"/>
    <w:rsid w:val="00A16074"/>
    <w:rsid w:val="00A171C1"/>
    <w:rsid w:val="00A2161B"/>
    <w:rsid w:val="00A25B4D"/>
    <w:rsid w:val="00A320CD"/>
    <w:rsid w:val="00A32EE2"/>
    <w:rsid w:val="00A32FBA"/>
    <w:rsid w:val="00A37288"/>
    <w:rsid w:val="00A4753E"/>
    <w:rsid w:val="00A4786D"/>
    <w:rsid w:val="00A518A2"/>
    <w:rsid w:val="00A55AE4"/>
    <w:rsid w:val="00A55F7A"/>
    <w:rsid w:val="00A56327"/>
    <w:rsid w:val="00A56493"/>
    <w:rsid w:val="00A57BC5"/>
    <w:rsid w:val="00A610D1"/>
    <w:rsid w:val="00A62BBD"/>
    <w:rsid w:val="00A64CEF"/>
    <w:rsid w:val="00A7239B"/>
    <w:rsid w:val="00A7287B"/>
    <w:rsid w:val="00A736C0"/>
    <w:rsid w:val="00A7608D"/>
    <w:rsid w:val="00A80684"/>
    <w:rsid w:val="00A83903"/>
    <w:rsid w:val="00A8423B"/>
    <w:rsid w:val="00A8616A"/>
    <w:rsid w:val="00A91FBF"/>
    <w:rsid w:val="00A9226D"/>
    <w:rsid w:val="00A9400D"/>
    <w:rsid w:val="00A945C5"/>
    <w:rsid w:val="00A9518B"/>
    <w:rsid w:val="00A95CD9"/>
    <w:rsid w:val="00A96067"/>
    <w:rsid w:val="00AA132D"/>
    <w:rsid w:val="00AA2626"/>
    <w:rsid w:val="00AA3A03"/>
    <w:rsid w:val="00AA7208"/>
    <w:rsid w:val="00AA77EF"/>
    <w:rsid w:val="00AB4A07"/>
    <w:rsid w:val="00AB527A"/>
    <w:rsid w:val="00AB6957"/>
    <w:rsid w:val="00AB741E"/>
    <w:rsid w:val="00AC0EF9"/>
    <w:rsid w:val="00AC3002"/>
    <w:rsid w:val="00AC3A93"/>
    <w:rsid w:val="00AC5A8D"/>
    <w:rsid w:val="00AC7017"/>
    <w:rsid w:val="00AC771A"/>
    <w:rsid w:val="00AD03AF"/>
    <w:rsid w:val="00AD124F"/>
    <w:rsid w:val="00AD5FDA"/>
    <w:rsid w:val="00AD6084"/>
    <w:rsid w:val="00AE1BE3"/>
    <w:rsid w:val="00AE338F"/>
    <w:rsid w:val="00AE481F"/>
    <w:rsid w:val="00AE692F"/>
    <w:rsid w:val="00AF112B"/>
    <w:rsid w:val="00AF2FBA"/>
    <w:rsid w:val="00AF3320"/>
    <w:rsid w:val="00AF3948"/>
    <w:rsid w:val="00B04191"/>
    <w:rsid w:val="00B069C4"/>
    <w:rsid w:val="00B110FE"/>
    <w:rsid w:val="00B11756"/>
    <w:rsid w:val="00B12642"/>
    <w:rsid w:val="00B1266C"/>
    <w:rsid w:val="00B12C1A"/>
    <w:rsid w:val="00B12D9E"/>
    <w:rsid w:val="00B224A9"/>
    <w:rsid w:val="00B2484D"/>
    <w:rsid w:val="00B254F4"/>
    <w:rsid w:val="00B270BC"/>
    <w:rsid w:val="00B310CD"/>
    <w:rsid w:val="00B314C8"/>
    <w:rsid w:val="00B3451E"/>
    <w:rsid w:val="00B34D46"/>
    <w:rsid w:val="00B35605"/>
    <w:rsid w:val="00B361E7"/>
    <w:rsid w:val="00B37E3B"/>
    <w:rsid w:val="00B41640"/>
    <w:rsid w:val="00B4219C"/>
    <w:rsid w:val="00B4253F"/>
    <w:rsid w:val="00B43117"/>
    <w:rsid w:val="00B450C1"/>
    <w:rsid w:val="00B454BB"/>
    <w:rsid w:val="00B47063"/>
    <w:rsid w:val="00B47C60"/>
    <w:rsid w:val="00B52060"/>
    <w:rsid w:val="00B57591"/>
    <w:rsid w:val="00B60543"/>
    <w:rsid w:val="00B638DD"/>
    <w:rsid w:val="00B6525E"/>
    <w:rsid w:val="00B66CB9"/>
    <w:rsid w:val="00B66D1D"/>
    <w:rsid w:val="00B70ACA"/>
    <w:rsid w:val="00B710CD"/>
    <w:rsid w:val="00B74516"/>
    <w:rsid w:val="00B76451"/>
    <w:rsid w:val="00B802B0"/>
    <w:rsid w:val="00B82215"/>
    <w:rsid w:val="00B83977"/>
    <w:rsid w:val="00B8416D"/>
    <w:rsid w:val="00B84726"/>
    <w:rsid w:val="00B84A47"/>
    <w:rsid w:val="00B85597"/>
    <w:rsid w:val="00B87C33"/>
    <w:rsid w:val="00B91FB4"/>
    <w:rsid w:val="00B94543"/>
    <w:rsid w:val="00B949B5"/>
    <w:rsid w:val="00B95DB6"/>
    <w:rsid w:val="00B97FF8"/>
    <w:rsid w:val="00BA0E2F"/>
    <w:rsid w:val="00BB6030"/>
    <w:rsid w:val="00BB7C80"/>
    <w:rsid w:val="00BB7F84"/>
    <w:rsid w:val="00BC10F6"/>
    <w:rsid w:val="00BC30E7"/>
    <w:rsid w:val="00BC3F80"/>
    <w:rsid w:val="00BC64AA"/>
    <w:rsid w:val="00BD19B5"/>
    <w:rsid w:val="00BD1EE1"/>
    <w:rsid w:val="00BD2515"/>
    <w:rsid w:val="00BE0CA6"/>
    <w:rsid w:val="00BE137B"/>
    <w:rsid w:val="00BE492D"/>
    <w:rsid w:val="00BF2990"/>
    <w:rsid w:val="00BF2CE1"/>
    <w:rsid w:val="00BF3244"/>
    <w:rsid w:val="00BF356D"/>
    <w:rsid w:val="00C03D22"/>
    <w:rsid w:val="00C04BF3"/>
    <w:rsid w:val="00C074A9"/>
    <w:rsid w:val="00C07E11"/>
    <w:rsid w:val="00C143AF"/>
    <w:rsid w:val="00C20517"/>
    <w:rsid w:val="00C217C9"/>
    <w:rsid w:val="00C22B3E"/>
    <w:rsid w:val="00C2440F"/>
    <w:rsid w:val="00C27835"/>
    <w:rsid w:val="00C27B7D"/>
    <w:rsid w:val="00C306EF"/>
    <w:rsid w:val="00C327F1"/>
    <w:rsid w:val="00C334CB"/>
    <w:rsid w:val="00C35620"/>
    <w:rsid w:val="00C411CF"/>
    <w:rsid w:val="00C42467"/>
    <w:rsid w:val="00C4493F"/>
    <w:rsid w:val="00C4793C"/>
    <w:rsid w:val="00C5040C"/>
    <w:rsid w:val="00C604D9"/>
    <w:rsid w:val="00C60EFC"/>
    <w:rsid w:val="00C62143"/>
    <w:rsid w:val="00C624B6"/>
    <w:rsid w:val="00C6368B"/>
    <w:rsid w:val="00C63FAE"/>
    <w:rsid w:val="00C6661A"/>
    <w:rsid w:val="00C70D98"/>
    <w:rsid w:val="00C87047"/>
    <w:rsid w:val="00C87552"/>
    <w:rsid w:val="00C94EF8"/>
    <w:rsid w:val="00CA0440"/>
    <w:rsid w:val="00CA0779"/>
    <w:rsid w:val="00CA154D"/>
    <w:rsid w:val="00CA5384"/>
    <w:rsid w:val="00CA5445"/>
    <w:rsid w:val="00CA71DB"/>
    <w:rsid w:val="00CB0E01"/>
    <w:rsid w:val="00CB5836"/>
    <w:rsid w:val="00CB7BA7"/>
    <w:rsid w:val="00CC3DA1"/>
    <w:rsid w:val="00CD0C4C"/>
    <w:rsid w:val="00CD3DAA"/>
    <w:rsid w:val="00CD75A2"/>
    <w:rsid w:val="00CE068E"/>
    <w:rsid w:val="00CE7414"/>
    <w:rsid w:val="00CE76B1"/>
    <w:rsid w:val="00CF091E"/>
    <w:rsid w:val="00CF41A2"/>
    <w:rsid w:val="00CF6293"/>
    <w:rsid w:val="00CF688B"/>
    <w:rsid w:val="00D00679"/>
    <w:rsid w:val="00D00F12"/>
    <w:rsid w:val="00D01FCA"/>
    <w:rsid w:val="00D04676"/>
    <w:rsid w:val="00D131DE"/>
    <w:rsid w:val="00D1454A"/>
    <w:rsid w:val="00D17513"/>
    <w:rsid w:val="00D20CB9"/>
    <w:rsid w:val="00D26FD8"/>
    <w:rsid w:val="00D33B0C"/>
    <w:rsid w:val="00D40CE8"/>
    <w:rsid w:val="00D41C22"/>
    <w:rsid w:val="00D421B1"/>
    <w:rsid w:val="00D46AEC"/>
    <w:rsid w:val="00D53511"/>
    <w:rsid w:val="00D547FD"/>
    <w:rsid w:val="00D549E8"/>
    <w:rsid w:val="00D54CE6"/>
    <w:rsid w:val="00D55272"/>
    <w:rsid w:val="00D63E43"/>
    <w:rsid w:val="00D723DE"/>
    <w:rsid w:val="00D7381D"/>
    <w:rsid w:val="00D73DAD"/>
    <w:rsid w:val="00D74B95"/>
    <w:rsid w:val="00D75B42"/>
    <w:rsid w:val="00D77624"/>
    <w:rsid w:val="00D776FD"/>
    <w:rsid w:val="00D80A31"/>
    <w:rsid w:val="00D826BD"/>
    <w:rsid w:val="00D82803"/>
    <w:rsid w:val="00D84BB4"/>
    <w:rsid w:val="00D917AF"/>
    <w:rsid w:val="00D9340D"/>
    <w:rsid w:val="00D95BE2"/>
    <w:rsid w:val="00D96D14"/>
    <w:rsid w:val="00DA2598"/>
    <w:rsid w:val="00DA572A"/>
    <w:rsid w:val="00DB093E"/>
    <w:rsid w:val="00DB1227"/>
    <w:rsid w:val="00DB34FF"/>
    <w:rsid w:val="00DB3FCC"/>
    <w:rsid w:val="00DB4132"/>
    <w:rsid w:val="00DB60E5"/>
    <w:rsid w:val="00DC1DD2"/>
    <w:rsid w:val="00DC28BE"/>
    <w:rsid w:val="00DC3852"/>
    <w:rsid w:val="00DC505F"/>
    <w:rsid w:val="00DC785C"/>
    <w:rsid w:val="00DC7CEB"/>
    <w:rsid w:val="00DC7F10"/>
    <w:rsid w:val="00DD05F3"/>
    <w:rsid w:val="00DD1369"/>
    <w:rsid w:val="00DD7B1C"/>
    <w:rsid w:val="00DE0D6B"/>
    <w:rsid w:val="00DE3D3D"/>
    <w:rsid w:val="00DE3F5A"/>
    <w:rsid w:val="00DE5A6A"/>
    <w:rsid w:val="00DE652B"/>
    <w:rsid w:val="00DE67E3"/>
    <w:rsid w:val="00DF0D2F"/>
    <w:rsid w:val="00E00109"/>
    <w:rsid w:val="00E050B6"/>
    <w:rsid w:val="00E05264"/>
    <w:rsid w:val="00E06AEB"/>
    <w:rsid w:val="00E07B80"/>
    <w:rsid w:val="00E10862"/>
    <w:rsid w:val="00E12C8D"/>
    <w:rsid w:val="00E12D5C"/>
    <w:rsid w:val="00E225CC"/>
    <w:rsid w:val="00E226C8"/>
    <w:rsid w:val="00E22AA0"/>
    <w:rsid w:val="00E23668"/>
    <w:rsid w:val="00E25D33"/>
    <w:rsid w:val="00E27262"/>
    <w:rsid w:val="00E27406"/>
    <w:rsid w:val="00E33BB5"/>
    <w:rsid w:val="00E35F56"/>
    <w:rsid w:val="00E3603E"/>
    <w:rsid w:val="00E404BC"/>
    <w:rsid w:val="00E426FB"/>
    <w:rsid w:val="00E4394F"/>
    <w:rsid w:val="00E43D84"/>
    <w:rsid w:val="00E442F3"/>
    <w:rsid w:val="00E46F67"/>
    <w:rsid w:val="00E53153"/>
    <w:rsid w:val="00E543D2"/>
    <w:rsid w:val="00E56847"/>
    <w:rsid w:val="00E60298"/>
    <w:rsid w:val="00E61987"/>
    <w:rsid w:val="00E635F9"/>
    <w:rsid w:val="00E66C82"/>
    <w:rsid w:val="00E67233"/>
    <w:rsid w:val="00E71458"/>
    <w:rsid w:val="00E719BC"/>
    <w:rsid w:val="00E734DA"/>
    <w:rsid w:val="00E75A00"/>
    <w:rsid w:val="00E7699F"/>
    <w:rsid w:val="00E773F0"/>
    <w:rsid w:val="00E82AB4"/>
    <w:rsid w:val="00E82B23"/>
    <w:rsid w:val="00E86083"/>
    <w:rsid w:val="00E9060A"/>
    <w:rsid w:val="00E94F5C"/>
    <w:rsid w:val="00EA1D9E"/>
    <w:rsid w:val="00EA46C1"/>
    <w:rsid w:val="00EA5B72"/>
    <w:rsid w:val="00EA67D4"/>
    <w:rsid w:val="00EA7613"/>
    <w:rsid w:val="00EB11D9"/>
    <w:rsid w:val="00EB63F4"/>
    <w:rsid w:val="00EB6AB9"/>
    <w:rsid w:val="00EB6D0C"/>
    <w:rsid w:val="00EC01CE"/>
    <w:rsid w:val="00EC24FE"/>
    <w:rsid w:val="00EC5CA8"/>
    <w:rsid w:val="00EC66C0"/>
    <w:rsid w:val="00EC6AA0"/>
    <w:rsid w:val="00EC7C49"/>
    <w:rsid w:val="00ED0F13"/>
    <w:rsid w:val="00ED2073"/>
    <w:rsid w:val="00ED3513"/>
    <w:rsid w:val="00ED3E56"/>
    <w:rsid w:val="00ED7249"/>
    <w:rsid w:val="00EE0127"/>
    <w:rsid w:val="00EE0482"/>
    <w:rsid w:val="00EE099D"/>
    <w:rsid w:val="00EE5089"/>
    <w:rsid w:val="00EE598D"/>
    <w:rsid w:val="00EE6903"/>
    <w:rsid w:val="00EF0BB2"/>
    <w:rsid w:val="00EF236C"/>
    <w:rsid w:val="00EF6F99"/>
    <w:rsid w:val="00EF794D"/>
    <w:rsid w:val="00F000C3"/>
    <w:rsid w:val="00F05315"/>
    <w:rsid w:val="00F05DB3"/>
    <w:rsid w:val="00F07ED2"/>
    <w:rsid w:val="00F10CAF"/>
    <w:rsid w:val="00F13200"/>
    <w:rsid w:val="00F163E5"/>
    <w:rsid w:val="00F17845"/>
    <w:rsid w:val="00F210D2"/>
    <w:rsid w:val="00F238BF"/>
    <w:rsid w:val="00F26AC4"/>
    <w:rsid w:val="00F31DB1"/>
    <w:rsid w:val="00F31E66"/>
    <w:rsid w:val="00F32A8F"/>
    <w:rsid w:val="00F33482"/>
    <w:rsid w:val="00F33555"/>
    <w:rsid w:val="00F34A42"/>
    <w:rsid w:val="00F37894"/>
    <w:rsid w:val="00F4111F"/>
    <w:rsid w:val="00F4152D"/>
    <w:rsid w:val="00F473A4"/>
    <w:rsid w:val="00F51844"/>
    <w:rsid w:val="00F52DE1"/>
    <w:rsid w:val="00F55ED1"/>
    <w:rsid w:val="00F6142E"/>
    <w:rsid w:val="00F65424"/>
    <w:rsid w:val="00F6773F"/>
    <w:rsid w:val="00F71C9E"/>
    <w:rsid w:val="00F7486C"/>
    <w:rsid w:val="00F767C9"/>
    <w:rsid w:val="00F80A8F"/>
    <w:rsid w:val="00F840F2"/>
    <w:rsid w:val="00F866F5"/>
    <w:rsid w:val="00F913F3"/>
    <w:rsid w:val="00F95FC8"/>
    <w:rsid w:val="00FA0D48"/>
    <w:rsid w:val="00FA18AE"/>
    <w:rsid w:val="00FB1EC8"/>
    <w:rsid w:val="00FB27DB"/>
    <w:rsid w:val="00FB3FF3"/>
    <w:rsid w:val="00FB4175"/>
    <w:rsid w:val="00FB7029"/>
    <w:rsid w:val="00FB79FF"/>
    <w:rsid w:val="00FB7E1D"/>
    <w:rsid w:val="00FC0FDE"/>
    <w:rsid w:val="00FC29DF"/>
    <w:rsid w:val="00FC4CDF"/>
    <w:rsid w:val="00FC5DEA"/>
    <w:rsid w:val="00FD0849"/>
    <w:rsid w:val="00FD100D"/>
    <w:rsid w:val="00FD404D"/>
    <w:rsid w:val="00FD4BA6"/>
    <w:rsid w:val="00FD6362"/>
    <w:rsid w:val="00FE0E08"/>
    <w:rsid w:val="00FE110A"/>
    <w:rsid w:val="00FE6627"/>
    <w:rsid w:val="00FE6713"/>
    <w:rsid w:val="00FE6AED"/>
    <w:rsid w:val="00FE6AF4"/>
    <w:rsid w:val="00FE73DD"/>
    <w:rsid w:val="00FE772F"/>
    <w:rsid w:val="00FF0E57"/>
    <w:rsid w:val="00FF4089"/>
    <w:rsid w:val="013524E6"/>
    <w:rsid w:val="01EF799A"/>
    <w:rsid w:val="02DC7717"/>
    <w:rsid w:val="035D4196"/>
    <w:rsid w:val="05AE19DC"/>
    <w:rsid w:val="06603142"/>
    <w:rsid w:val="074E1689"/>
    <w:rsid w:val="0DB03360"/>
    <w:rsid w:val="0EF53B2A"/>
    <w:rsid w:val="105B42BF"/>
    <w:rsid w:val="13B07AD4"/>
    <w:rsid w:val="162077E3"/>
    <w:rsid w:val="163628B9"/>
    <w:rsid w:val="165A75C4"/>
    <w:rsid w:val="17727128"/>
    <w:rsid w:val="184E77CC"/>
    <w:rsid w:val="191B0B93"/>
    <w:rsid w:val="198F2FA2"/>
    <w:rsid w:val="19984FEA"/>
    <w:rsid w:val="1C351FF0"/>
    <w:rsid w:val="1D046497"/>
    <w:rsid w:val="210B4FAD"/>
    <w:rsid w:val="229972C4"/>
    <w:rsid w:val="23767606"/>
    <w:rsid w:val="25142618"/>
    <w:rsid w:val="27846661"/>
    <w:rsid w:val="27F702BD"/>
    <w:rsid w:val="28265791"/>
    <w:rsid w:val="298059EF"/>
    <w:rsid w:val="2A9E5347"/>
    <w:rsid w:val="2C071743"/>
    <w:rsid w:val="2CC61703"/>
    <w:rsid w:val="3062405F"/>
    <w:rsid w:val="30BE12F8"/>
    <w:rsid w:val="30E402A4"/>
    <w:rsid w:val="31882DD7"/>
    <w:rsid w:val="319B502B"/>
    <w:rsid w:val="336B7118"/>
    <w:rsid w:val="33AD3E02"/>
    <w:rsid w:val="36422554"/>
    <w:rsid w:val="3669002B"/>
    <w:rsid w:val="369E49BD"/>
    <w:rsid w:val="373842EE"/>
    <w:rsid w:val="38EF471C"/>
    <w:rsid w:val="394A4F50"/>
    <w:rsid w:val="39876813"/>
    <w:rsid w:val="3A2B2D55"/>
    <w:rsid w:val="3FCB3A86"/>
    <w:rsid w:val="410F48B7"/>
    <w:rsid w:val="4259137A"/>
    <w:rsid w:val="43EB2294"/>
    <w:rsid w:val="45576D08"/>
    <w:rsid w:val="48503F2C"/>
    <w:rsid w:val="48B40BB9"/>
    <w:rsid w:val="494913E5"/>
    <w:rsid w:val="4A2F3EE7"/>
    <w:rsid w:val="4A720D17"/>
    <w:rsid w:val="4B753078"/>
    <w:rsid w:val="4D1B616E"/>
    <w:rsid w:val="4D83120E"/>
    <w:rsid w:val="4E1F4272"/>
    <w:rsid w:val="518D30B2"/>
    <w:rsid w:val="519E1D35"/>
    <w:rsid w:val="52DC0984"/>
    <w:rsid w:val="533F590D"/>
    <w:rsid w:val="53C109CA"/>
    <w:rsid w:val="5B463948"/>
    <w:rsid w:val="5D885E44"/>
    <w:rsid w:val="60445F31"/>
    <w:rsid w:val="60DA54D4"/>
    <w:rsid w:val="611D54CB"/>
    <w:rsid w:val="64A81EC4"/>
    <w:rsid w:val="64EF5E2E"/>
    <w:rsid w:val="66FB47E5"/>
    <w:rsid w:val="68A7547C"/>
    <w:rsid w:val="6C97076B"/>
    <w:rsid w:val="6CB74321"/>
    <w:rsid w:val="6DAB0C04"/>
    <w:rsid w:val="6E3E49E9"/>
    <w:rsid w:val="6E7476F1"/>
    <w:rsid w:val="722B1046"/>
    <w:rsid w:val="72B018DF"/>
    <w:rsid w:val="7692734C"/>
    <w:rsid w:val="76FE7ABA"/>
    <w:rsid w:val="77B21719"/>
    <w:rsid w:val="796D5ABD"/>
    <w:rsid w:val="79F66D27"/>
    <w:rsid w:val="7B1E4BE3"/>
    <w:rsid w:val="7C976AE2"/>
    <w:rsid w:val="7EFFA598"/>
    <w:rsid w:val="7F2E2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E058BC"/>
  <w15:docId w15:val="{96329685-58AC-4F5E-9C35-52492DBB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40" w:lineRule="exact"/>
      <w:ind w:firstLineChars="200" w:firstLine="640"/>
    </w:p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styleId="a9">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1042</Words>
  <Characters>5945</Characters>
  <Application>Microsoft Office Word</Application>
  <DocSecurity>0</DocSecurity>
  <Lines>49</Lines>
  <Paragraphs>13</Paragraphs>
  <ScaleCrop>false</ScaleCrop>
  <Company>Microsoft</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龙胜各族自治县人民政府</dc:title>
  <dc:creator>User</dc:creator>
  <cp:lastModifiedBy>PC</cp:lastModifiedBy>
  <cp:revision>4</cp:revision>
  <cp:lastPrinted>2023-02-20T03:05:00Z</cp:lastPrinted>
  <dcterms:created xsi:type="dcterms:W3CDTF">2021-01-22T15:53:00Z</dcterms:created>
  <dcterms:modified xsi:type="dcterms:W3CDTF">2023-12-20T09:01:00Z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452641428_btnclosed</vt:lpwstr>
  </property>
  <property fmtid="{D5CDD505-2E9C-101B-9397-08002B2CF9AE}" pid="3" name="KSOProductBuildVer">
    <vt:lpwstr>2052-12.1.0.15712</vt:lpwstr>
  </property>
  <property fmtid="{D5CDD505-2E9C-101B-9397-08002B2CF9AE}" pid="4" name="ICV">
    <vt:lpwstr>BDD9C2F827A74115BD02A4128057300A</vt:lpwstr>
  </property>
</Properties>
</file>