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b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短期农作物青苗类补偿费标准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（按种植面积补偿）</w:t>
      </w:r>
    </w:p>
    <w:tbl>
      <w:tblPr>
        <w:tblStyle w:val="9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74"/>
        <w:gridCol w:w="3723"/>
        <w:gridCol w:w="1980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名称</w:t>
            </w:r>
          </w:p>
        </w:tc>
        <w:tc>
          <w:tcPr>
            <w:tcW w:w="5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类别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补偿标准</w:t>
            </w:r>
          </w:p>
        </w:tc>
        <w:tc>
          <w:tcPr>
            <w:tcW w:w="10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粮食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作物</w:t>
            </w:r>
          </w:p>
        </w:tc>
        <w:tc>
          <w:tcPr>
            <w:tcW w:w="5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水稻、牧草（人工种植）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2536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元／亩</w:t>
            </w:r>
          </w:p>
        </w:tc>
        <w:tc>
          <w:tcPr>
            <w:tcW w:w="109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899" w:type="dxa"/>
            <w:vMerge w:val="continue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5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旱地杂粮（红薯、玉米、马铃薯、旱禾、芋头、高粱、木薯、凉薯、芭蕉芋等）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2000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元／亩</w:t>
            </w:r>
          </w:p>
        </w:tc>
        <w:tc>
          <w:tcPr>
            <w:tcW w:w="10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油科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作物</w:t>
            </w:r>
          </w:p>
        </w:tc>
        <w:tc>
          <w:tcPr>
            <w:tcW w:w="5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油菜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2000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元／亩</w:t>
            </w:r>
          </w:p>
        </w:tc>
        <w:tc>
          <w:tcPr>
            <w:tcW w:w="10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9" w:type="dxa"/>
            <w:vMerge w:val="continue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5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黄豆、花生、芝麻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2000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元／亩</w:t>
            </w:r>
          </w:p>
        </w:tc>
        <w:tc>
          <w:tcPr>
            <w:tcW w:w="10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蔬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类</w:t>
            </w:r>
          </w:p>
        </w:tc>
        <w:tc>
          <w:tcPr>
            <w:tcW w:w="5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白菜类、豆角类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2000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元／亩</w:t>
            </w:r>
          </w:p>
        </w:tc>
        <w:tc>
          <w:tcPr>
            <w:tcW w:w="10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5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丝瓜、茄子、西瓜等瓜类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2500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元／亩</w:t>
            </w:r>
          </w:p>
        </w:tc>
        <w:tc>
          <w:tcPr>
            <w:tcW w:w="10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899" w:type="dxa"/>
            <w:vMerge w:val="continue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西红柿、百合、辣椒、生姜</w:t>
            </w:r>
          </w:p>
        </w:tc>
        <w:tc>
          <w:tcPr>
            <w:tcW w:w="372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一、反季节嫁接栽培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3000-6000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亩</w:t>
            </w:r>
          </w:p>
        </w:tc>
        <w:tc>
          <w:tcPr>
            <w:tcW w:w="10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9" w:type="dxa"/>
            <w:vMerge w:val="continue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72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开花前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3000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亩</w:t>
            </w:r>
          </w:p>
        </w:tc>
        <w:tc>
          <w:tcPr>
            <w:tcW w:w="10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9" w:type="dxa"/>
            <w:vMerge w:val="continue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72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开始采摘后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6000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亩</w:t>
            </w:r>
          </w:p>
        </w:tc>
        <w:tc>
          <w:tcPr>
            <w:tcW w:w="10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899" w:type="dxa"/>
            <w:vMerge w:val="continue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72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二、早春常规栽培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3000-5000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元／亩</w:t>
            </w:r>
          </w:p>
        </w:tc>
        <w:tc>
          <w:tcPr>
            <w:tcW w:w="10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9" w:type="dxa"/>
            <w:vMerge w:val="continue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72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开花前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3000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元／亩</w:t>
            </w:r>
          </w:p>
        </w:tc>
        <w:tc>
          <w:tcPr>
            <w:tcW w:w="10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9" w:type="dxa"/>
            <w:vMerge w:val="continue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72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开始采摘后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5000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元／亩</w:t>
            </w:r>
          </w:p>
        </w:tc>
        <w:tc>
          <w:tcPr>
            <w:tcW w:w="10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99" w:type="dxa"/>
            <w:vMerge w:val="continue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淮山、莲藕、葛根</w:t>
            </w:r>
          </w:p>
        </w:tc>
        <w:tc>
          <w:tcPr>
            <w:tcW w:w="372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4000-6000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亩</w:t>
            </w:r>
          </w:p>
        </w:tc>
        <w:tc>
          <w:tcPr>
            <w:tcW w:w="10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FangSong_GB2312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spacing w:line="520" w:lineRule="exact"/>
        <w:rPr>
          <w:rFonts w:ascii="Times New Roman" w:hAnsi="Times New Roman"/>
          <w:sz w:val="32"/>
          <w:szCs w:val="32"/>
        </w:rPr>
      </w:pPr>
    </w:p>
    <w:p>
      <w:pPr>
        <w:spacing w:line="520" w:lineRule="exact"/>
        <w:rPr>
          <w:rFonts w:ascii="Times New Roman" w:hAnsi="Times New Roman"/>
          <w:sz w:val="32"/>
          <w:szCs w:val="32"/>
        </w:rPr>
      </w:pPr>
    </w:p>
    <w:p>
      <w:pPr>
        <w:spacing w:line="520" w:lineRule="exact"/>
        <w:rPr>
          <w:rFonts w:ascii="Times New Roman" w:hAnsi="Times New Roman"/>
          <w:sz w:val="32"/>
          <w:szCs w:val="32"/>
        </w:rPr>
      </w:pPr>
    </w:p>
    <w:p>
      <w:pPr>
        <w:spacing w:line="52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 xml:space="preserve">2   </w:t>
      </w:r>
    </w:p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林（苗）木类青苗补偿费标准（一）</w:t>
      </w:r>
    </w:p>
    <w:p>
      <w:pPr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（含砍伐费或苗木移栽费）</w:t>
      </w:r>
    </w:p>
    <w:p>
      <w:pPr>
        <w:spacing w:line="52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ascii="Times New Roman" w:hAnsi="Times New Roman" w:eastAsia="方正小标宋_GBK"/>
          <w:sz w:val="32"/>
          <w:szCs w:val="32"/>
        </w:rPr>
        <w:t>——</w:t>
      </w:r>
      <w:r>
        <w:rPr>
          <w:rFonts w:hint="eastAsia" w:ascii="Times New Roman" w:hAnsi="Times New Roman" w:eastAsia="方正小标宋_GBK"/>
          <w:sz w:val="32"/>
          <w:szCs w:val="32"/>
        </w:rPr>
        <w:t>按种植面积补偿</w:t>
      </w:r>
    </w:p>
    <w:tbl>
      <w:tblPr>
        <w:tblStyle w:val="9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2578"/>
        <w:gridCol w:w="30"/>
        <w:gridCol w:w="1541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名称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类别</w:t>
            </w:r>
          </w:p>
        </w:tc>
        <w:tc>
          <w:tcPr>
            <w:tcW w:w="154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补偿标准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（元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亩）</w:t>
            </w:r>
          </w:p>
        </w:tc>
        <w:tc>
          <w:tcPr>
            <w:tcW w:w="2407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9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用材林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（人工造林）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1-3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154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1500</w:t>
            </w:r>
          </w:p>
        </w:tc>
        <w:tc>
          <w:tcPr>
            <w:tcW w:w="2407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郁闭度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0.2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9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4-10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154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4000</w:t>
            </w:r>
          </w:p>
        </w:tc>
        <w:tc>
          <w:tcPr>
            <w:tcW w:w="2407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11-25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154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2600</w:t>
            </w:r>
          </w:p>
        </w:tc>
        <w:tc>
          <w:tcPr>
            <w:tcW w:w="240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9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26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年以上</w:t>
            </w:r>
          </w:p>
        </w:tc>
        <w:tc>
          <w:tcPr>
            <w:tcW w:w="154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1400</w:t>
            </w:r>
          </w:p>
        </w:tc>
        <w:tc>
          <w:tcPr>
            <w:tcW w:w="240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薪炭林、灌木林、用材林、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牧草（自然生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长）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郁闭度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0.2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以上</w:t>
            </w:r>
          </w:p>
        </w:tc>
        <w:tc>
          <w:tcPr>
            <w:tcW w:w="154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1000</w:t>
            </w:r>
          </w:p>
        </w:tc>
        <w:tc>
          <w:tcPr>
            <w:tcW w:w="240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防护林特殊用途林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4000</w:t>
            </w:r>
          </w:p>
        </w:tc>
        <w:tc>
          <w:tcPr>
            <w:tcW w:w="240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成片竹林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南竹、毛竹、摆竹</w:t>
            </w:r>
          </w:p>
        </w:tc>
        <w:tc>
          <w:tcPr>
            <w:tcW w:w="154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3500</w:t>
            </w:r>
          </w:p>
        </w:tc>
        <w:tc>
          <w:tcPr>
            <w:tcW w:w="2407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9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成片种植桂花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1cm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以下</w:t>
            </w:r>
          </w:p>
        </w:tc>
        <w:tc>
          <w:tcPr>
            <w:tcW w:w="154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4000</w:t>
            </w:r>
          </w:p>
        </w:tc>
        <w:tc>
          <w:tcPr>
            <w:tcW w:w="2407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合理密度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660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69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1-3cm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（含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3cm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）</w:t>
            </w:r>
          </w:p>
        </w:tc>
        <w:tc>
          <w:tcPr>
            <w:tcW w:w="154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3000</w:t>
            </w:r>
          </w:p>
        </w:tc>
        <w:tc>
          <w:tcPr>
            <w:tcW w:w="2407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合理密度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300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414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3cm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以上按单株补偿标准补偿</w:t>
            </w:r>
          </w:p>
        </w:tc>
        <w:tc>
          <w:tcPr>
            <w:tcW w:w="2407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苗圃</w:t>
            </w:r>
          </w:p>
        </w:tc>
        <w:tc>
          <w:tcPr>
            <w:tcW w:w="2578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幼苗期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5000</w:t>
            </w:r>
          </w:p>
        </w:tc>
        <w:tc>
          <w:tcPr>
            <w:tcW w:w="2407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按每亩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株计算，每缺少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株，核减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亩。每亩超过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株的，超过部分不增加补偿。该标准含移栽、场地租赁、和损耗等一切费用</w:t>
            </w:r>
          </w:p>
        </w:tc>
      </w:tr>
    </w:tbl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林（苗）木类青苗补偿费标准（二）</w:t>
      </w:r>
    </w:p>
    <w:p>
      <w:pPr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（含砍伐费或苗木移栽费）</w:t>
      </w:r>
    </w:p>
    <w:p>
      <w:pPr>
        <w:spacing w:line="52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ascii="Times New Roman" w:hAnsi="Times New Roman" w:eastAsia="方正小标宋_GBK"/>
          <w:sz w:val="32"/>
          <w:szCs w:val="32"/>
        </w:rPr>
        <w:t>——</w:t>
      </w:r>
      <w:r>
        <w:rPr>
          <w:rFonts w:hint="eastAsia" w:ascii="Times New Roman" w:hAnsi="Times New Roman" w:eastAsia="方正小标宋_GBK"/>
          <w:sz w:val="32"/>
          <w:szCs w:val="32"/>
        </w:rPr>
        <w:t>按种植面积补偿</w:t>
      </w:r>
    </w:p>
    <w:tbl>
      <w:tblPr>
        <w:tblStyle w:val="9"/>
        <w:tblpPr w:leftFromText="180" w:rightFromText="180" w:vertAnchor="text" w:horzAnchor="page" w:tblpX="1481" w:tblpY="9"/>
        <w:tblOverlap w:val="never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2606"/>
        <w:gridCol w:w="1541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2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名称</w:t>
            </w:r>
          </w:p>
        </w:tc>
        <w:tc>
          <w:tcPr>
            <w:tcW w:w="2606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类别</w:t>
            </w:r>
          </w:p>
        </w:tc>
        <w:tc>
          <w:tcPr>
            <w:tcW w:w="154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补偿标准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（元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亩）</w:t>
            </w:r>
          </w:p>
        </w:tc>
        <w:tc>
          <w:tcPr>
            <w:tcW w:w="230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2822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苗圃</w:t>
            </w:r>
          </w:p>
        </w:tc>
        <w:tc>
          <w:tcPr>
            <w:tcW w:w="2606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成长期</w:t>
            </w:r>
          </w:p>
        </w:tc>
        <w:tc>
          <w:tcPr>
            <w:tcW w:w="154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7000</w:t>
            </w:r>
          </w:p>
        </w:tc>
        <w:tc>
          <w:tcPr>
            <w:tcW w:w="2301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按每亩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600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株计算，每缺少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60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株，核减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700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亩。每亩超过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600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株的，超过部分不增加补偿。该标准含移栽、场地租赁、和损耗等一切费用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2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成型（熟）期</w:t>
            </w:r>
          </w:p>
        </w:tc>
        <w:tc>
          <w:tcPr>
            <w:tcW w:w="154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9000</w:t>
            </w:r>
          </w:p>
        </w:tc>
        <w:tc>
          <w:tcPr>
            <w:tcW w:w="230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按每亩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株计算，每缺少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株，核减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900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亩。每亩超过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株的，超过部分不增加补偿。该标准含移栽、场地租赁、和损耗等一切费用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2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成片人工造珍贵树种</w:t>
            </w:r>
          </w:p>
        </w:tc>
        <w:tc>
          <w:tcPr>
            <w:tcW w:w="2606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1-3cm(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含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3cm)</w:t>
            </w:r>
          </w:p>
        </w:tc>
        <w:tc>
          <w:tcPr>
            <w:tcW w:w="154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4000</w:t>
            </w:r>
          </w:p>
        </w:tc>
        <w:tc>
          <w:tcPr>
            <w:tcW w:w="230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合理密度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120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</w:t>
            </w:r>
          </w:p>
        </w:tc>
      </w:tr>
    </w:tbl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 xml:space="preserve">4     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果树移栽费或补偿标准（一）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（按种植面积补偿，单位：元</w:t>
      </w:r>
      <w:r>
        <w:rPr>
          <w:rFonts w:ascii="Times New Roman" w:hAnsi="Times New Roman" w:eastAsia="方正小标宋_GBK"/>
          <w:sz w:val="44"/>
          <w:szCs w:val="44"/>
        </w:rPr>
        <w:t xml:space="preserve"> /</w:t>
      </w:r>
      <w:r>
        <w:rPr>
          <w:rFonts w:hint="eastAsia" w:ascii="Times New Roman" w:hAnsi="Times New Roman" w:eastAsia="方正小标宋_GBK"/>
          <w:sz w:val="44"/>
          <w:szCs w:val="44"/>
        </w:rPr>
        <w:t>亩）</w:t>
      </w:r>
    </w:p>
    <w:tbl>
      <w:tblPr>
        <w:tblStyle w:val="9"/>
        <w:tblpPr w:leftFromText="180" w:rightFromText="180" w:vertAnchor="text" w:tblpX="-238" w:tblpY="1"/>
        <w:tblOverlap w:val="never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86"/>
        <w:gridCol w:w="832"/>
        <w:gridCol w:w="832"/>
        <w:gridCol w:w="832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5" w:type="dxa"/>
            <w:gridSpan w:val="2"/>
          </w:tcPr>
          <w:p>
            <w:pPr>
              <w:spacing w:line="386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青苗类别</w:t>
            </w:r>
          </w:p>
        </w:tc>
        <w:tc>
          <w:tcPr>
            <w:tcW w:w="794" w:type="dxa"/>
            <w:gridSpan w:val="3"/>
          </w:tcPr>
          <w:p>
            <w:pPr>
              <w:spacing w:line="386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补偿标准</w:t>
            </w:r>
          </w:p>
        </w:tc>
        <w:tc>
          <w:tcPr>
            <w:tcW w:w="1680" w:type="dxa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698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类别</w:t>
            </w: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规格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一类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二类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三类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每亩种植按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株计算。超过部分不再单独计算。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Merge w:val="restart"/>
            <w:vAlign w:val="center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沙田柚、柑桔类、橙类</w:t>
            </w: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2000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2800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2600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3600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3200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年，初挂果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4600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4200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4-5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年，丰产期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8000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7500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7000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Merge w:val="restart"/>
            <w:vAlign w:val="center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梨、枇杷、桃、李、杨梅、柿子、板栗、白果、桑葚等果树</w:t>
            </w: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2000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FangSong_GB2312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每亩种植按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60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株计算。超过部分不再单独计算。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2800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2600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3600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3200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年，初挂果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4600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4200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4-5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年，丰产期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8000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7500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7000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Merge w:val="restart"/>
            <w:vAlign w:val="center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葡萄、猕猴桃、黑老虎、</w:t>
            </w: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每亩种植按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60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株计算。超过部分不再单独计算。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1680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3-4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年，丰产期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680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Merge w:val="restart"/>
            <w:vAlign w:val="center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罗汉果、百香果</w:t>
            </w: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种植开花前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680" w:type="dxa"/>
            <w:vMerge w:val="restart"/>
          </w:tcPr>
          <w:p>
            <w:pPr>
              <w:widowControl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698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种植开花后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794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1680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Merge w:val="restart"/>
            <w:vAlign w:val="center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油茶树</w:t>
            </w: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未挂果</w:t>
            </w:r>
          </w:p>
        </w:tc>
        <w:tc>
          <w:tcPr>
            <w:tcW w:w="794" w:type="dxa"/>
            <w:gridSpan w:val="2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1000-2000</w:t>
            </w:r>
          </w:p>
        </w:tc>
        <w:tc>
          <w:tcPr>
            <w:tcW w:w="794" w:type="dxa"/>
            <w:vMerge w:val="restart"/>
            <w:vAlign w:val="center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>
            <w:pPr>
              <w:widowControl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每亩种植按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150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株计算。超过部分不再单独计算。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8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挂果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－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794" w:type="dxa"/>
            <w:gridSpan w:val="2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3000-4000</w:t>
            </w:r>
          </w:p>
        </w:tc>
        <w:tc>
          <w:tcPr>
            <w:tcW w:w="794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98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丰产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年以上</w:t>
            </w:r>
          </w:p>
        </w:tc>
        <w:tc>
          <w:tcPr>
            <w:tcW w:w="794" w:type="dxa"/>
            <w:gridSpan w:val="2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794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Merge w:val="restart"/>
            <w:vAlign w:val="center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毛桃</w:t>
            </w: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种植未满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794" w:type="dxa"/>
            <w:gridSpan w:val="2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794" w:type="dxa"/>
            <w:vMerge w:val="restart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>
            <w:pPr>
              <w:widowControl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每亩种植按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60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株计算。超过部分不再单独计算。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年以上未挂果</w:t>
            </w:r>
          </w:p>
        </w:tc>
        <w:tc>
          <w:tcPr>
            <w:tcW w:w="794" w:type="dxa"/>
            <w:gridSpan w:val="2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1000</w:t>
            </w:r>
          </w:p>
        </w:tc>
        <w:tc>
          <w:tcPr>
            <w:tcW w:w="794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98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挂果</w:t>
            </w:r>
          </w:p>
        </w:tc>
        <w:tc>
          <w:tcPr>
            <w:tcW w:w="794" w:type="dxa"/>
            <w:gridSpan w:val="2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2000</w:t>
            </w:r>
          </w:p>
        </w:tc>
        <w:tc>
          <w:tcPr>
            <w:tcW w:w="794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Align w:val="center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残、次果树</w:t>
            </w: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达到合理种植密度</w:t>
            </w:r>
          </w:p>
        </w:tc>
        <w:tc>
          <w:tcPr>
            <w:tcW w:w="794" w:type="dxa"/>
            <w:gridSpan w:val="3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1000-2000</w:t>
            </w:r>
          </w:p>
        </w:tc>
        <w:tc>
          <w:tcPr>
            <w:tcW w:w="1680" w:type="dxa"/>
          </w:tcPr>
          <w:p>
            <w:pPr>
              <w:widowControl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2698" w:type="dxa"/>
            <w:vMerge w:val="restart"/>
            <w:vAlign w:val="center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茱萸、花椒</w:t>
            </w:r>
          </w:p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未满一年</w:t>
            </w:r>
          </w:p>
        </w:tc>
        <w:tc>
          <w:tcPr>
            <w:tcW w:w="794" w:type="dxa"/>
            <w:gridSpan w:val="3"/>
          </w:tcPr>
          <w:p>
            <w:pPr>
              <w:widowControl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3000</w:t>
            </w:r>
          </w:p>
        </w:tc>
        <w:tc>
          <w:tcPr>
            <w:tcW w:w="1680" w:type="dxa"/>
            <w:vMerge w:val="restart"/>
          </w:tcPr>
          <w:p>
            <w:pPr>
              <w:widowControl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每亩种植按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株计算。超过部分不再单独计算。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Merge w:val="continue"/>
            <w:vAlign w:val="center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满一年，未满两年</w:t>
            </w:r>
          </w:p>
        </w:tc>
        <w:tc>
          <w:tcPr>
            <w:tcW w:w="794" w:type="dxa"/>
            <w:gridSpan w:val="3"/>
          </w:tcPr>
          <w:p>
            <w:pPr>
              <w:widowControl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3800-4000</w:t>
            </w:r>
          </w:p>
        </w:tc>
        <w:tc>
          <w:tcPr>
            <w:tcW w:w="1680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698" w:type="dxa"/>
            <w:vMerge w:val="continue"/>
            <w:vAlign w:val="center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57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3-4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年，丰产</w:t>
            </w:r>
          </w:p>
        </w:tc>
        <w:tc>
          <w:tcPr>
            <w:tcW w:w="794" w:type="dxa"/>
            <w:gridSpan w:val="3"/>
          </w:tcPr>
          <w:p>
            <w:pPr>
              <w:widowControl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9000</w:t>
            </w:r>
          </w:p>
        </w:tc>
        <w:tc>
          <w:tcPr>
            <w:tcW w:w="1680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</w:tbl>
    <w:p>
      <w:pPr>
        <w:spacing w:line="300" w:lineRule="exact"/>
        <w:rPr>
          <w:rFonts w:ascii="Times New Roman" w:hAnsi="Times New Roman" w:eastAsia="FangSong_GB2312"/>
          <w:sz w:val="24"/>
          <w:szCs w:val="24"/>
        </w:rPr>
      </w:pPr>
      <w:r>
        <w:rPr>
          <w:rFonts w:hint="eastAsia" w:ascii="Times New Roman" w:hAnsi="Times New Roman" w:eastAsia="FangSong_GB2312"/>
          <w:sz w:val="24"/>
          <w:szCs w:val="24"/>
        </w:rPr>
        <w:t>类别划分：</w:t>
      </w:r>
    </w:p>
    <w:p>
      <w:pPr>
        <w:spacing w:line="300" w:lineRule="exact"/>
        <w:rPr>
          <w:rFonts w:ascii="Times New Roman" w:hAnsi="Times New Roman" w:eastAsia="FangSong_GB2312"/>
          <w:sz w:val="24"/>
          <w:szCs w:val="24"/>
        </w:rPr>
      </w:pPr>
      <w:r>
        <w:rPr>
          <w:rFonts w:hint="eastAsia" w:ascii="Times New Roman" w:hAnsi="Times New Roman" w:eastAsia="FangSong_GB2312"/>
          <w:sz w:val="24"/>
          <w:szCs w:val="24"/>
        </w:rPr>
        <w:t>一类果园：有大棚、避雨设施的丰产果树；</w:t>
      </w:r>
    </w:p>
    <w:p>
      <w:pPr>
        <w:spacing w:line="300" w:lineRule="exact"/>
        <w:rPr>
          <w:rFonts w:ascii="Times New Roman" w:hAnsi="Times New Roman" w:eastAsia="FangSong_GB2312"/>
          <w:sz w:val="24"/>
          <w:szCs w:val="24"/>
        </w:rPr>
      </w:pPr>
      <w:r>
        <w:rPr>
          <w:rFonts w:hint="eastAsia" w:ascii="Times New Roman" w:hAnsi="Times New Roman" w:eastAsia="FangSong_GB2312"/>
          <w:sz w:val="24"/>
          <w:szCs w:val="24"/>
        </w:rPr>
        <w:t>二类果园：露地栽种的丰产期果树；</w:t>
      </w:r>
    </w:p>
    <w:p>
      <w:pPr>
        <w:spacing w:line="300" w:lineRule="exact"/>
        <w:rPr>
          <w:rFonts w:ascii="Times New Roman" w:hAnsi="Times New Roman" w:eastAsia="FangSong_GB2312"/>
          <w:sz w:val="24"/>
          <w:szCs w:val="24"/>
        </w:rPr>
      </w:pPr>
      <w:r>
        <w:rPr>
          <w:rFonts w:hint="eastAsia" w:ascii="Times New Roman" w:hAnsi="Times New Roman" w:eastAsia="FangSong_GB2312"/>
          <w:sz w:val="24"/>
          <w:szCs w:val="24"/>
        </w:rPr>
        <w:t>三类果园：初挂果、未挂果、残次老树。</w:t>
      </w:r>
    </w:p>
    <w:p>
      <w:pPr>
        <w:spacing w:line="360" w:lineRule="exact"/>
        <w:rPr>
          <w:rFonts w:ascii="Times New Roman" w:hAnsi="Times New Roman" w:eastAsia="FangSong_GB2312"/>
          <w:sz w:val="24"/>
          <w:szCs w:val="24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5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果树移栽费或补偿标准（二）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（按种植面积补偿，单位：元</w:t>
      </w:r>
      <w:r>
        <w:rPr>
          <w:rFonts w:ascii="Times New Roman" w:hAnsi="Times New Roman" w:eastAsia="方正小标宋_GBK"/>
          <w:sz w:val="44"/>
          <w:szCs w:val="44"/>
        </w:rPr>
        <w:t xml:space="preserve"> /</w:t>
      </w:r>
      <w:r>
        <w:rPr>
          <w:rFonts w:hint="eastAsia" w:ascii="Times New Roman" w:hAnsi="Times New Roman" w:eastAsia="方正小标宋_GBK"/>
          <w:sz w:val="44"/>
          <w:szCs w:val="44"/>
        </w:rPr>
        <w:t>亩）</w:t>
      </w:r>
    </w:p>
    <w:tbl>
      <w:tblPr>
        <w:tblStyle w:val="9"/>
        <w:tblpPr w:leftFromText="180" w:rightFromText="180" w:vertAnchor="text" w:tblpX="-238" w:tblpY="1"/>
        <w:tblOverlap w:val="never"/>
        <w:tblW w:w="9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2832"/>
        <w:gridCol w:w="942"/>
        <w:gridCol w:w="846"/>
        <w:gridCol w:w="126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5" w:type="dxa"/>
            <w:gridSpan w:val="2"/>
          </w:tcPr>
          <w:p>
            <w:pPr>
              <w:spacing w:line="386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青苗类别</w:t>
            </w:r>
          </w:p>
        </w:tc>
        <w:tc>
          <w:tcPr>
            <w:tcW w:w="3048" w:type="dxa"/>
            <w:gridSpan w:val="3"/>
          </w:tcPr>
          <w:p>
            <w:pPr>
              <w:spacing w:line="386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补偿标准</w:t>
            </w:r>
          </w:p>
        </w:tc>
        <w:tc>
          <w:tcPr>
            <w:tcW w:w="1500" w:type="dxa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23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类别</w:t>
            </w:r>
          </w:p>
        </w:tc>
        <w:tc>
          <w:tcPr>
            <w:tcW w:w="283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规格</w:t>
            </w:r>
          </w:p>
        </w:tc>
        <w:tc>
          <w:tcPr>
            <w:tcW w:w="94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一类</w:t>
            </w:r>
          </w:p>
        </w:tc>
        <w:tc>
          <w:tcPr>
            <w:tcW w:w="846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二类</w:t>
            </w:r>
          </w:p>
        </w:tc>
        <w:tc>
          <w:tcPr>
            <w:tcW w:w="126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三类</w:t>
            </w:r>
          </w:p>
        </w:tc>
        <w:tc>
          <w:tcPr>
            <w:tcW w:w="1500" w:type="dxa"/>
            <w:vMerge w:val="restart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Merge w:val="restart"/>
            <w:vAlign w:val="center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哈密瓜、香瓜、草莓</w:t>
            </w:r>
          </w:p>
        </w:tc>
        <w:tc>
          <w:tcPr>
            <w:tcW w:w="283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开花前</w:t>
            </w:r>
          </w:p>
        </w:tc>
        <w:tc>
          <w:tcPr>
            <w:tcW w:w="94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846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26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500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开花后</w:t>
            </w:r>
          </w:p>
        </w:tc>
        <w:tc>
          <w:tcPr>
            <w:tcW w:w="94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846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26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00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采摘后</w:t>
            </w:r>
          </w:p>
        </w:tc>
        <w:tc>
          <w:tcPr>
            <w:tcW w:w="94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846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126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1500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Merge w:val="restart"/>
            <w:vAlign w:val="center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茶叶</w:t>
            </w:r>
          </w:p>
        </w:tc>
        <w:tc>
          <w:tcPr>
            <w:tcW w:w="283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种植未满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94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46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26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500" w:type="dxa"/>
            <w:vMerge w:val="restart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每亩种植按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2000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株计算。超过部分不再单独计算。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94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846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26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500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94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846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126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1500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年，初挂果</w:t>
            </w:r>
          </w:p>
        </w:tc>
        <w:tc>
          <w:tcPr>
            <w:tcW w:w="94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846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126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1500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4-5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年，丰产期</w:t>
            </w:r>
          </w:p>
        </w:tc>
        <w:tc>
          <w:tcPr>
            <w:tcW w:w="94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846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126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500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Merge w:val="restart"/>
            <w:vAlign w:val="center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芭蕉树</w:t>
            </w:r>
          </w:p>
        </w:tc>
        <w:tc>
          <w:tcPr>
            <w:tcW w:w="283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未挂果</w:t>
            </w:r>
          </w:p>
        </w:tc>
        <w:tc>
          <w:tcPr>
            <w:tcW w:w="1788" w:type="dxa"/>
            <w:gridSpan w:val="2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1000-2000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23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挂果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－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788" w:type="dxa"/>
            <w:gridSpan w:val="2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3000-4000</w:t>
            </w:r>
          </w:p>
        </w:tc>
        <w:tc>
          <w:tcPr>
            <w:tcW w:w="1260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3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丰产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年以上</w:t>
            </w:r>
          </w:p>
        </w:tc>
        <w:tc>
          <w:tcPr>
            <w:tcW w:w="1788" w:type="dxa"/>
            <w:gridSpan w:val="2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260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Merge w:val="restart"/>
            <w:vAlign w:val="center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无花果、蓝莓</w:t>
            </w:r>
          </w:p>
        </w:tc>
        <w:tc>
          <w:tcPr>
            <w:tcW w:w="283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种植未满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94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846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26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00" w:type="dxa"/>
            <w:vMerge w:val="restart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94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846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126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1500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3-4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年，丰产期</w:t>
            </w:r>
          </w:p>
        </w:tc>
        <w:tc>
          <w:tcPr>
            <w:tcW w:w="942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46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26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500" w:type="dxa"/>
            <w:vMerge w:val="continue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386" w:lineRule="exact"/>
        <w:jc w:val="center"/>
        <w:rPr>
          <w:rFonts w:ascii="Times New Roman" w:hAnsi="Times New Roman" w:eastAsia="FangSong_GB2312"/>
          <w:color w:val="000000"/>
          <w:sz w:val="24"/>
          <w:szCs w:val="24"/>
        </w:rPr>
      </w:pPr>
    </w:p>
    <w:p>
      <w:pPr>
        <w:spacing w:line="360" w:lineRule="exact"/>
        <w:rPr>
          <w:rFonts w:ascii="Times New Roman" w:hAnsi="Times New Roman" w:eastAsia="FangSong_GB2312"/>
          <w:sz w:val="24"/>
          <w:szCs w:val="24"/>
        </w:rPr>
      </w:pPr>
      <w:r>
        <w:rPr>
          <w:rFonts w:hint="eastAsia" w:ascii="Times New Roman" w:hAnsi="Times New Roman" w:eastAsia="FangSong_GB2312"/>
          <w:sz w:val="24"/>
          <w:szCs w:val="24"/>
        </w:rPr>
        <w:t>类别划分：</w:t>
      </w:r>
    </w:p>
    <w:p>
      <w:pPr>
        <w:spacing w:line="360" w:lineRule="exact"/>
        <w:rPr>
          <w:rFonts w:ascii="Times New Roman" w:hAnsi="Times New Roman" w:eastAsia="FangSong_GB2312"/>
          <w:sz w:val="24"/>
          <w:szCs w:val="24"/>
        </w:rPr>
      </w:pPr>
      <w:r>
        <w:rPr>
          <w:rFonts w:hint="eastAsia" w:ascii="Times New Roman" w:hAnsi="Times New Roman" w:eastAsia="FangSong_GB2312"/>
          <w:sz w:val="24"/>
          <w:szCs w:val="24"/>
        </w:rPr>
        <w:t>一类果园：有大棚、避雨设施的丰产果树；</w:t>
      </w:r>
    </w:p>
    <w:p>
      <w:pPr>
        <w:spacing w:line="360" w:lineRule="exact"/>
        <w:rPr>
          <w:rFonts w:ascii="Times New Roman" w:hAnsi="Times New Roman" w:eastAsia="FangSong_GB2312"/>
          <w:sz w:val="24"/>
          <w:szCs w:val="24"/>
        </w:rPr>
      </w:pPr>
      <w:r>
        <w:rPr>
          <w:rFonts w:hint="eastAsia" w:ascii="Times New Roman" w:hAnsi="Times New Roman" w:eastAsia="FangSong_GB2312"/>
          <w:sz w:val="24"/>
          <w:szCs w:val="24"/>
        </w:rPr>
        <w:t>二类果园：露地栽种的丰产期果树；</w:t>
      </w:r>
    </w:p>
    <w:p>
      <w:pPr>
        <w:spacing w:line="3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FangSong_GB2312"/>
          <w:sz w:val="24"/>
          <w:szCs w:val="24"/>
        </w:rPr>
        <w:t>三类果园：初挂果、未挂果、残次老树。</w:t>
      </w:r>
    </w:p>
    <w:p>
      <w:pPr>
        <w:spacing w:line="3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 xml:space="preserve">6    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零星种植果树补偿标准（一）</w:t>
      </w:r>
    </w:p>
    <w:tbl>
      <w:tblPr>
        <w:tblStyle w:val="9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3417"/>
        <w:gridCol w:w="900"/>
        <w:gridCol w:w="900"/>
        <w:gridCol w:w="900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8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果树名称</w:t>
            </w:r>
          </w:p>
        </w:tc>
        <w:tc>
          <w:tcPr>
            <w:tcW w:w="34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类别</w:t>
            </w:r>
          </w:p>
        </w:tc>
        <w:tc>
          <w:tcPr>
            <w:tcW w:w="2700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补偿标准（元／株）</w:t>
            </w:r>
          </w:p>
        </w:tc>
        <w:tc>
          <w:tcPr>
            <w:tcW w:w="19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</w:p>
        </w:tc>
        <w:tc>
          <w:tcPr>
            <w:tcW w:w="3417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一类</w:t>
            </w:r>
          </w:p>
        </w:tc>
        <w:tc>
          <w:tcPr>
            <w:tcW w:w="90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二类</w:t>
            </w:r>
          </w:p>
        </w:tc>
        <w:tc>
          <w:tcPr>
            <w:tcW w:w="90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三类</w:t>
            </w:r>
          </w:p>
        </w:tc>
        <w:tc>
          <w:tcPr>
            <w:tcW w:w="193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猕猴桃、葡萄、黑老虎</w:t>
            </w: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每亩限株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株以下，超过限株的按实际面积计算。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3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3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年，初挂果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93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年，丰产期初年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93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年以上，丰产期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柑桔类（夏橙、温州柑、金桔、南丰金桔、马水桔、沃柑、默科特）、枣、黄皮果、</w:t>
            </w: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每亩限株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株以下，超过限株的按实际面积计算。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3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3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年，初挂果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3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年，丰产期初年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3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年以上，丰产期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3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梨、李、柿子、板栗、桑葚、沙田柚</w:t>
            </w: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每亩限株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株以下，超过限株的按实际面积计算。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3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3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年，初挂果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3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年，丰产期初年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3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年以上，丰产期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939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桃（优质桃）、杨梅、枇杷</w:t>
            </w: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每亩限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株以下，超过限株的按实际面积计算。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39" w:type="dxa"/>
            <w:vMerge w:val="continue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39" w:type="dxa"/>
            <w:vMerge w:val="continue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年，初挂果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39" w:type="dxa"/>
            <w:vMerge w:val="continue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年，丰产期初年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39" w:type="dxa"/>
            <w:vMerge w:val="continue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年以上，丰产期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00" w:type="dxa"/>
          </w:tcPr>
          <w:p>
            <w:pPr>
              <w:spacing w:line="386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939" w:type="dxa"/>
            <w:vMerge w:val="continue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FangSong_GB2312"/>
          <w:sz w:val="24"/>
          <w:szCs w:val="24"/>
        </w:rPr>
      </w:pPr>
      <w:r>
        <w:rPr>
          <w:rFonts w:hint="eastAsia" w:ascii="Times New Roman" w:hAnsi="Times New Roman" w:eastAsia="FangSong_GB2312"/>
          <w:sz w:val="24"/>
          <w:szCs w:val="24"/>
        </w:rPr>
        <w:t>类别划分：</w:t>
      </w:r>
    </w:p>
    <w:p>
      <w:pPr>
        <w:spacing w:line="360" w:lineRule="exact"/>
        <w:rPr>
          <w:rFonts w:ascii="Times New Roman" w:hAnsi="Times New Roman" w:eastAsia="FangSong_GB2312"/>
          <w:sz w:val="24"/>
          <w:szCs w:val="24"/>
        </w:rPr>
      </w:pPr>
      <w:r>
        <w:rPr>
          <w:rFonts w:hint="eastAsia" w:ascii="Times New Roman" w:hAnsi="Times New Roman" w:eastAsia="FangSong_GB2312"/>
          <w:sz w:val="24"/>
          <w:szCs w:val="24"/>
        </w:rPr>
        <w:t>一类果园：有大棚、避雨设施的丰产果树；</w:t>
      </w:r>
    </w:p>
    <w:p>
      <w:pPr>
        <w:spacing w:line="360" w:lineRule="exact"/>
        <w:rPr>
          <w:rFonts w:ascii="Times New Roman" w:hAnsi="Times New Roman" w:eastAsia="FangSong_GB2312"/>
          <w:sz w:val="24"/>
          <w:szCs w:val="24"/>
        </w:rPr>
      </w:pPr>
      <w:r>
        <w:rPr>
          <w:rFonts w:hint="eastAsia" w:ascii="Times New Roman" w:hAnsi="Times New Roman" w:eastAsia="FangSong_GB2312"/>
          <w:sz w:val="24"/>
          <w:szCs w:val="24"/>
        </w:rPr>
        <w:t>二类果园：露地栽种的丰产期果树；</w:t>
      </w:r>
    </w:p>
    <w:p>
      <w:pPr>
        <w:spacing w:line="3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FangSong_GB2312"/>
          <w:sz w:val="24"/>
          <w:szCs w:val="24"/>
        </w:rPr>
        <w:t>三类果园：初挂果、未挂果、残次老树。</w:t>
      </w:r>
    </w:p>
    <w:p>
      <w:pPr>
        <w:rPr>
          <w:rFonts w:ascii="Times New Roman" w:hAnsi="Times New Roman" w:eastAsia="FangSong_GB2312"/>
          <w:b/>
          <w:sz w:val="24"/>
          <w:szCs w:val="24"/>
        </w:rPr>
      </w:pPr>
    </w:p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7</w:t>
      </w:r>
    </w:p>
    <w:p>
      <w:pPr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零星种植果树补偿费标准（二）</w:t>
      </w:r>
    </w:p>
    <w:tbl>
      <w:tblPr>
        <w:tblStyle w:val="9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750"/>
        <w:gridCol w:w="941"/>
        <w:gridCol w:w="941"/>
        <w:gridCol w:w="941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b/>
                <w:sz w:val="28"/>
                <w:szCs w:val="28"/>
              </w:rPr>
              <w:t>果树、林木名称</w:t>
            </w:r>
          </w:p>
        </w:tc>
        <w:tc>
          <w:tcPr>
            <w:tcW w:w="248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b/>
                <w:sz w:val="28"/>
                <w:szCs w:val="28"/>
              </w:rPr>
              <w:t>类别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b/>
                <w:sz w:val="28"/>
                <w:szCs w:val="28"/>
              </w:rPr>
              <w:t>补偿标准（元／株）</w:t>
            </w:r>
          </w:p>
        </w:tc>
        <w:tc>
          <w:tcPr>
            <w:tcW w:w="246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43" w:type="dxa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一类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二类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三类</w:t>
            </w:r>
          </w:p>
        </w:tc>
        <w:tc>
          <w:tcPr>
            <w:tcW w:w="2460" w:type="dxa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白果</w:t>
            </w:r>
          </w:p>
        </w:tc>
        <w:tc>
          <w:tcPr>
            <w:tcW w:w="2488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25</w:t>
            </w:r>
          </w:p>
        </w:tc>
        <w:tc>
          <w:tcPr>
            <w:tcW w:w="2460" w:type="dxa"/>
            <w:vMerge w:val="restart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每亩限株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株以下，超过限株的按实际面积计</w:t>
            </w:r>
          </w:p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43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75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70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65</w:t>
            </w:r>
          </w:p>
        </w:tc>
        <w:tc>
          <w:tcPr>
            <w:tcW w:w="2460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43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80</w:t>
            </w:r>
          </w:p>
        </w:tc>
        <w:tc>
          <w:tcPr>
            <w:tcW w:w="2460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43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125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115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105</w:t>
            </w:r>
          </w:p>
        </w:tc>
        <w:tc>
          <w:tcPr>
            <w:tcW w:w="2460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43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挂果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1-3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160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140</w:t>
            </w:r>
          </w:p>
        </w:tc>
        <w:tc>
          <w:tcPr>
            <w:tcW w:w="2460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43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挂果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年以上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188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175</w:t>
            </w:r>
          </w:p>
        </w:tc>
        <w:tc>
          <w:tcPr>
            <w:tcW w:w="2460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油茶树</w:t>
            </w: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未挂果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10-15</w:t>
            </w:r>
          </w:p>
        </w:tc>
        <w:tc>
          <w:tcPr>
            <w:tcW w:w="2460" w:type="dxa"/>
            <w:vMerge w:val="restart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每亩限株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株以下，超过限株的按实际面积计算。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3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挂果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－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20-30</w:t>
            </w:r>
          </w:p>
        </w:tc>
        <w:tc>
          <w:tcPr>
            <w:tcW w:w="2460" w:type="dxa"/>
            <w:vMerge w:val="continue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3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丰产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年以上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46</w:t>
            </w:r>
          </w:p>
        </w:tc>
        <w:tc>
          <w:tcPr>
            <w:tcW w:w="2460" w:type="dxa"/>
            <w:vMerge w:val="continue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哈密瓜、香瓜</w:t>
            </w: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开花前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</w:p>
        </w:tc>
        <w:tc>
          <w:tcPr>
            <w:tcW w:w="2460" w:type="dxa"/>
            <w:vMerge w:val="restart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每亩限株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株以下，超过限株的按实际面积计算。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开始采摘后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</w:t>
            </w:r>
          </w:p>
        </w:tc>
        <w:tc>
          <w:tcPr>
            <w:tcW w:w="2460" w:type="dxa"/>
            <w:vMerge w:val="continue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茶叶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</w:p>
        </w:tc>
        <w:tc>
          <w:tcPr>
            <w:tcW w:w="2460" w:type="dxa"/>
            <w:vMerge w:val="restart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每亩限株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株以下，超过限株的按实际面积计算。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1.5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1.4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1.3</w:t>
            </w:r>
          </w:p>
        </w:tc>
        <w:tc>
          <w:tcPr>
            <w:tcW w:w="2460" w:type="dxa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1.8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1.6</w:t>
            </w:r>
          </w:p>
        </w:tc>
        <w:tc>
          <w:tcPr>
            <w:tcW w:w="2460" w:type="dxa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年，初挂果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2.3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2.1</w:t>
            </w:r>
          </w:p>
        </w:tc>
        <w:tc>
          <w:tcPr>
            <w:tcW w:w="2460" w:type="dxa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4-5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年，丰产期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3.7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3.5</w:t>
            </w:r>
          </w:p>
        </w:tc>
        <w:tc>
          <w:tcPr>
            <w:tcW w:w="2460" w:type="dxa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蓝莓、无花果</w:t>
            </w: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每亩限株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株以下，超过限株的按实际面积计算。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年，未满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36</w:t>
            </w:r>
          </w:p>
        </w:tc>
        <w:tc>
          <w:tcPr>
            <w:tcW w:w="2460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488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种植满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3-4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年，丰产期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80</w:t>
            </w:r>
          </w:p>
        </w:tc>
        <w:tc>
          <w:tcPr>
            <w:tcW w:w="2460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FangSong_GB2312"/>
          <w:sz w:val="24"/>
          <w:szCs w:val="24"/>
        </w:rPr>
      </w:pPr>
      <w:r>
        <w:rPr>
          <w:rFonts w:hint="eastAsia" w:ascii="Times New Roman" w:hAnsi="Times New Roman" w:eastAsia="FangSong_GB2312"/>
          <w:sz w:val="24"/>
          <w:szCs w:val="24"/>
        </w:rPr>
        <w:t>一类果园：有大棚、避雨设施的丰产果树；</w:t>
      </w:r>
    </w:p>
    <w:p>
      <w:pPr>
        <w:spacing w:line="520" w:lineRule="exact"/>
        <w:rPr>
          <w:rFonts w:ascii="Times New Roman" w:hAnsi="Times New Roman" w:eastAsia="FangSong_GB2312"/>
          <w:sz w:val="24"/>
          <w:szCs w:val="24"/>
        </w:rPr>
      </w:pPr>
      <w:r>
        <w:rPr>
          <w:rFonts w:hint="eastAsia" w:ascii="Times New Roman" w:hAnsi="Times New Roman" w:eastAsia="FangSong_GB2312"/>
          <w:sz w:val="24"/>
          <w:szCs w:val="24"/>
        </w:rPr>
        <w:t>二类果园：露地栽种的丰产期果树；</w:t>
      </w:r>
    </w:p>
    <w:p>
      <w:pPr>
        <w:spacing w:line="520" w:lineRule="exact"/>
        <w:rPr>
          <w:rFonts w:ascii="Times New Roman" w:hAnsi="Times New Roman" w:eastAsia="FangSong_GB2312"/>
          <w:sz w:val="24"/>
          <w:szCs w:val="24"/>
        </w:rPr>
      </w:pPr>
      <w:r>
        <w:rPr>
          <w:rFonts w:hint="eastAsia" w:ascii="Times New Roman" w:hAnsi="Times New Roman" w:eastAsia="FangSong_GB2312"/>
          <w:sz w:val="24"/>
          <w:szCs w:val="24"/>
        </w:rPr>
        <w:t>三类果园：初挂果、未挂果、残次老树。</w:t>
      </w:r>
    </w:p>
    <w:p>
      <w:pPr>
        <w:spacing w:line="520" w:lineRule="exact"/>
        <w:jc w:val="left"/>
        <w:rPr>
          <w:rFonts w:ascii="Times New Roman" w:hAnsi="Times New Roman" w:eastAsia="黑体"/>
          <w:b/>
          <w:sz w:val="44"/>
          <w:szCs w:val="28"/>
        </w:rPr>
      </w:pPr>
      <w:r>
        <w:rPr>
          <w:rFonts w:ascii="Times New Roman" w:hAnsi="Times New Roman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8</w:t>
      </w:r>
    </w:p>
    <w:p>
      <w:pPr>
        <w:spacing w:line="4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零星林（苗）木补偿费标准（一）</w:t>
      </w:r>
    </w:p>
    <w:tbl>
      <w:tblPr>
        <w:tblStyle w:val="9"/>
        <w:tblpPr w:leftFromText="180" w:rightFromText="180" w:vertAnchor="page" w:horzAnchor="margin" w:tblpX="47" w:tblpY="3091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610"/>
        <w:gridCol w:w="2121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35" w:type="dxa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林、苗木名称</w:t>
            </w:r>
          </w:p>
        </w:tc>
        <w:tc>
          <w:tcPr>
            <w:tcW w:w="26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类别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补偿标准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235" w:type="dxa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毛竹</w:t>
            </w:r>
          </w:p>
        </w:tc>
        <w:tc>
          <w:tcPr>
            <w:tcW w:w="47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以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Batang"/>
                <w:sz w:val="24"/>
                <w:szCs w:val="24"/>
              </w:rPr>
              <w:t>㎝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胸径标准补偿</w:t>
            </w:r>
          </w:p>
        </w:tc>
        <w:tc>
          <w:tcPr>
            <w:tcW w:w="19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23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其它竹子、芭蕉树</w:t>
            </w:r>
          </w:p>
        </w:tc>
        <w:tc>
          <w:tcPr>
            <w:tcW w:w="26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大丛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80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丛</w:t>
            </w:r>
          </w:p>
        </w:tc>
        <w:tc>
          <w:tcPr>
            <w:tcW w:w="197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2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中丛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丛</w:t>
            </w:r>
          </w:p>
        </w:tc>
        <w:tc>
          <w:tcPr>
            <w:tcW w:w="197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22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小丛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丛</w:t>
            </w:r>
          </w:p>
        </w:tc>
        <w:tc>
          <w:tcPr>
            <w:tcW w:w="197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23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杜仲、黄柏、厚朴、钩藤、八角</w:t>
            </w:r>
          </w:p>
        </w:tc>
        <w:tc>
          <w:tcPr>
            <w:tcW w:w="26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地径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－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5cm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</w:t>
            </w:r>
          </w:p>
        </w:tc>
        <w:tc>
          <w:tcPr>
            <w:tcW w:w="19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地径在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1cm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以下只补购苗费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2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地径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－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10cm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2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地径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10cm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以上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桂花树</w:t>
            </w:r>
          </w:p>
        </w:tc>
        <w:tc>
          <w:tcPr>
            <w:tcW w:w="26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1cm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以下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19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15cm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以上的以截面积相等换算株数。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1-2cm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3-6cm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20-30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7-10cm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40-100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11-15cm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110-250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3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紫薇、樟树、榕树、天竺桂、古茶树等绿化树风景树</w:t>
            </w:r>
          </w:p>
        </w:tc>
        <w:tc>
          <w:tcPr>
            <w:tcW w:w="26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1-2cm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19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15cm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以上的以截面积相等换算株数。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3-6cm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10-25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7-10cm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50-150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11-15cm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160-300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</w:tbl>
    <w:p>
      <w:pPr>
        <w:spacing w:line="360" w:lineRule="exact"/>
        <w:jc w:val="center"/>
        <w:rPr>
          <w:rFonts w:ascii="Times New Roman" w:hAnsi="Times New Roman" w:eastAsia="FangSong_GB2312"/>
          <w:sz w:val="24"/>
          <w:szCs w:val="24"/>
        </w:rPr>
      </w:pPr>
      <w:r>
        <w:rPr>
          <w:rFonts w:hint="eastAsia" w:ascii="Times New Roman" w:hAnsi="Times New Roman" w:eastAsia="FangSong_GB2312"/>
          <w:sz w:val="24"/>
          <w:szCs w:val="24"/>
        </w:rPr>
        <w:t>（含砍伐费或移栽费）</w:t>
      </w:r>
    </w:p>
    <w:p>
      <w:pPr>
        <w:spacing w:line="360" w:lineRule="exact"/>
        <w:jc w:val="center"/>
        <w:rPr>
          <w:rFonts w:ascii="Times New Roman" w:hAnsi="Times New Roman" w:eastAsia="FangSong_GB2312"/>
          <w:sz w:val="24"/>
          <w:szCs w:val="24"/>
        </w:rPr>
      </w:pPr>
    </w:p>
    <w:p>
      <w:pPr>
        <w:spacing w:line="360" w:lineRule="exact"/>
        <w:jc w:val="center"/>
        <w:rPr>
          <w:rFonts w:ascii="Times New Roman" w:hAnsi="Times New Roman" w:eastAsia="FangSong_GB2312"/>
          <w:sz w:val="24"/>
          <w:szCs w:val="24"/>
        </w:rPr>
      </w:pPr>
      <w:r>
        <w:rPr>
          <w:rFonts w:hint="eastAsia" w:ascii="Times New Roman" w:hAnsi="Times New Roman" w:eastAsia="FangSong_GB2312"/>
          <w:sz w:val="24"/>
          <w:szCs w:val="24"/>
        </w:rPr>
        <w:t>注：</w:t>
      </w:r>
      <w:r>
        <w:rPr>
          <w:rFonts w:ascii="Times New Roman" w:hAnsi="Times New Roman" w:eastAsia="FangSong_GB2312"/>
          <w:sz w:val="24"/>
          <w:szCs w:val="24"/>
        </w:rPr>
        <w:t>1.</w:t>
      </w:r>
      <w:r>
        <w:rPr>
          <w:rFonts w:hint="eastAsia" w:ascii="Times New Roman" w:hAnsi="Times New Roman" w:eastAsia="FangSong_GB2312"/>
          <w:sz w:val="24"/>
          <w:szCs w:val="24"/>
        </w:rPr>
        <w:t>按零星种植计算补偿的，种植密度不得超过每亩限株数量。如果种植密度超过每</w:t>
      </w:r>
    </w:p>
    <w:p>
      <w:pPr>
        <w:spacing w:line="360" w:lineRule="exact"/>
        <w:ind w:firstLine="720" w:firstLineChars="300"/>
        <w:rPr>
          <w:rFonts w:ascii="Times New Roman" w:hAnsi="Times New Roman" w:eastAsia="FangSong_GB2312"/>
          <w:sz w:val="24"/>
          <w:szCs w:val="24"/>
        </w:rPr>
      </w:pPr>
      <w:r>
        <w:rPr>
          <w:rFonts w:hint="eastAsia" w:ascii="Times New Roman" w:hAnsi="Times New Roman" w:eastAsia="FangSong_GB2312"/>
          <w:sz w:val="24"/>
          <w:szCs w:val="24"/>
        </w:rPr>
        <w:t>亩限株数量的，按种植面积（亩）计算补偿费。</w:t>
      </w:r>
    </w:p>
    <w:p>
      <w:pPr>
        <w:spacing w:line="360" w:lineRule="exact"/>
        <w:ind w:firstLine="480" w:firstLineChars="200"/>
        <w:rPr>
          <w:rFonts w:ascii="Times New Roman" w:hAnsi="Times New Roman" w:eastAsia="FangSong_GB2312"/>
          <w:sz w:val="24"/>
          <w:szCs w:val="24"/>
        </w:rPr>
      </w:pPr>
      <w:r>
        <w:rPr>
          <w:rFonts w:ascii="Times New Roman" w:hAnsi="Times New Roman" w:eastAsia="FangSong_GB2312"/>
          <w:sz w:val="24"/>
          <w:szCs w:val="24"/>
        </w:rPr>
        <w:t>2.</w:t>
      </w:r>
      <w:r>
        <w:rPr>
          <w:rFonts w:hint="eastAsia" w:ascii="Times New Roman" w:hAnsi="Times New Roman" w:eastAsia="FangSong_GB2312"/>
          <w:sz w:val="24"/>
          <w:szCs w:val="24"/>
        </w:rPr>
        <w:t>林木、苗木胸径测量方法：按离地面</w:t>
      </w:r>
      <w:r>
        <w:rPr>
          <w:rFonts w:ascii="Times New Roman" w:hAnsi="Times New Roman" w:eastAsia="FangSong_GB2312"/>
          <w:sz w:val="24"/>
          <w:szCs w:val="24"/>
        </w:rPr>
        <w:t>130cm</w:t>
      </w:r>
      <w:r>
        <w:rPr>
          <w:rFonts w:hint="eastAsia" w:ascii="Times New Roman" w:hAnsi="Times New Roman" w:eastAsia="FangSong_GB2312"/>
          <w:sz w:val="24"/>
          <w:szCs w:val="24"/>
        </w:rPr>
        <w:t>处测量。</w:t>
      </w:r>
    </w:p>
    <w:p>
      <w:pPr>
        <w:spacing w:line="360" w:lineRule="exact"/>
        <w:rPr>
          <w:rFonts w:ascii="Times New Roman" w:hAnsi="Times New Roman" w:eastAsia="黑体"/>
          <w:b/>
          <w:sz w:val="44"/>
          <w:szCs w:val="28"/>
        </w:rPr>
      </w:pPr>
      <w:r>
        <w:rPr>
          <w:rFonts w:ascii="Times New Roman" w:hAnsi="Times New Roman" w:eastAsia="FangSong_GB2312"/>
          <w:sz w:val="24"/>
          <w:szCs w:val="24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9</w:t>
      </w:r>
    </w:p>
    <w:tbl>
      <w:tblPr>
        <w:tblStyle w:val="9"/>
        <w:tblpPr w:leftFromText="180" w:rightFromText="180" w:vertAnchor="page" w:horzAnchor="margin" w:tblpX="47" w:tblpY="3091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284"/>
        <w:gridCol w:w="2322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34" w:type="dxa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林、苗木名称</w:t>
            </w: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类别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color w:val="000000"/>
                <w:sz w:val="24"/>
                <w:szCs w:val="24"/>
              </w:rPr>
              <w:t>补偿标准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楠木</w:t>
            </w: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1cm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以下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元／株</w:t>
            </w:r>
          </w:p>
        </w:tc>
        <w:tc>
          <w:tcPr>
            <w:tcW w:w="2101" w:type="dxa"/>
            <w:vMerge w:val="restart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15cm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以上的以截面积相等换算株数。</w:t>
            </w:r>
          </w:p>
          <w:p>
            <w:pPr>
              <w:spacing w:line="360" w:lineRule="exact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1-2cm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元／株</w:t>
            </w:r>
          </w:p>
        </w:tc>
        <w:tc>
          <w:tcPr>
            <w:tcW w:w="2101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3-6cm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20-30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元／株</w:t>
            </w:r>
          </w:p>
        </w:tc>
        <w:tc>
          <w:tcPr>
            <w:tcW w:w="2101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7-10cm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40-100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元／株</w:t>
            </w:r>
          </w:p>
        </w:tc>
        <w:tc>
          <w:tcPr>
            <w:tcW w:w="2101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11-15cm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110-250</w:t>
            </w:r>
            <w:r>
              <w:rPr>
                <w:rFonts w:hint="eastAsia" w:ascii="Times New Roman" w:hAnsi="Times New Roman" w:eastAsia="FangSong_GB2312"/>
                <w:color w:val="000000"/>
                <w:sz w:val="24"/>
                <w:szCs w:val="24"/>
              </w:rPr>
              <w:t>元／株</w:t>
            </w:r>
          </w:p>
        </w:tc>
        <w:tc>
          <w:tcPr>
            <w:tcW w:w="2101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2234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红豆杉、罗汉松</w:t>
            </w: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1cm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以下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2101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15cm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以上的以截面积相等换算株数。</w:t>
            </w:r>
          </w:p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2234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1-2cm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2101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4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3-6cm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10-25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2101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4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7-10cm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50-150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2101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4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11-15cm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160-300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2101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34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黄花倒水莲</w:t>
            </w: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地径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1cm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以下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</w:t>
            </w:r>
          </w:p>
        </w:tc>
        <w:tc>
          <w:tcPr>
            <w:tcW w:w="2101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每亩限株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34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地径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1cm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－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5cm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20-100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</w:t>
            </w:r>
          </w:p>
        </w:tc>
        <w:tc>
          <w:tcPr>
            <w:tcW w:w="2101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34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地径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6cm-10 cm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120-300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株</w:t>
            </w:r>
          </w:p>
        </w:tc>
        <w:tc>
          <w:tcPr>
            <w:tcW w:w="2101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34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杉木</w:t>
            </w: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～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5cm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－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2101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3cm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以下酌情补偿；胸径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60cm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以上按单株估价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234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～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10cm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－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2101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4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～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15cm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－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40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2101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234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16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～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20cm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－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70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2101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4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～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29cm</w:t>
            </w:r>
          </w:p>
        </w:tc>
        <w:tc>
          <w:tcPr>
            <w:tcW w:w="2322" w:type="dxa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80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－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2101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234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～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35cm</w:t>
            </w:r>
          </w:p>
        </w:tc>
        <w:tc>
          <w:tcPr>
            <w:tcW w:w="2322" w:type="dxa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215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－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305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2101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4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36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～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40cm</w:t>
            </w:r>
          </w:p>
        </w:tc>
        <w:tc>
          <w:tcPr>
            <w:tcW w:w="2322" w:type="dxa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330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－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2101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34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41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～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60cm</w:t>
            </w:r>
          </w:p>
        </w:tc>
        <w:tc>
          <w:tcPr>
            <w:tcW w:w="2322" w:type="dxa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550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－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1000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元／株</w:t>
            </w:r>
          </w:p>
        </w:tc>
        <w:tc>
          <w:tcPr>
            <w:tcW w:w="2101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234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胸径大于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60cm</w:t>
            </w:r>
          </w:p>
        </w:tc>
        <w:tc>
          <w:tcPr>
            <w:tcW w:w="2322" w:type="dxa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按单株估价</w:t>
            </w:r>
          </w:p>
        </w:tc>
        <w:tc>
          <w:tcPr>
            <w:tcW w:w="2101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松木</w:t>
            </w:r>
          </w:p>
        </w:tc>
        <w:tc>
          <w:tcPr>
            <w:tcW w:w="6707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按杉木的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70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％折算补偿</w:t>
            </w:r>
          </w:p>
        </w:tc>
      </w:tr>
    </w:tbl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零星林（苗）木补偿费标准（二）</w:t>
      </w: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（含砍伐费或移栽费）</w:t>
      </w:r>
    </w:p>
    <w:p>
      <w:pPr>
        <w:spacing w:line="360" w:lineRule="exact"/>
        <w:rPr>
          <w:rFonts w:ascii="Times New Roman" w:hAnsi="Times New Roman" w:eastAsia="FangSong_GB2312"/>
          <w:sz w:val="24"/>
          <w:szCs w:val="24"/>
        </w:rPr>
      </w:pPr>
    </w:p>
    <w:p>
      <w:pPr>
        <w:spacing w:line="360" w:lineRule="exact"/>
        <w:rPr>
          <w:rFonts w:ascii="Times New Roman" w:hAnsi="Times New Roman" w:eastAsia="FangSong_GB2312"/>
          <w:color w:val="000000"/>
          <w:sz w:val="24"/>
          <w:szCs w:val="24"/>
        </w:rPr>
      </w:pPr>
      <w:r>
        <w:rPr>
          <w:rFonts w:hint="eastAsia" w:ascii="Times New Roman" w:hAnsi="Times New Roman" w:eastAsia="FangSong_GB2312"/>
          <w:sz w:val="24"/>
          <w:szCs w:val="24"/>
        </w:rPr>
        <w:t>注：</w:t>
      </w:r>
      <w:r>
        <w:rPr>
          <w:rFonts w:ascii="Times New Roman" w:hAnsi="Times New Roman" w:eastAsia="FangSong_GB2312"/>
          <w:sz w:val="24"/>
          <w:szCs w:val="24"/>
        </w:rPr>
        <w:t>1.</w:t>
      </w:r>
      <w:r>
        <w:rPr>
          <w:rFonts w:hint="eastAsia" w:ascii="Times New Roman" w:hAnsi="Times New Roman" w:eastAsia="FangSong_GB2312"/>
          <w:sz w:val="24"/>
          <w:szCs w:val="24"/>
        </w:rPr>
        <w:t>按零星种植计算补偿的，种植密度不得超过每亩限株数量。如果种植密度超过每</w:t>
      </w:r>
      <w:r>
        <w:rPr>
          <w:rFonts w:hint="eastAsia" w:ascii="Times New Roman" w:hAnsi="Times New Roman" w:eastAsia="FangSong_GB2312"/>
          <w:color w:val="000000"/>
          <w:sz w:val="24"/>
          <w:szCs w:val="24"/>
        </w:rPr>
        <w:t>亩限株数量的，按种植面积（亩）计算补偿费。</w:t>
      </w:r>
    </w:p>
    <w:p>
      <w:pPr>
        <w:spacing w:line="360" w:lineRule="exact"/>
        <w:rPr>
          <w:rFonts w:ascii="Times New Roman" w:hAnsi="Times New Roman" w:eastAsia="FangSong_GB2312"/>
          <w:color w:val="000000"/>
          <w:sz w:val="24"/>
          <w:szCs w:val="24"/>
        </w:rPr>
      </w:pPr>
      <w:r>
        <w:rPr>
          <w:rFonts w:ascii="Times New Roman" w:hAnsi="Times New Roman" w:eastAsia="FangSong_GB2312"/>
          <w:color w:val="000000"/>
          <w:sz w:val="24"/>
          <w:szCs w:val="24"/>
        </w:rPr>
        <w:t>2.</w:t>
      </w:r>
      <w:r>
        <w:rPr>
          <w:rFonts w:hint="eastAsia" w:ascii="Times New Roman" w:hAnsi="Times New Roman" w:eastAsia="FangSong_GB2312"/>
          <w:color w:val="000000"/>
          <w:sz w:val="24"/>
          <w:szCs w:val="24"/>
        </w:rPr>
        <w:t>林木、苗木胸径测量方法：按离地面</w:t>
      </w:r>
      <w:r>
        <w:rPr>
          <w:rFonts w:ascii="Times New Roman" w:hAnsi="Times New Roman" w:eastAsia="FangSong_GB2312"/>
          <w:color w:val="000000"/>
          <w:sz w:val="24"/>
          <w:szCs w:val="24"/>
        </w:rPr>
        <w:t>130cm</w:t>
      </w:r>
      <w:r>
        <w:rPr>
          <w:rFonts w:hint="eastAsia" w:ascii="Times New Roman" w:hAnsi="Times New Roman" w:eastAsia="FangSong_GB2312"/>
          <w:color w:val="000000"/>
          <w:sz w:val="24"/>
          <w:szCs w:val="24"/>
        </w:rPr>
        <w:t>处测量。</w:t>
      </w:r>
    </w:p>
    <w:p>
      <w:pPr>
        <w:spacing w:line="52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10</w:t>
      </w:r>
    </w:p>
    <w:p>
      <w:pPr>
        <w:spacing w:line="52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方正小标宋_GBK"/>
          <w:sz w:val="44"/>
          <w:szCs w:val="28"/>
        </w:rPr>
      </w:pPr>
      <w:r>
        <w:rPr>
          <w:rFonts w:hint="eastAsia" w:ascii="Times New Roman" w:hAnsi="Times New Roman" w:eastAsia="方正小标宋_GBK"/>
          <w:sz w:val="44"/>
          <w:szCs w:val="28"/>
        </w:rPr>
        <w:t>房屋拆迁补偿费标准（一）</w:t>
      </w:r>
    </w:p>
    <w:tbl>
      <w:tblPr>
        <w:tblStyle w:val="9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445"/>
        <w:gridCol w:w="1517"/>
        <w:gridCol w:w="4214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99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类别</w:t>
            </w:r>
          </w:p>
        </w:tc>
        <w:tc>
          <w:tcPr>
            <w:tcW w:w="151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补偿标准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（元</w:t>
            </w:r>
            <w:r>
              <w:rPr>
                <w:rFonts w:ascii="Times New Roman" w:hAnsi="Times New Roman" w:eastAsia="FangSong_GB2312"/>
                <w:b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Batang"/>
                <w:b/>
                <w:sz w:val="24"/>
                <w:szCs w:val="24"/>
              </w:rPr>
              <w:t>㎡</w:t>
            </w: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）</w:t>
            </w:r>
          </w:p>
        </w:tc>
        <w:tc>
          <w:tcPr>
            <w:tcW w:w="421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主要条件说明</w:t>
            </w:r>
          </w:p>
        </w:tc>
        <w:tc>
          <w:tcPr>
            <w:tcW w:w="117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砖混结构</w:t>
            </w:r>
          </w:p>
        </w:tc>
        <w:tc>
          <w:tcPr>
            <w:tcW w:w="144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砖混一等</w:t>
            </w:r>
          </w:p>
        </w:tc>
        <w:tc>
          <w:tcPr>
            <w:tcW w:w="151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1100</w:t>
            </w:r>
          </w:p>
        </w:tc>
        <w:tc>
          <w:tcPr>
            <w:tcW w:w="4214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钢筋混凝土带形基础，铝合金门窗，较好内外墙抹灰（瓷砖），瓷砖（水磨石）地面，水电卫齐全等。</w:t>
            </w:r>
          </w:p>
        </w:tc>
        <w:tc>
          <w:tcPr>
            <w:tcW w:w="1171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或按评估价补偿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砖混二等</w:t>
            </w:r>
          </w:p>
        </w:tc>
        <w:tc>
          <w:tcPr>
            <w:tcW w:w="151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1000</w:t>
            </w:r>
          </w:p>
        </w:tc>
        <w:tc>
          <w:tcPr>
            <w:tcW w:w="4214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钢筋混凝土（浆砌基石）带形基础，较好木门窗，中级内外墙抹灰，钢砼楼地面，水电卫齐全等。</w:t>
            </w:r>
          </w:p>
        </w:tc>
        <w:tc>
          <w:tcPr>
            <w:tcW w:w="1171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或按评估价补偿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5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砖木结构</w:t>
            </w:r>
          </w:p>
        </w:tc>
        <w:tc>
          <w:tcPr>
            <w:tcW w:w="144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砖木一等</w:t>
            </w:r>
          </w:p>
        </w:tc>
        <w:tc>
          <w:tcPr>
            <w:tcW w:w="151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750</w:t>
            </w:r>
          </w:p>
        </w:tc>
        <w:tc>
          <w:tcPr>
            <w:tcW w:w="4214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浆砌带形基石基础，内外砖墙，较好木楼枕木企口楼板，小青瓦屋面，铝合金窗木门板，内外抹灰较好、水电卫齐全。</w:t>
            </w:r>
          </w:p>
        </w:tc>
        <w:tc>
          <w:tcPr>
            <w:tcW w:w="1171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或按评估价补偿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砖木二等</w:t>
            </w:r>
          </w:p>
        </w:tc>
        <w:tc>
          <w:tcPr>
            <w:tcW w:w="151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650</w:t>
            </w:r>
          </w:p>
        </w:tc>
        <w:tc>
          <w:tcPr>
            <w:tcW w:w="4214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浆砌带形基础，内外砖墙，一般木楼枕木地板。一般内外抹灰，水泥瓦等屋面，设有卫生间，水电齐备。</w:t>
            </w:r>
          </w:p>
        </w:tc>
        <w:tc>
          <w:tcPr>
            <w:tcW w:w="1171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或按评估价补偿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99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木结构精装修</w:t>
            </w:r>
          </w:p>
        </w:tc>
        <w:tc>
          <w:tcPr>
            <w:tcW w:w="151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1000</w:t>
            </w:r>
          </w:p>
        </w:tc>
        <w:tc>
          <w:tcPr>
            <w:tcW w:w="4214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17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或按评估价补偿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9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一般木结构</w:t>
            </w:r>
          </w:p>
        </w:tc>
        <w:tc>
          <w:tcPr>
            <w:tcW w:w="151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600</w:t>
            </w:r>
          </w:p>
        </w:tc>
        <w:tc>
          <w:tcPr>
            <w:tcW w:w="421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99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泥墙瓦面</w:t>
            </w:r>
          </w:p>
        </w:tc>
        <w:tc>
          <w:tcPr>
            <w:tcW w:w="151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250</w:t>
            </w:r>
          </w:p>
        </w:tc>
        <w:tc>
          <w:tcPr>
            <w:tcW w:w="4214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99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泥墙草面</w:t>
            </w:r>
          </w:p>
        </w:tc>
        <w:tc>
          <w:tcPr>
            <w:tcW w:w="151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150</w:t>
            </w:r>
          </w:p>
        </w:tc>
        <w:tc>
          <w:tcPr>
            <w:tcW w:w="4214" w:type="dxa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171" w:type="dxa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</w:tbl>
    <w:p>
      <w:pPr>
        <w:spacing w:line="52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11</w:t>
      </w:r>
    </w:p>
    <w:p>
      <w:pPr>
        <w:spacing w:line="52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方正小标宋_GBK"/>
          <w:sz w:val="44"/>
          <w:szCs w:val="28"/>
        </w:rPr>
      </w:pPr>
      <w:r>
        <w:rPr>
          <w:rFonts w:hint="eastAsia" w:ascii="Times New Roman" w:hAnsi="Times New Roman" w:eastAsia="方正小标宋_GBK"/>
          <w:sz w:val="44"/>
          <w:szCs w:val="28"/>
        </w:rPr>
        <w:t>房屋拆迁补偿费标准（二）</w:t>
      </w:r>
    </w:p>
    <w:tbl>
      <w:tblPr>
        <w:tblStyle w:val="9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245"/>
        <w:gridCol w:w="1050"/>
        <w:gridCol w:w="4803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77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类别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补偿标准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（元</w:t>
            </w:r>
            <w:r>
              <w:rPr>
                <w:rFonts w:ascii="Times New Roman" w:hAnsi="Times New Roman" w:eastAsia="FangSong_GB2312"/>
                <w:b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Batang"/>
                <w:b/>
                <w:sz w:val="24"/>
                <w:szCs w:val="24"/>
              </w:rPr>
              <w:t>㎡</w:t>
            </w: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）</w:t>
            </w:r>
          </w:p>
        </w:tc>
        <w:tc>
          <w:tcPr>
            <w:tcW w:w="480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主要条件说明</w:t>
            </w:r>
          </w:p>
        </w:tc>
        <w:tc>
          <w:tcPr>
            <w:tcW w:w="116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52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框架结构</w:t>
            </w:r>
          </w:p>
        </w:tc>
        <w:tc>
          <w:tcPr>
            <w:tcW w:w="124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框架一等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1300</w:t>
            </w:r>
          </w:p>
        </w:tc>
        <w:tc>
          <w:tcPr>
            <w:tcW w:w="4803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钢筋混凝土带形基础，铝合金门窗，较好内外墙抹灰（瓷砖），瓷砖（水磨石）地面，水电卫齐全等。</w:t>
            </w:r>
          </w:p>
        </w:tc>
        <w:tc>
          <w:tcPr>
            <w:tcW w:w="1164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或按评估价补偿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框架二等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1200</w:t>
            </w:r>
          </w:p>
        </w:tc>
        <w:tc>
          <w:tcPr>
            <w:tcW w:w="4803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钢筋混凝土（浆砌基石）带形基础，较好木门窗，中级内外墙抹灰，钢砼楼地面，水电卫齐全等。</w:t>
            </w:r>
          </w:p>
        </w:tc>
        <w:tc>
          <w:tcPr>
            <w:tcW w:w="1164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或按评估价补偿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72" w:type="dxa"/>
            <w:gridSpan w:val="2"/>
            <w:vMerge w:val="restart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加工厂棚（高度</w:t>
            </w:r>
            <w:r>
              <w:rPr>
                <w:rFonts w:ascii="Times New Roman" w:hAnsi="Times New Roman"/>
                <w:sz w:val="32"/>
                <w:szCs w:val="32"/>
              </w:rPr>
              <w:t>5.6-9</w:t>
            </w:r>
            <w:r>
              <w:rPr>
                <w:rFonts w:hint="eastAsia" w:ascii="Times New Roman" w:hAnsi="Times New Roman"/>
                <w:sz w:val="32"/>
                <w:szCs w:val="32"/>
              </w:rPr>
              <w:t>米）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280</w:t>
            </w:r>
          </w:p>
        </w:tc>
        <w:tc>
          <w:tcPr>
            <w:tcW w:w="4803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钢管支架盖彩瓦，四周有围护，有用地手续。</w:t>
            </w:r>
          </w:p>
        </w:tc>
        <w:tc>
          <w:tcPr>
            <w:tcW w:w="1164" w:type="dxa"/>
            <w:vMerge w:val="restart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772" w:type="dxa"/>
            <w:gridSpan w:val="2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180</w:t>
            </w:r>
          </w:p>
        </w:tc>
        <w:tc>
          <w:tcPr>
            <w:tcW w:w="4803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钢管支架盖彩瓦，四周有围护，无用地手续。</w:t>
            </w:r>
          </w:p>
        </w:tc>
        <w:tc>
          <w:tcPr>
            <w:tcW w:w="1164" w:type="dxa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72" w:type="dxa"/>
            <w:gridSpan w:val="2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200</w:t>
            </w:r>
          </w:p>
        </w:tc>
        <w:tc>
          <w:tcPr>
            <w:tcW w:w="4803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钢管支架盖彩瓦，四周无围护，有用地手续。</w:t>
            </w:r>
          </w:p>
        </w:tc>
        <w:tc>
          <w:tcPr>
            <w:tcW w:w="1164" w:type="dxa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72" w:type="dxa"/>
            <w:gridSpan w:val="2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130</w:t>
            </w:r>
          </w:p>
        </w:tc>
        <w:tc>
          <w:tcPr>
            <w:tcW w:w="4803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钢管支架盖彩瓦，四周无围护，无用地手续。</w:t>
            </w:r>
          </w:p>
        </w:tc>
        <w:tc>
          <w:tcPr>
            <w:tcW w:w="1164" w:type="dxa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72" w:type="dxa"/>
            <w:gridSpan w:val="2"/>
            <w:vMerge w:val="restart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加工厂棚（高度</w:t>
            </w:r>
            <w:r>
              <w:rPr>
                <w:rFonts w:ascii="Times New Roman" w:hAnsi="Times New Roman"/>
                <w:sz w:val="32"/>
                <w:szCs w:val="32"/>
              </w:rPr>
              <w:t>4.6-5.5</w:t>
            </w:r>
            <w:r>
              <w:rPr>
                <w:rFonts w:hint="eastAsia" w:ascii="Times New Roman" w:hAnsi="Times New Roman"/>
                <w:sz w:val="32"/>
                <w:szCs w:val="32"/>
              </w:rPr>
              <w:t>米）</w:t>
            </w:r>
          </w:p>
        </w:tc>
        <w:tc>
          <w:tcPr>
            <w:tcW w:w="1050" w:type="dxa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180</w:t>
            </w:r>
          </w:p>
        </w:tc>
        <w:tc>
          <w:tcPr>
            <w:tcW w:w="4803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钢管支架盖彩瓦，四周有围护，有用地手续。</w:t>
            </w:r>
          </w:p>
        </w:tc>
        <w:tc>
          <w:tcPr>
            <w:tcW w:w="1164" w:type="dxa"/>
            <w:vMerge w:val="restart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772" w:type="dxa"/>
            <w:gridSpan w:val="2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120</w:t>
            </w:r>
          </w:p>
        </w:tc>
        <w:tc>
          <w:tcPr>
            <w:tcW w:w="4803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钢管支架盖彩瓦，四周有围护，无用地手续。</w:t>
            </w:r>
          </w:p>
        </w:tc>
        <w:tc>
          <w:tcPr>
            <w:tcW w:w="1164" w:type="dxa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772" w:type="dxa"/>
            <w:gridSpan w:val="2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130</w:t>
            </w:r>
          </w:p>
        </w:tc>
        <w:tc>
          <w:tcPr>
            <w:tcW w:w="4803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钢管支架盖彩瓦，四周无围护，有用地手续。</w:t>
            </w:r>
          </w:p>
        </w:tc>
        <w:tc>
          <w:tcPr>
            <w:tcW w:w="1164" w:type="dxa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72" w:type="dxa"/>
            <w:gridSpan w:val="2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100</w:t>
            </w:r>
          </w:p>
        </w:tc>
        <w:tc>
          <w:tcPr>
            <w:tcW w:w="4803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钢管支架盖彩瓦，四周无围护，无用地手续。</w:t>
            </w:r>
          </w:p>
        </w:tc>
        <w:tc>
          <w:tcPr>
            <w:tcW w:w="1164" w:type="dxa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772" w:type="dxa"/>
            <w:gridSpan w:val="2"/>
            <w:vMerge w:val="restart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加工厂棚（高度</w:t>
            </w:r>
            <w:r>
              <w:rPr>
                <w:rFonts w:ascii="Times New Roman" w:hAnsi="Times New Roman"/>
                <w:sz w:val="32"/>
                <w:szCs w:val="32"/>
              </w:rPr>
              <w:t>4.5</w:t>
            </w:r>
            <w:r>
              <w:rPr>
                <w:rFonts w:hint="eastAsia" w:ascii="Times New Roman" w:hAnsi="Times New Roman"/>
                <w:sz w:val="32"/>
                <w:szCs w:val="32"/>
              </w:rPr>
              <w:t>米以下）</w:t>
            </w:r>
          </w:p>
        </w:tc>
        <w:tc>
          <w:tcPr>
            <w:tcW w:w="1050" w:type="dxa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160</w:t>
            </w:r>
          </w:p>
        </w:tc>
        <w:tc>
          <w:tcPr>
            <w:tcW w:w="4803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钢管支架盖彩瓦，四周有围护，有用地手续。</w:t>
            </w:r>
          </w:p>
        </w:tc>
        <w:tc>
          <w:tcPr>
            <w:tcW w:w="1164" w:type="dxa"/>
            <w:vMerge w:val="restart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772" w:type="dxa"/>
            <w:gridSpan w:val="2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100</w:t>
            </w:r>
          </w:p>
        </w:tc>
        <w:tc>
          <w:tcPr>
            <w:tcW w:w="4803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钢管支架盖彩瓦，四周有围护，无用地手续。</w:t>
            </w:r>
          </w:p>
        </w:tc>
        <w:tc>
          <w:tcPr>
            <w:tcW w:w="1164" w:type="dxa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772" w:type="dxa"/>
            <w:gridSpan w:val="2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110</w:t>
            </w:r>
          </w:p>
        </w:tc>
        <w:tc>
          <w:tcPr>
            <w:tcW w:w="4803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钢管支架盖彩瓦，四周无围护，有用地手续。</w:t>
            </w:r>
          </w:p>
        </w:tc>
        <w:tc>
          <w:tcPr>
            <w:tcW w:w="1164" w:type="dxa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72" w:type="dxa"/>
            <w:gridSpan w:val="2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80</w:t>
            </w:r>
          </w:p>
        </w:tc>
        <w:tc>
          <w:tcPr>
            <w:tcW w:w="4803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钢管支架盖彩瓦，四周无围护，无用地手续。</w:t>
            </w:r>
          </w:p>
        </w:tc>
        <w:tc>
          <w:tcPr>
            <w:tcW w:w="1164" w:type="dxa"/>
            <w:vMerge w:val="continue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Times New Roman" w:hAnsi="Times New Roman"/>
          <w:sz w:val="32"/>
          <w:szCs w:val="32"/>
        </w:rPr>
      </w:pPr>
    </w:p>
    <w:p>
      <w:pPr>
        <w:spacing w:line="520" w:lineRule="exact"/>
        <w:rPr>
          <w:rFonts w:ascii="Times New Roman" w:hAnsi="Times New Roman"/>
          <w:sz w:val="32"/>
          <w:szCs w:val="32"/>
        </w:rPr>
      </w:pPr>
    </w:p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12</w:t>
      </w:r>
    </w:p>
    <w:p>
      <w:pPr>
        <w:spacing w:line="440" w:lineRule="exact"/>
        <w:jc w:val="center"/>
        <w:rPr>
          <w:rFonts w:ascii="Times New Roman" w:hAnsi="Times New Roman" w:eastAsia="方正小标宋_GBK"/>
          <w:spacing w:val="-20"/>
          <w:sz w:val="44"/>
          <w:szCs w:val="28"/>
        </w:rPr>
      </w:pPr>
      <w:r>
        <w:rPr>
          <w:rFonts w:hint="eastAsia" w:ascii="Times New Roman" w:hAnsi="Times New Roman" w:eastAsia="方正小标宋_GBK"/>
          <w:spacing w:val="-20"/>
          <w:sz w:val="44"/>
          <w:szCs w:val="28"/>
        </w:rPr>
        <w:t>地上（下）附着物拆迁补偿费标准（一）</w:t>
      </w:r>
    </w:p>
    <w:tbl>
      <w:tblPr>
        <w:tblStyle w:val="9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5"/>
        <w:gridCol w:w="1155"/>
        <w:gridCol w:w="1365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类别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单位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补偿标准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一、其他建（构）筑物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、木结构牛、猪栏，瓦屋面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Batang"/>
                <w:sz w:val="24"/>
                <w:szCs w:val="24"/>
              </w:rPr>
              <w:t>㎡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150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、木结构牛、猪栏，盖木皮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Batang"/>
                <w:sz w:val="24"/>
                <w:szCs w:val="24"/>
              </w:rPr>
              <w:t>㎡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、其他简易棚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Batang"/>
                <w:sz w:val="24"/>
                <w:szCs w:val="24"/>
              </w:rPr>
              <w:t>㎡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80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二、砖窑、瓦窑、沼气池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、瓦窑、砖窑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/m</w:t>
            </w:r>
            <w:r>
              <w:rPr>
                <w:rFonts w:ascii="Times New Roman" w:hAnsi="Times New Roman" w:eastAsia="FangSong_GB231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400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废弃窑不予补偿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、沼气池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/m3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500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、化粪池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/m³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三、晒谷坪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FangSong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</w:t>
            </w:r>
            <w:bookmarkStart w:id="0" w:name="_GoBack"/>
            <w:bookmarkEnd w:id="0"/>
            <w:r>
              <w:rPr>
                <w:rFonts w:hint="eastAsia" w:ascii="Times New Roman" w:hAnsi="Times New Roman" w:eastAsia="FangSong_GB2312"/>
                <w:sz w:val="24"/>
                <w:szCs w:val="24"/>
                <w:lang w:eastAsia="zh-CN"/>
              </w:rPr>
              <w:t>混凝土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㎡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、三合土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㎡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四、坟墓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、砖围砌有碑坟（含拜台及抹灰）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座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5000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年内新坟另加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2000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、无砖砌有碑坟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座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4000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年内新坟另加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2000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、无碑坟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座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3500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、特殊类坟墓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座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参照评估价补偿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五、围墙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、红砖（一八墙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)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㎡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100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、红砖（二四墙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)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㎡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140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、水泥砖墙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㎡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80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、泥墙、泥砖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Batang"/>
                <w:sz w:val="24"/>
                <w:szCs w:val="24"/>
              </w:rPr>
              <w:t>㎡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六、其他设施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、其他水泥地面硬化</w:t>
            </w:r>
          </w:p>
        </w:tc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㎡</w:t>
            </w:r>
          </w:p>
        </w:tc>
        <w:tc>
          <w:tcPr>
            <w:tcW w:w="136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、干砌毛石围墙</w:t>
            </w:r>
          </w:p>
        </w:tc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/m³</w:t>
            </w:r>
          </w:p>
        </w:tc>
        <w:tc>
          <w:tcPr>
            <w:tcW w:w="136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160-180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、浆砌毛石围墙、浆砌片石挡墙</w:t>
            </w:r>
          </w:p>
        </w:tc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/m³</w:t>
            </w:r>
          </w:p>
        </w:tc>
        <w:tc>
          <w:tcPr>
            <w:tcW w:w="136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220-350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4、鹅卵石砌墙（干砌）</w:t>
            </w:r>
          </w:p>
        </w:tc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/m³</w:t>
            </w:r>
          </w:p>
        </w:tc>
        <w:tc>
          <w:tcPr>
            <w:tcW w:w="136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60-80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5、鹅卵石砌墙（浆砌）</w:t>
            </w:r>
          </w:p>
        </w:tc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/m³</w:t>
            </w:r>
          </w:p>
        </w:tc>
        <w:tc>
          <w:tcPr>
            <w:tcW w:w="136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120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6、水井</w:t>
            </w:r>
          </w:p>
        </w:tc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眼</w:t>
            </w:r>
          </w:p>
        </w:tc>
        <w:tc>
          <w:tcPr>
            <w:tcW w:w="136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1700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7、砖砌水池（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200m3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以下）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/m³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400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8、水泥桩（包含铁丝网）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根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41</w:t>
            </w:r>
          </w:p>
        </w:tc>
        <w:tc>
          <w:tcPr>
            <w:tcW w:w="316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罗汉果、百香果等棚</w:t>
            </w:r>
          </w:p>
        </w:tc>
      </w:tr>
    </w:tbl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13</w:t>
      </w:r>
    </w:p>
    <w:tbl>
      <w:tblPr>
        <w:tblStyle w:val="9"/>
        <w:tblpPr w:leftFromText="180" w:rightFromText="180" w:vertAnchor="text" w:horzAnchor="page" w:tblpX="1410" w:tblpY="915"/>
        <w:tblOverlap w:val="never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8"/>
        <w:gridCol w:w="2100"/>
        <w:gridCol w:w="2415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类别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单位</w:t>
            </w: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补偿标准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1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9、木、竹桩（包含铁丝网）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根</w:t>
            </w: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30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罗汉果、百香果等棚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91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10、特色农业保温棚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㎡</w:t>
            </w: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150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高度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≥3.5m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，有混凝土基础，立杆直径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≥40mm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，大棚内有横杆、斜撑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1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1、挖机台班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小时</w:t>
            </w: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200-300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修路、挖屋场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bCs/>
                <w:sz w:val="24"/>
                <w:szCs w:val="24"/>
              </w:rPr>
              <w:t>七、混凝土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、素混凝土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/m³</w:t>
            </w: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400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、混凝土（双模）水下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/m³</w:t>
            </w: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800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、毛石混凝土（单模）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/m³</w:t>
            </w: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490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C20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钢筋混凝土楼板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/m³</w:t>
            </w: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600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、双筋混凝土梁板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/m³</w:t>
            </w: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1200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bCs/>
                <w:sz w:val="24"/>
                <w:szCs w:val="24"/>
              </w:rPr>
              <w:t>八、鱼塘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18" w:type="dxa"/>
            <w:vMerge w:val="restart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鱼塘（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）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培养鱼种一类塘</w:t>
            </w: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2000-2500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亩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水深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米以上，鱼塘三面光，鱼具齐全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1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培养鱼种二类塘</w:t>
            </w: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1500-2000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亩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水深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0.6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米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米，鱼塘三面光，鱼具齐全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1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培养鱼种三类塘</w:t>
            </w: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800-1500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亩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条件低于二类塘的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18" w:type="dxa"/>
            <w:vMerge w:val="restart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鱼塘（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）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成鱼养殖（常规品种）一类塘</w:t>
            </w: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1800-2500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亩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水深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米以上，鱼塘三面光，鱼具齐全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1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成鱼养殖（常规品种）二类塘</w:t>
            </w: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1200-1800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亩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水深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1.5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米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-2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米，鱼塘三面光，鱼具齐全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1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成鱼养殖（常规品种）三类塘</w:t>
            </w: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800-1200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亩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水深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米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-1.5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1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成鱼养殖（常规品种）四类塘</w:t>
            </w: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500-800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亩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条件低于三类塘的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18" w:type="dxa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鱼塘（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）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起鱼后的鱼塘</w:t>
            </w: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按其剩余数量，视其情况酌情补偿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</w:tbl>
    <w:p>
      <w:pPr>
        <w:spacing w:line="440" w:lineRule="exact"/>
        <w:jc w:val="center"/>
        <w:rPr>
          <w:rFonts w:ascii="Times New Roman" w:hAnsi="Times New Roman" w:eastAsia="方正小标宋_GBK"/>
          <w:spacing w:val="-20"/>
          <w:sz w:val="44"/>
          <w:szCs w:val="28"/>
        </w:rPr>
      </w:pPr>
      <w:r>
        <w:rPr>
          <w:rFonts w:hint="eastAsia" w:ascii="Times New Roman" w:hAnsi="Times New Roman" w:eastAsia="方正小标宋_GBK"/>
          <w:spacing w:val="-20"/>
          <w:sz w:val="44"/>
          <w:szCs w:val="28"/>
        </w:rPr>
        <w:t>地上（下）附着物拆迁补偿费标准（二）</w:t>
      </w:r>
    </w:p>
    <w:p>
      <w:pPr>
        <w:rPr>
          <w:rFonts w:ascii="Times New Roman" w:hAnsi="Times New Roman"/>
        </w:rPr>
      </w:pPr>
    </w:p>
    <w:p>
      <w:pPr>
        <w:tabs>
          <w:tab w:val="left" w:pos="2110"/>
        </w:tabs>
        <w:spacing w:line="2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14</w:t>
      </w:r>
      <w:r>
        <w:rPr>
          <w:rFonts w:ascii="Times New Roman" w:hAnsi="Times New Roman" w:eastAsia="黑体"/>
          <w:sz w:val="32"/>
          <w:szCs w:val="32"/>
        </w:rPr>
        <w:tab/>
      </w:r>
    </w:p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</w:rPr>
        <w:t>电力、电信（广电）设施拆迁</w:t>
      </w:r>
      <w:r>
        <w:rPr>
          <w:rFonts w:hint="eastAsia" w:ascii="Times New Roman" w:hAnsi="Times New Roman" w:eastAsia="方正小标宋_GBK"/>
          <w:sz w:val="44"/>
          <w:szCs w:val="44"/>
        </w:rPr>
        <w:t>补偿费标准</w:t>
      </w:r>
    </w:p>
    <w:tbl>
      <w:tblPr>
        <w:tblStyle w:val="9"/>
        <w:tblpPr w:leftFromText="180" w:rightFromText="180" w:vertAnchor="page" w:horzAnchor="margin" w:tblpY="3021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1"/>
        <w:gridCol w:w="1497"/>
        <w:gridCol w:w="2114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43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类别</w:t>
            </w:r>
          </w:p>
        </w:tc>
        <w:tc>
          <w:tcPr>
            <w:tcW w:w="149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单位</w:t>
            </w:r>
          </w:p>
        </w:tc>
        <w:tc>
          <w:tcPr>
            <w:tcW w:w="211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补偿标准</w:t>
            </w:r>
          </w:p>
        </w:tc>
        <w:tc>
          <w:tcPr>
            <w:tcW w:w="171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431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一、电力设施</w:t>
            </w:r>
          </w:p>
        </w:tc>
        <w:tc>
          <w:tcPr>
            <w:tcW w:w="1497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431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1.220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伏送配线路</w:t>
            </w:r>
          </w:p>
        </w:tc>
        <w:tc>
          <w:tcPr>
            <w:tcW w:w="1497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/Km</w:t>
            </w:r>
          </w:p>
        </w:tc>
        <w:tc>
          <w:tcPr>
            <w:tcW w:w="211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预算评估经财政评审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431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2.380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伏送配线路</w:t>
            </w:r>
          </w:p>
        </w:tc>
        <w:tc>
          <w:tcPr>
            <w:tcW w:w="1497" w:type="dxa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/Km</w:t>
            </w:r>
          </w:p>
        </w:tc>
        <w:tc>
          <w:tcPr>
            <w:tcW w:w="2114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31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3.1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万伏送配线路</w:t>
            </w:r>
          </w:p>
        </w:tc>
        <w:tc>
          <w:tcPr>
            <w:tcW w:w="1497" w:type="dxa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/Km</w:t>
            </w:r>
          </w:p>
        </w:tc>
        <w:tc>
          <w:tcPr>
            <w:tcW w:w="2114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431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迁移变压器</w:t>
            </w:r>
          </w:p>
        </w:tc>
        <w:tc>
          <w:tcPr>
            <w:tcW w:w="1497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/KVA</w:t>
            </w:r>
          </w:p>
        </w:tc>
        <w:tc>
          <w:tcPr>
            <w:tcW w:w="211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431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电表</w:t>
            </w:r>
          </w:p>
        </w:tc>
        <w:tc>
          <w:tcPr>
            <w:tcW w:w="149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按实际安装费用</w:t>
            </w: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431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/>
                <w:sz w:val="24"/>
                <w:szCs w:val="24"/>
              </w:rPr>
              <w:t>二、电信（广电）设施</w:t>
            </w:r>
          </w:p>
        </w:tc>
        <w:tc>
          <w:tcPr>
            <w:tcW w:w="149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431" w:type="dxa"/>
            <w:vAlign w:val="center"/>
          </w:tcPr>
          <w:p>
            <w:pPr>
              <w:spacing w:line="520" w:lineRule="exact"/>
              <w:outlineLvl w:val="0"/>
              <w:rPr>
                <w:rFonts w:ascii="Times New Roman" w:hAnsi="Times New Roman" w:eastAsia="FangSong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</w:rPr>
              <w:t>．市内电缆工程</w:t>
            </w:r>
          </w:p>
        </w:tc>
        <w:tc>
          <w:tcPr>
            <w:tcW w:w="1497" w:type="dxa"/>
            <w:vAlign w:val="center"/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FangSong_GB2312"/>
                <w:bCs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FangSong_GB2312"/>
                <w:bCs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431" w:type="dxa"/>
            <w:vAlign w:val="center"/>
          </w:tcPr>
          <w:p>
            <w:pPr>
              <w:spacing w:line="520" w:lineRule="exact"/>
              <w:outlineLvl w:val="0"/>
              <w:rPr>
                <w:rFonts w:ascii="Times New Roman" w:hAnsi="Times New Roman" w:eastAsia="FangSong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FangSong_GB2312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</w:rPr>
              <w:t>）架空</w:t>
            </w:r>
            <w:r>
              <w:rPr>
                <w:rFonts w:ascii="Times New Roman" w:hAnsi="Times New Roman" w:eastAsia="FangSong_GB2312"/>
                <w:bCs/>
                <w:sz w:val="24"/>
                <w:szCs w:val="24"/>
              </w:rPr>
              <w:t>100</w:t>
            </w: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</w:rPr>
              <w:t>对</w:t>
            </w:r>
          </w:p>
        </w:tc>
        <w:tc>
          <w:tcPr>
            <w:tcW w:w="1497" w:type="dxa"/>
            <w:vAlign w:val="center"/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FangSong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</w:rPr>
              <w:t>万元</w:t>
            </w:r>
            <w:r>
              <w:rPr>
                <w:rFonts w:ascii="Times New Roman" w:hAnsi="Times New Roman" w:eastAsia="FangSong_GB2312"/>
                <w:bCs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</w:rPr>
              <w:t>公里</w:t>
            </w:r>
          </w:p>
        </w:tc>
        <w:tc>
          <w:tcPr>
            <w:tcW w:w="2114" w:type="dxa"/>
            <w:vAlign w:val="center"/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FangSong_GB2312"/>
                <w:bCs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预算评估经财政评审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31" w:type="dxa"/>
            <w:vAlign w:val="center"/>
          </w:tcPr>
          <w:p>
            <w:pPr>
              <w:spacing w:line="520" w:lineRule="exact"/>
              <w:outlineLvl w:val="0"/>
              <w:rPr>
                <w:rFonts w:ascii="Times New Roman" w:hAnsi="Times New Roman" w:eastAsia="FangSong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FangSong_GB2312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</w:rPr>
              <w:t>）管道</w:t>
            </w:r>
            <w:r>
              <w:rPr>
                <w:rFonts w:ascii="Times New Roman" w:hAnsi="Times New Roman" w:eastAsia="FangSong_GB2312"/>
                <w:bCs/>
                <w:sz w:val="24"/>
                <w:szCs w:val="24"/>
              </w:rPr>
              <w:t>200</w:t>
            </w: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</w:rPr>
              <w:t>对</w:t>
            </w:r>
          </w:p>
        </w:tc>
        <w:tc>
          <w:tcPr>
            <w:tcW w:w="1497" w:type="dxa"/>
            <w:vAlign w:val="center"/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FangSong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</w:rPr>
              <w:t>万元</w:t>
            </w:r>
            <w:r>
              <w:rPr>
                <w:rFonts w:ascii="Times New Roman" w:hAnsi="Times New Roman" w:eastAsia="FangSong_GB2312"/>
                <w:bCs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</w:rPr>
              <w:t>公里</w:t>
            </w:r>
          </w:p>
        </w:tc>
        <w:tc>
          <w:tcPr>
            <w:tcW w:w="2114" w:type="dxa"/>
            <w:vAlign w:val="center"/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FangSong_GB2312"/>
                <w:bCs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31" w:type="dxa"/>
            <w:vAlign w:val="center"/>
          </w:tcPr>
          <w:p>
            <w:pPr>
              <w:spacing w:line="520" w:lineRule="exact"/>
              <w:outlineLvl w:val="0"/>
              <w:rPr>
                <w:rFonts w:ascii="Times New Roman" w:hAnsi="Times New Roman" w:eastAsia="FangSong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FangSong_GB2312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</w:rPr>
              <w:t>）有线电视同轴电缆线路</w:t>
            </w:r>
          </w:p>
        </w:tc>
        <w:tc>
          <w:tcPr>
            <w:tcW w:w="1497" w:type="dxa"/>
            <w:vAlign w:val="center"/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FangSong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</w:rPr>
              <w:t>万元</w:t>
            </w:r>
            <w:r>
              <w:rPr>
                <w:rFonts w:ascii="Times New Roman" w:hAnsi="Times New Roman" w:eastAsia="FangSong_GB2312"/>
                <w:bCs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/>
                <w:bCs/>
                <w:sz w:val="24"/>
                <w:szCs w:val="24"/>
              </w:rPr>
              <w:t>公里</w:t>
            </w:r>
          </w:p>
        </w:tc>
        <w:tc>
          <w:tcPr>
            <w:tcW w:w="2114" w:type="dxa"/>
            <w:vAlign w:val="center"/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FangSong_GB2312"/>
                <w:bCs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431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光缆线路</w:t>
            </w:r>
          </w:p>
        </w:tc>
        <w:tc>
          <w:tcPr>
            <w:tcW w:w="1497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431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①架空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芯</w:t>
            </w:r>
          </w:p>
        </w:tc>
        <w:tc>
          <w:tcPr>
            <w:tcW w:w="1497" w:type="dxa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/Km</w:t>
            </w:r>
          </w:p>
        </w:tc>
        <w:tc>
          <w:tcPr>
            <w:tcW w:w="211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预算评估经财政评审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31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②直埋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24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芯</w:t>
            </w:r>
          </w:p>
        </w:tc>
        <w:tc>
          <w:tcPr>
            <w:tcW w:w="1497" w:type="dxa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/Km</w:t>
            </w:r>
          </w:p>
        </w:tc>
        <w:tc>
          <w:tcPr>
            <w:tcW w:w="211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31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③有线电视同轴电缆线路</w:t>
            </w:r>
          </w:p>
        </w:tc>
        <w:tc>
          <w:tcPr>
            <w:tcW w:w="1497" w:type="dxa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FangSong_GB2312"/>
                <w:sz w:val="24"/>
                <w:szCs w:val="24"/>
              </w:rPr>
              <w:t>/Km</w:t>
            </w:r>
          </w:p>
        </w:tc>
        <w:tc>
          <w:tcPr>
            <w:tcW w:w="211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31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ascii="Times New Roman" w:hAnsi="Times New Roman" w:eastAsia="FangSong_GB2312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有线电视</w:t>
            </w:r>
          </w:p>
        </w:tc>
        <w:tc>
          <w:tcPr>
            <w:tcW w:w="149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按实际安装费用</w:t>
            </w:r>
          </w:p>
        </w:tc>
        <w:tc>
          <w:tcPr>
            <w:tcW w:w="171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FangSong_GB231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  <w:szCs w:val="24"/>
              </w:rPr>
              <w:t>预算评估经财政评审</w:t>
            </w:r>
          </w:p>
        </w:tc>
      </w:tr>
    </w:tbl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15</w:t>
      </w:r>
    </w:p>
    <w:p>
      <w:pPr>
        <w:spacing w:line="520" w:lineRule="exact"/>
        <w:rPr>
          <w:rFonts w:ascii="Times New Roman" w:hAnsi="Times New Roman"/>
          <w:sz w:val="44"/>
          <w:szCs w:val="44"/>
        </w:rPr>
      </w:pPr>
    </w:p>
    <w:p>
      <w:pPr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木结构房屋面积计算规则</w:t>
      </w:r>
    </w:p>
    <w:p>
      <w:pPr>
        <w:spacing w:line="586" w:lineRule="exact"/>
        <w:rPr>
          <w:rFonts w:ascii="Times New Roman" w:hAnsi="Times New Roman"/>
          <w:sz w:val="32"/>
          <w:szCs w:val="32"/>
        </w:rPr>
      </w:pPr>
    </w:p>
    <w:p>
      <w:pPr>
        <w:spacing w:line="586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一、第一层面积计算办法</w:t>
      </w:r>
    </w:p>
    <w:p>
      <w:pPr>
        <w:spacing w:line="586" w:lineRule="exact"/>
        <w:ind w:firstLine="640" w:firstLineChars="200"/>
        <w:rPr>
          <w:rFonts w:ascii="Times New Roman" w:hAnsi="Times New Roman" w:eastAsia="FangSong_GB2312"/>
          <w:sz w:val="32"/>
          <w:szCs w:val="32"/>
        </w:rPr>
      </w:pPr>
      <w:r>
        <w:rPr>
          <w:rFonts w:hint="eastAsia" w:ascii="Times New Roman" w:hAnsi="Times New Roman" w:eastAsia="FangSong_GB2312"/>
          <w:sz w:val="32"/>
          <w:szCs w:val="32"/>
        </w:rPr>
        <w:t>（一）简易木板夹围的，按实际面积的</w:t>
      </w:r>
      <w:r>
        <w:rPr>
          <w:rFonts w:ascii="Times New Roman" w:hAnsi="Times New Roman" w:eastAsia="FangSong_GB2312"/>
          <w:sz w:val="32"/>
          <w:szCs w:val="32"/>
        </w:rPr>
        <w:t>50%</w:t>
      </w:r>
      <w:r>
        <w:rPr>
          <w:rFonts w:hint="eastAsia" w:ascii="Times New Roman" w:hAnsi="Times New Roman" w:eastAsia="FangSong_GB2312"/>
          <w:sz w:val="32"/>
          <w:szCs w:val="32"/>
        </w:rPr>
        <w:t>计算；</w:t>
      </w:r>
    </w:p>
    <w:p>
      <w:pPr>
        <w:spacing w:line="586" w:lineRule="exact"/>
        <w:ind w:firstLine="640" w:firstLineChars="200"/>
        <w:rPr>
          <w:rFonts w:ascii="Times New Roman" w:hAnsi="Times New Roman" w:eastAsia="FangSong_GB2312"/>
          <w:sz w:val="32"/>
          <w:szCs w:val="32"/>
        </w:rPr>
      </w:pPr>
      <w:r>
        <w:rPr>
          <w:rFonts w:hint="eastAsia" w:ascii="Times New Roman" w:hAnsi="Times New Roman" w:eastAsia="FangSong_GB2312"/>
          <w:sz w:val="32"/>
          <w:szCs w:val="32"/>
        </w:rPr>
        <w:t>（二）只用砖砌或木板围装四方的，按实际面积的</w:t>
      </w:r>
      <w:r>
        <w:rPr>
          <w:rFonts w:ascii="Times New Roman" w:hAnsi="Times New Roman" w:eastAsia="FangSong_GB2312"/>
          <w:sz w:val="32"/>
          <w:szCs w:val="32"/>
        </w:rPr>
        <w:t>60%</w:t>
      </w:r>
      <w:r>
        <w:rPr>
          <w:rFonts w:hint="eastAsia" w:ascii="Times New Roman" w:hAnsi="Times New Roman" w:eastAsia="FangSong_GB2312"/>
          <w:sz w:val="32"/>
          <w:szCs w:val="32"/>
        </w:rPr>
        <w:t>计算；</w:t>
      </w:r>
    </w:p>
    <w:p>
      <w:pPr>
        <w:widowControl/>
        <w:shd w:val="clear" w:color="auto" w:fill="FFFFFF"/>
        <w:spacing w:line="586" w:lineRule="exact"/>
        <w:ind w:firstLine="640" w:firstLineChars="200"/>
        <w:rPr>
          <w:rFonts w:ascii="Times New Roman" w:hAnsi="Times New Roman" w:eastAsia="FangSong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FangSong_GB2312"/>
          <w:sz w:val="32"/>
          <w:szCs w:val="32"/>
        </w:rPr>
        <w:t>（三）</w:t>
      </w:r>
      <w:r>
        <w:rPr>
          <w:rFonts w:hint="eastAsia" w:ascii="Times New Roman" w:hAnsi="Times New Roman" w:eastAsia="FangSong_GB2312"/>
          <w:color w:val="000000"/>
          <w:kern w:val="0"/>
          <w:sz w:val="32"/>
          <w:szCs w:val="32"/>
        </w:rPr>
        <w:t>四周用木板和砖块牢固围装，地面全部水泥硬化并分隔成单间使用的，按实际面积的</w:t>
      </w:r>
      <w:r>
        <w:rPr>
          <w:rFonts w:ascii="Times New Roman" w:hAnsi="Times New Roman" w:eastAsia="FangSong_GB2312"/>
          <w:color w:val="000000"/>
          <w:kern w:val="0"/>
          <w:sz w:val="32"/>
          <w:szCs w:val="32"/>
        </w:rPr>
        <w:t>80%</w:t>
      </w:r>
      <w:r>
        <w:rPr>
          <w:rFonts w:hint="eastAsia" w:ascii="Times New Roman" w:hAnsi="Times New Roman" w:eastAsia="FangSong_GB2312"/>
          <w:color w:val="000000"/>
          <w:kern w:val="0"/>
          <w:sz w:val="32"/>
          <w:szCs w:val="32"/>
        </w:rPr>
        <w:t>计算。</w:t>
      </w:r>
    </w:p>
    <w:p>
      <w:pPr>
        <w:spacing w:line="586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二、第二层面积计算办法</w:t>
      </w:r>
    </w:p>
    <w:p>
      <w:pPr>
        <w:spacing w:line="586" w:lineRule="exact"/>
        <w:ind w:firstLine="640" w:firstLineChars="200"/>
        <w:jc w:val="left"/>
        <w:rPr>
          <w:rFonts w:ascii="Times New Roman" w:hAnsi="Times New Roman" w:eastAsia="FangSong_GB2312"/>
          <w:sz w:val="32"/>
          <w:szCs w:val="32"/>
        </w:rPr>
      </w:pPr>
      <w:r>
        <w:rPr>
          <w:rFonts w:hint="eastAsia" w:ascii="Times New Roman" w:hAnsi="Times New Roman" w:eastAsia="FangSong_GB2312"/>
          <w:sz w:val="32"/>
          <w:szCs w:val="32"/>
        </w:rPr>
        <w:t>按实际面积计算。</w:t>
      </w:r>
    </w:p>
    <w:p>
      <w:pPr>
        <w:spacing w:line="586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三、第三层及以上楼层的面积计算办法</w:t>
      </w:r>
    </w:p>
    <w:p>
      <w:pPr>
        <w:widowControl/>
        <w:shd w:val="clear" w:color="auto" w:fill="FFFFFF"/>
        <w:spacing w:line="586" w:lineRule="exact"/>
        <w:ind w:firstLine="640" w:firstLineChars="200"/>
        <w:rPr>
          <w:rFonts w:ascii="Times New Roman" w:hAnsi="Times New Roman" w:eastAsia="FangSong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FangSong_GB2312"/>
          <w:sz w:val="32"/>
          <w:szCs w:val="32"/>
        </w:rPr>
        <w:t>（一）</w:t>
      </w:r>
      <w:r>
        <w:rPr>
          <w:rFonts w:hint="eastAsia" w:ascii="Times New Roman" w:hAnsi="Times New Roman" w:eastAsia="FangSong_GB2312"/>
          <w:color w:val="000000"/>
          <w:kern w:val="0"/>
          <w:sz w:val="32"/>
          <w:szCs w:val="32"/>
        </w:rPr>
        <w:t>楼层高度超过</w:t>
      </w:r>
      <w:r>
        <w:rPr>
          <w:rFonts w:ascii="Times New Roman" w:hAnsi="Times New Roman" w:eastAsia="FangSong_GB2312"/>
          <w:color w:val="000000"/>
          <w:kern w:val="0"/>
          <w:sz w:val="32"/>
          <w:szCs w:val="32"/>
        </w:rPr>
        <w:t>2.2</w:t>
      </w:r>
      <w:r>
        <w:rPr>
          <w:rFonts w:hint="eastAsia" w:ascii="Times New Roman" w:hAnsi="Times New Roman" w:eastAsia="FangSong_GB2312"/>
          <w:color w:val="000000"/>
          <w:kern w:val="0"/>
          <w:sz w:val="32"/>
          <w:szCs w:val="32"/>
        </w:rPr>
        <w:t>米，镶了楼板但没有任何围封的，按实际面积的</w:t>
      </w:r>
      <w:r>
        <w:rPr>
          <w:rFonts w:ascii="Times New Roman" w:hAnsi="Times New Roman" w:eastAsia="FangSong_GB2312"/>
          <w:color w:val="000000"/>
          <w:kern w:val="0"/>
          <w:sz w:val="32"/>
          <w:szCs w:val="32"/>
        </w:rPr>
        <w:t>50%</w:t>
      </w:r>
      <w:r>
        <w:rPr>
          <w:rFonts w:hint="eastAsia" w:ascii="Times New Roman" w:hAnsi="Times New Roman" w:eastAsia="FangSong_GB2312"/>
          <w:color w:val="000000"/>
          <w:kern w:val="0"/>
          <w:sz w:val="32"/>
          <w:szCs w:val="32"/>
        </w:rPr>
        <w:t>计算；镶了楼板但只用木板围装四周的，按实际面积的</w:t>
      </w:r>
      <w:r>
        <w:rPr>
          <w:rFonts w:ascii="Times New Roman" w:hAnsi="Times New Roman" w:eastAsia="FangSong_GB2312"/>
          <w:color w:val="000000"/>
          <w:kern w:val="0"/>
          <w:sz w:val="32"/>
          <w:szCs w:val="32"/>
        </w:rPr>
        <w:t>60%</w:t>
      </w:r>
      <w:r>
        <w:rPr>
          <w:rFonts w:hint="eastAsia" w:ascii="Times New Roman" w:hAnsi="Times New Roman" w:eastAsia="FangSong_GB2312"/>
          <w:color w:val="000000"/>
          <w:kern w:val="0"/>
          <w:sz w:val="32"/>
          <w:szCs w:val="32"/>
        </w:rPr>
        <w:t>计算；镶了楼板并用木板装成房间的，按实际面积计算</w:t>
      </w:r>
    </w:p>
    <w:p>
      <w:pPr>
        <w:widowControl/>
        <w:shd w:val="clear" w:color="auto" w:fill="FFFFFF"/>
        <w:spacing w:line="586" w:lineRule="exact"/>
        <w:ind w:firstLine="640" w:firstLineChars="200"/>
        <w:rPr>
          <w:rFonts w:ascii="Times New Roman" w:hAnsi="Times New Roman" w:eastAsia="FangSong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FangSong_GB2312"/>
          <w:color w:val="000000"/>
          <w:kern w:val="0"/>
          <w:sz w:val="32"/>
          <w:szCs w:val="32"/>
        </w:rPr>
        <w:t>（二）楼层高度超过</w:t>
      </w:r>
      <w:r>
        <w:rPr>
          <w:rFonts w:ascii="Times New Roman" w:hAnsi="Times New Roman" w:eastAsia="FangSong_GB2312"/>
          <w:color w:val="000000"/>
          <w:kern w:val="0"/>
          <w:sz w:val="32"/>
          <w:szCs w:val="32"/>
        </w:rPr>
        <w:t>1.2</w:t>
      </w:r>
      <w:r>
        <w:rPr>
          <w:rFonts w:hint="eastAsia" w:ascii="Times New Roman" w:hAnsi="Times New Roman" w:eastAsia="FangSong_GB2312"/>
          <w:color w:val="000000"/>
          <w:kern w:val="0"/>
          <w:sz w:val="32"/>
          <w:szCs w:val="32"/>
        </w:rPr>
        <w:t>米不足</w:t>
      </w:r>
      <w:r>
        <w:rPr>
          <w:rFonts w:ascii="Times New Roman" w:hAnsi="Times New Roman" w:eastAsia="FangSong_GB2312"/>
          <w:color w:val="000000"/>
          <w:kern w:val="0"/>
          <w:sz w:val="32"/>
          <w:szCs w:val="32"/>
        </w:rPr>
        <w:t>2.2</w:t>
      </w:r>
      <w:r>
        <w:rPr>
          <w:rFonts w:hint="eastAsia" w:ascii="Times New Roman" w:hAnsi="Times New Roman" w:eastAsia="FangSong_GB2312"/>
          <w:color w:val="000000"/>
          <w:kern w:val="0"/>
          <w:sz w:val="32"/>
          <w:szCs w:val="32"/>
        </w:rPr>
        <w:t>米，镶了楼板的，按实际面积的</w:t>
      </w:r>
      <w:r>
        <w:rPr>
          <w:rFonts w:ascii="Times New Roman" w:hAnsi="Times New Roman" w:eastAsia="FangSong_GB2312"/>
          <w:color w:val="000000"/>
          <w:kern w:val="0"/>
          <w:sz w:val="32"/>
          <w:szCs w:val="32"/>
        </w:rPr>
        <w:t>50%</w:t>
      </w:r>
      <w:r>
        <w:rPr>
          <w:rFonts w:hint="eastAsia" w:ascii="Times New Roman" w:hAnsi="Times New Roman" w:eastAsia="FangSong_GB2312"/>
          <w:color w:val="000000"/>
          <w:kern w:val="0"/>
          <w:sz w:val="32"/>
          <w:szCs w:val="32"/>
        </w:rPr>
        <w:t>计算；不镶楼板的，不论楼层高低一律不计算面积。</w:t>
      </w:r>
    </w:p>
    <w:p>
      <w:pPr>
        <w:spacing w:line="586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四、其他</w:t>
      </w:r>
    </w:p>
    <w:p>
      <w:pPr>
        <w:spacing w:line="586" w:lineRule="exact"/>
        <w:ind w:firstLine="640" w:firstLineChars="200"/>
        <w:jc w:val="left"/>
        <w:rPr>
          <w:rFonts w:ascii="Times New Roman" w:hAnsi="Times New Roman" w:eastAsia="FangSong_GB2312"/>
          <w:sz w:val="32"/>
          <w:szCs w:val="32"/>
        </w:rPr>
      </w:pPr>
      <w:r>
        <w:rPr>
          <w:rFonts w:hint="eastAsia" w:ascii="Times New Roman" w:hAnsi="Times New Roman" w:eastAsia="FangSong_GB2312"/>
          <w:sz w:val="32"/>
          <w:szCs w:val="32"/>
        </w:rPr>
        <w:t>只起屋架和盖瓦没有装修的，只按一层面积计算。</w:t>
      </w:r>
    </w:p>
    <w:p>
      <w:pPr>
        <w:spacing w:line="586" w:lineRule="exact"/>
        <w:ind w:firstLine="640" w:firstLineChars="200"/>
        <w:jc w:val="left"/>
        <w:rPr>
          <w:rFonts w:ascii="Times New Roman" w:hAnsi="Times New Roman" w:eastAsia="FangSong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304" w:right="1304" w:bottom="1304" w:left="1588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left="5250" w:right="210" w:rightChars="100" w:firstLine="2380" w:firstLineChars="850"/>
      <w:jc w:val="lef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210" w:rightChars="100"/>
      <w:jc w:val="lef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lNzJjOWQ5NjUwOTQwODZjMjQ3ODIzNmYxMjA1YzAifQ=="/>
  </w:docVars>
  <w:rsids>
    <w:rsidRoot w:val="00C85D2C"/>
    <w:rsid w:val="0000021D"/>
    <w:rsid w:val="000312F6"/>
    <w:rsid w:val="00067003"/>
    <w:rsid w:val="000675E0"/>
    <w:rsid w:val="00070F2B"/>
    <w:rsid w:val="000832F3"/>
    <w:rsid w:val="0009280A"/>
    <w:rsid w:val="00097827"/>
    <w:rsid w:val="000A418D"/>
    <w:rsid w:val="000A45F7"/>
    <w:rsid w:val="000B2759"/>
    <w:rsid w:val="000D685B"/>
    <w:rsid w:val="000E5795"/>
    <w:rsid w:val="000E58C1"/>
    <w:rsid w:val="000F6F40"/>
    <w:rsid w:val="000F793B"/>
    <w:rsid w:val="00103ECC"/>
    <w:rsid w:val="00107F2C"/>
    <w:rsid w:val="00127B6A"/>
    <w:rsid w:val="00132090"/>
    <w:rsid w:val="00134A09"/>
    <w:rsid w:val="00136A94"/>
    <w:rsid w:val="00137F02"/>
    <w:rsid w:val="00151C52"/>
    <w:rsid w:val="00161892"/>
    <w:rsid w:val="00164DA1"/>
    <w:rsid w:val="001657CB"/>
    <w:rsid w:val="0017461C"/>
    <w:rsid w:val="00177F27"/>
    <w:rsid w:val="00186D9B"/>
    <w:rsid w:val="00192E2B"/>
    <w:rsid w:val="00192F76"/>
    <w:rsid w:val="001B1D4E"/>
    <w:rsid w:val="001B4D8E"/>
    <w:rsid w:val="00201ED6"/>
    <w:rsid w:val="002204A4"/>
    <w:rsid w:val="00222C33"/>
    <w:rsid w:val="00225B4A"/>
    <w:rsid w:val="0024381E"/>
    <w:rsid w:val="002446AC"/>
    <w:rsid w:val="002725C6"/>
    <w:rsid w:val="00276139"/>
    <w:rsid w:val="002A5510"/>
    <w:rsid w:val="002B3A6F"/>
    <w:rsid w:val="002D160F"/>
    <w:rsid w:val="002F0957"/>
    <w:rsid w:val="0031082D"/>
    <w:rsid w:val="00312439"/>
    <w:rsid w:val="00314335"/>
    <w:rsid w:val="00321EC0"/>
    <w:rsid w:val="003319B5"/>
    <w:rsid w:val="00333442"/>
    <w:rsid w:val="00350455"/>
    <w:rsid w:val="0036094F"/>
    <w:rsid w:val="00373599"/>
    <w:rsid w:val="00377D7F"/>
    <w:rsid w:val="00392A77"/>
    <w:rsid w:val="00393930"/>
    <w:rsid w:val="003B0005"/>
    <w:rsid w:val="003F18B6"/>
    <w:rsid w:val="0040648E"/>
    <w:rsid w:val="004361DD"/>
    <w:rsid w:val="004546CF"/>
    <w:rsid w:val="00456FB4"/>
    <w:rsid w:val="004A1E10"/>
    <w:rsid w:val="004A4A5C"/>
    <w:rsid w:val="0050468C"/>
    <w:rsid w:val="00514F97"/>
    <w:rsid w:val="005314A8"/>
    <w:rsid w:val="005347DD"/>
    <w:rsid w:val="005456DA"/>
    <w:rsid w:val="00557D8B"/>
    <w:rsid w:val="00563991"/>
    <w:rsid w:val="00573656"/>
    <w:rsid w:val="00573BA8"/>
    <w:rsid w:val="005836A9"/>
    <w:rsid w:val="00592428"/>
    <w:rsid w:val="005A7C95"/>
    <w:rsid w:val="005B22AE"/>
    <w:rsid w:val="005D3310"/>
    <w:rsid w:val="005D3557"/>
    <w:rsid w:val="005D49C1"/>
    <w:rsid w:val="006161AF"/>
    <w:rsid w:val="00664BCB"/>
    <w:rsid w:val="00694989"/>
    <w:rsid w:val="006A0855"/>
    <w:rsid w:val="006A1A91"/>
    <w:rsid w:val="006A48BE"/>
    <w:rsid w:val="006B3390"/>
    <w:rsid w:val="006C7E18"/>
    <w:rsid w:val="006E1B45"/>
    <w:rsid w:val="007065C0"/>
    <w:rsid w:val="0071457B"/>
    <w:rsid w:val="00743088"/>
    <w:rsid w:val="007430D3"/>
    <w:rsid w:val="00751EF0"/>
    <w:rsid w:val="0075253E"/>
    <w:rsid w:val="00753896"/>
    <w:rsid w:val="007549C9"/>
    <w:rsid w:val="00757359"/>
    <w:rsid w:val="00772471"/>
    <w:rsid w:val="00797D13"/>
    <w:rsid w:val="007A65FD"/>
    <w:rsid w:val="007C0209"/>
    <w:rsid w:val="007C4A07"/>
    <w:rsid w:val="007E5157"/>
    <w:rsid w:val="007F141C"/>
    <w:rsid w:val="007F7669"/>
    <w:rsid w:val="00806864"/>
    <w:rsid w:val="00816E9A"/>
    <w:rsid w:val="0082420F"/>
    <w:rsid w:val="00824343"/>
    <w:rsid w:val="00841531"/>
    <w:rsid w:val="008C2D9C"/>
    <w:rsid w:val="008C5D81"/>
    <w:rsid w:val="008D7D0C"/>
    <w:rsid w:val="008E02C4"/>
    <w:rsid w:val="008E4C4C"/>
    <w:rsid w:val="009041EA"/>
    <w:rsid w:val="009207A5"/>
    <w:rsid w:val="00945E56"/>
    <w:rsid w:val="009515F9"/>
    <w:rsid w:val="00951F38"/>
    <w:rsid w:val="00952BD9"/>
    <w:rsid w:val="00955937"/>
    <w:rsid w:val="00961B4A"/>
    <w:rsid w:val="00962413"/>
    <w:rsid w:val="009648E4"/>
    <w:rsid w:val="00970390"/>
    <w:rsid w:val="00972F42"/>
    <w:rsid w:val="009A6CC9"/>
    <w:rsid w:val="009C26A7"/>
    <w:rsid w:val="009C41EF"/>
    <w:rsid w:val="009D2AC6"/>
    <w:rsid w:val="009D2B2F"/>
    <w:rsid w:val="009D2C64"/>
    <w:rsid w:val="009D554C"/>
    <w:rsid w:val="009F41FF"/>
    <w:rsid w:val="00A24601"/>
    <w:rsid w:val="00A34FC6"/>
    <w:rsid w:val="00A3530B"/>
    <w:rsid w:val="00A80E5E"/>
    <w:rsid w:val="00A828D0"/>
    <w:rsid w:val="00AA39B7"/>
    <w:rsid w:val="00AD66C0"/>
    <w:rsid w:val="00AE5A69"/>
    <w:rsid w:val="00AE7430"/>
    <w:rsid w:val="00AF2281"/>
    <w:rsid w:val="00B01732"/>
    <w:rsid w:val="00B04929"/>
    <w:rsid w:val="00B17F18"/>
    <w:rsid w:val="00B20470"/>
    <w:rsid w:val="00B2355B"/>
    <w:rsid w:val="00B367AF"/>
    <w:rsid w:val="00B610DA"/>
    <w:rsid w:val="00B75518"/>
    <w:rsid w:val="00B762C3"/>
    <w:rsid w:val="00B91161"/>
    <w:rsid w:val="00BA763D"/>
    <w:rsid w:val="00BD206E"/>
    <w:rsid w:val="00BE048F"/>
    <w:rsid w:val="00BF0E38"/>
    <w:rsid w:val="00C00D2C"/>
    <w:rsid w:val="00C2145A"/>
    <w:rsid w:val="00C21505"/>
    <w:rsid w:val="00C402E4"/>
    <w:rsid w:val="00C43194"/>
    <w:rsid w:val="00C5540C"/>
    <w:rsid w:val="00C71C5C"/>
    <w:rsid w:val="00C74A83"/>
    <w:rsid w:val="00C76C53"/>
    <w:rsid w:val="00C85D2C"/>
    <w:rsid w:val="00C9042A"/>
    <w:rsid w:val="00C91F3A"/>
    <w:rsid w:val="00CA3C93"/>
    <w:rsid w:val="00CC22BD"/>
    <w:rsid w:val="00CD0CE3"/>
    <w:rsid w:val="00CD4CBC"/>
    <w:rsid w:val="00CE0B06"/>
    <w:rsid w:val="00CF0BD2"/>
    <w:rsid w:val="00CF7D28"/>
    <w:rsid w:val="00D04895"/>
    <w:rsid w:val="00D10601"/>
    <w:rsid w:val="00D11E71"/>
    <w:rsid w:val="00D151EA"/>
    <w:rsid w:val="00D156BF"/>
    <w:rsid w:val="00D26879"/>
    <w:rsid w:val="00D42C41"/>
    <w:rsid w:val="00D57384"/>
    <w:rsid w:val="00D62E06"/>
    <w:rsid w:val="00D73638"/>
    <w:rsid w:val="00D76393"/>
    <w:rsid w:val="00D909B6"/>
    <w:rsid w:val="00D9285E"/>
    <w:rsid w:val="00DA02B9"/>
    <w:rsid w:val="00DC30F8"/>
    <w:rsid w:val="00DC3959"/>
    <w:rsid w:val="00DE297A"/>
    <w:rsid w:val="00DE428F"/>
    <w:rsid w:val="00DE499D"/>
    <w:rsid w:val="00DF348E"/>
    <w:rsid w:val="00E00EF4"/>
    <w:rsid w:val="00E22D13"/>
    <w:rsid w:val="00E23902"/>
    <w:rsid w:val="00E270F1"/>
    <w:rsid w:val="00E64F83"/>
    <w:rsid w:val="00E92B98"/>
    <w:rsid w:val="00E94939"/>
    <w:rsid w:val="00E979B9"/>
    <w:rsid w:val="00EA6302"/>
    <w:rsid w:val="00EB336C"/>
    <w:rsid w:val="00EE297A"/>
    <w:rsid w:val="00F016F4"/>
    <w:rsid w:val="00F210E4"/>
    <w:rsid w:val="00F277E9"/>
    <w:rsid w:val="00F30A61"/>
    <w:rsid w:val="00F32FEB"/>
    <w:rsid w:val="00F679C5"/>
    <w:rsid w:val="00F7239A"/>
    <w:rsid w:val="00F911F1"/>
    <w:rsid w:val="00F94C69"/>
    <w:rsid w:val="00FA09A9"/>
    <w:rsid w:val="00FC60B3"/>
    <w:rsid w:val="00FF078F"/>
    <w:rsid w:val="00FF681E"/>
    <w:rsid w:val="0A3B7763"/>
    <w:rsid w:val="13CF2C1A"/>
    <w:rsid w:val="143771ED"/>
    <w:rsid w:val="18950986"/>
    <w:rsid w:val="18DF7E53"/>
    <w:rsid w:val="1F44668D"/>
    <w:rsid w:val="20717F2A"/>
    <w:rsid w:val="229B4DEB"/>
    <w:rsid w:val="2B2E5664"/>
    <w:rsid w:val="2B373703"/>
    <w:rsid w:val="2C950A66"/>
    <w:rsid w:val="38205A82"/>
    <w:rsid w:val="3CF4361D"/>
    <w:rsid w:val="42B86636"/>
    <w:rsid w:val="4EC54E1A"/>
    <w:rsid w:val="4F170310"/>
    <w:rsid w:val="55834F2A"/>
    <w:rsid w:val="594C3409"/>
    <w:rsid w:val="5C7659A5"/>
    <w:rsid w:val="63901A42"/>
    <w:rsid w:val="65A823E9"/>
    <w:rsid w:val="698272CE"/>
    <w:rsid w:val="6C442D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locked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qFormat/>
    <w:uiPriority w:val="99"/>
    <w:pPr>
      <w:shd w:val="clear" w:color="auto" w:fill="000080"/>
    </w:pPr>
    <w:rPr>
      <w:rFonts w:ascii="Times New Roman" w:hAnsi="Times New Roman"/>
      <w:szCs w:val="24"/>
    </w:rPr>
  </w:style>
  <w:style w:type="paragraph" w:styleId="4">
    <w:name w:val="Body Text"/>
    <w:basedOn w:val="1"/>
    <w:link w:val="16"/>
    <w:qFormat/>
    <w:uiPriority w:val="99"/>
    <w:pPr>
      <w:spacing w:line="240" w:lineRule="exact"/>
    </w:pPr>
    <w:rPr>
      <w:rFonts w:ascii="Times New Roman" w:hAnsi="Times New Roman"/>
      <w:sz w:val="24"/>
      <w:szCs w:val="24"/>
    </w:rPr>
  </w:style>
  <w:style w:type="paragraph" w:styleId="5">
    <w:name w:val="Balloon Text"/>
    <w:basedOn w:val="1"/>
    <w:link w:val="17"/>
    <w:qFormat/>
    <w:uiPriority w:val="99"/>
    <w:rPr>
      <w:rFonts w:ascii="Times New Roman" w:hAnsi="Times New Roman"/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20"/>
    <w:qFormat/>
    <w:uiPriority w:val="99"/>
    <w:pPr>
      <w:spacing w:line="300" w:lineRule="exact"/>
    </w:pPr>
    <w:rPr>
      <w:rFonts w:ascii="Times New Roman" w:hAnsi="Times New Roman"/>
      <w:sz w:val="28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2 Char"/>
    <w:basedOn w:val="11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文档结构图 Char"/>
    <w:basedOn w:val="11"/>
    <w:link w:val="3"/>
    <w:qFormat/>
    <w:locked/>
    <w:uiPriority w:val="99"/>
    <w:rPr>
      <w:rFonts w:ascii="Times New Roman" w:hAnsi="Times New Roman" w:cs="Times New Roman"/>
      <w:kern w:val="2"/>
      <w:sz w:val="24"/>
      <w:szCs w:val="24"/>
      <w:shd w:val="clear" w:color="auto" w:fill="000080"/>
    </w:rPr>
  </w:style>
  <w:style w:type="character" w:customStyle="1" w:styleId="16">
    <w:name w:val="正文文本 Char"/>
    <w:basedOn w:val="11"/>
    <w:link w:val="4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7">
    <w:name w:val="批注框文本 Char"/>
    <w:basedOn w:val="11"/>
    <w:link w:val="5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8">
    <w:name w:val="页脚 Char"/>
    <w:basedOn w:val="11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9">
    <w:name w:val="页眉 Char"/>
    <w:basedOn w:val="11"/>
    <w:link w:val="7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0">
    <w:name w:val="正文文本 2 Char"/>
    <w:basedOn w:val="11"/>
    <w:link w:val="8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5303</Words>
  <Characters>6545</Characters>
  <Lines>57</Lines>
  <Paragraphs>16</Paragraphs>
  <TotalTime>9</TotalTime>
  <ScaleCrop>false</ScaleCrop>
  <LinksUpToDate>false</LinksUpToDate>
  <CharactersWithSpaces>6561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2023-05-26T02:22:00Z</dcterms:created>
  <dc:creator>User</dc:creator>
  <cp:lastModifiedBy>零汁</cp:lastModifiedBy>
  <cp:lastPrinted>2023-05-15T00:25:00Z</cp:lastPrinted>
  <dcterms:modified xsi:type="dcterms:W3CDTF">2023-05-29T01:24:06Z</dcterms:modified>
  <dc:title>龙政发〔2018〕 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DC15F87A99584111944DF170988ECE6F_12</vt:lpwstr>
  </property>
</Properties>
</file>