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D4395">
      <w:pPr>
        <w:keepNext w:val="0"/>
        <w:keepLines w:val="0"/>
        <w:pageBreakBefore w:val="0"/>
        <w:widowControl w:val="0"/>
        <w:kinsoku/>
        <w:wordWrap/>
        <w:overflowPunct/>
        <w:topLinePunct w:val="0"/>
        <w:autoSpaceDE/>
        <w:autoSpaceDN/>
        <w:bidi w:val="0"/>
        <w:adjustRightInd w:val="0"/>
        <w:snapToGrid w:val="0"/>
        <w:spacing w:line="586" w:lineRule="exact"/>
        <w:jc w:val="center"/>
        <w:textAlignment w:val="auto"/>
        <w:outlineLvl w:val="0"/>
        <w:rPr>
          <w:rFonts w:hint="default" w:ascii="Times New Roman" w:hAnsi="Times New Roman" w:eastAsia="方正小标宋_GBK" w:cs="Times New Roman"/>
          <w:b w:val="0"/>
          <w:bCs w:val="0"/>
          <w:snapToGrid w:val="0"/>
          <w:color w:val="000000"/>
          <w:sz w:val="44"/>
          <w:szCs w:val="44"/>
          <w:highlight w:val="none"/>
          <w:lang w:val="en-US" w:eastAsia="zh-CN"/>
        </w:rPr>
      </w:pPr>
      <w:r>
        <w:rPr>
          <w:rFonts w:hint="eastAsia" w:ascii="Times New Roman" w:hAnsi="Times New Roman" w:eastAsia="方正小标宋_GBK" w:cs="Times New Roman"/>
          <w:b w:val="0"/>
          <w:bCs w:val="0"/>
          <w:snapToGrid w:val="0"/>
          <w:color w:val="000000"/>
          <w:sz w:val="44"/>
          <w:szCs w:val="44"/>
          <w:highlight w:val="none"/>
          <w:lang w:val="en-US" w:eastAsia="zh-CN"/>
        </w:rPr>
        <w:t>龙胜各族自治县</w:t>
      </w:r>
      <w:r>
        <w:rPr>
          <w:rFonts w:hint="default" w:ascii="Times New Roman" w:hAnsi="Times New Roman" w:eastAsia="方正小标宋_GBK" w:cs="Times New Roman"/>
          <w:b w:val="0"/>
          <w:bCs w:val="0"/>
          <w:snapToGrid w:val="0"/>
          <w:color w:val="000000"/>
          <w:sz w:val="44"/>
          <w:szCs w:val="44"/>
          <w:highlight w:val="none"/>
          <w:lang w:val="en-US" w:eastAsia="zh-CN"/>
        </w:rPr>
        <w:t>202</w:t>
      </w:r>
      <w:r>
        <w:rPr>
          <w:rFonts w:hint="eastAsia" w:ascii="Times New Roman" w:hAnsi="Times New Roman" w:eastAsia="方正小标宋_GBK" w:cs="Times New Roman"/>
          <w:b w:val="0"/>
          <w:bCs w:val="0"/>
          <w:snapToGrid w:val="0"/>
          <w:color w:val="000000"/>
          <w:sz w:val="44"/>
          <w:szCs w:val="44"/>
          <w:highlight w:val="none"/>
          <w:lang w:val="en-US" w:eastAsia="zh-CN"/>
        </w:rPr>
        <w:t>5</w:t>
      </w:r>
      <w:r>
        <w:rPr>
          <w:rFonts w:hint="default" w:ascii="Times New Roman" w:hAnsi="Times New Roman" w:eastAsia="方正小标宋_GBK" w:cs="Times New Roman"/>
          <w:b w:val="0"/>
          <w:bCs w:val="0"/>
          <w:snapToGrid w:val="0"/>
          <w:color w:val="000000"/>
          <w:sz w:val="44"/>
          <w:szCs w:val="44"/>
          <w:highlight w:val="none"/>
          <w:lang w:val="en-US" w:eastAsia="zh-CN"/>
        </w:rPr>
        <w:t>年</w:t>
      </w:r>
      <w:r>
        <w:rPr>
          <w:rFonts w:hint="eastAsia" w:ascii="Times New Roman" w:hAnsi="Times New Roman" w:eastAsia="方正小标宋_GBK" w:cs="Times New Roman"/>
          <w:b w:val="0"/>
          <w:bCs w:val="0"/>
          <w:snapToGrid w:val="0"/>
          <w:color w:val="000000"/>
          <w:sz w:val="44"/>
          <w:szCs w:val="44"/>
          <w:highlight w:val="none"/>
          <w:lang w:val="en-US" w:eastAsia="zh-CN"/>
        </w:rPr>
        <w:t>上半年</w:t>
      </w:r>
      <w:r>
        <w:rPr>
          <w:rFonts w:hint="default" w:ascii="Times New Roman" w:hAnsi="Times New Roman" w:eastAsia="方正小标宋_GBK" w:cs="Times New Roman"/>
          <w:b w:val="0"/>
          <w:bCs w:val="0"/>
          <w:snapToGrid w:val="0"/>
          <w:color w:val="000000"/>
          <w:sz w:val="44"/>
          <w:szCs w:val="44"/>
          <w:highlight w:val="none"/>
          <w:lang w:val="en-US" w:eastAsia="zh-CN"/>
        </w:rPr>
        <w:t>经济运行</w:t>
      </w:r>
    </w:p>
    <w:p w14:paraId="3B89E0D3">
      <w:pPr>
        <w:keepNext w:val="0"/>
        <w:keepLines w:val="0"/>
        <w:pageBreakBefore w:val="0"/>
        <w:widowControl w:val="0"/>
        <w:kinsoku/>
        <w:wordWrap/>
        <w:overflowPunct/>
        <w:topLinePunct w:val="0"/>
        <w:autoSpaceDE/>
        <w:autoSpaceDN/>
        <w:bidi w:val="0"/>
        <w:adjustRightInd w:val="0"/>
        <w:snapToGrid w:val="0"/>
        <w:spacing w:line="586" w:lineRule="exact"/>
        <w:jc w:val="center"/>
        <w:textAlignment w:val="auto"/>
        <w:outlineLvl w:val="0"/>
        <w:rPr>
          <w:rFonts w:hint="default" w:ascii="Times New Roman" w:hAnsi="Times New Roman" w:eastAsia="方正小标宋_GBK" w:cs="Times New Roman"/>
          <w:b w:val="0"/>
          <w:bCs w:val="0"/>
          <w:snapToGrid w:val="0"/>
          <w:color w:val="000000"/>
          <w:sz w:val="44"/>
          <w:szCs w:val="44"/>
          <w:highlight w:val="none"/>
          <w:lang w:val="en-US" w:eastAsia="zh-CN"/>
        </w:rPr>
      </w:pPr>
      <w:r>
        <w:rPr>
          <w:rFonts w:hint="default" w:ascii="Times New Roman" w:hAnsi="Times New Roman" w:eastAsia="方正小标宋_GBK" w:cs="Times New Roman"/>
          <w:b w:val="0"/>
          <w:bCs w:val="0"/>
          <w:snapToGrid w:val="0"/>
          <w:color w:val="000000"/>
          <w:sz w:val="44"/>
          <w:szCs w:val="44"/>
          <w:highlight w:val="none"/>
          <w:lang w:val="en-US" w:eastAsia="zh-CN"/>
        </w:rPr>
        <w:t>情况分析</w:t>
      </w:r>
    </w:p>
    <w:p w14:paraId="45CB0D26">
      <w:pPr>
        <w:keepNext w:val="0"/>
        <w:keepLines w:val="0"/>
        <w:pageBreakBefore w:val="0"/>
        <w:widowControl w:val="0"/>
        <w:kinsoku/>
        <w:wordWrap/>
        <w:overflowPunct/>
        <w:topLinePunct w:val="0"/>
        <w:autoSpaceDE/>
        <w:autoSpaceDN/>
        <w:bidi w:val="0"/>
        <w:adjustRightInd/>
        <w:snapToGrid/>
        <w:spacing w:line="586" w:lineRule="exact"/>
        <w:jc w:val="center"/>
        <w:textAlignment w:val="auto"/>
        <w:outlineLvl w:val="9"/>
        <w:rPr>
          <w:rFonts w:hint="default"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龙胜各族自治县</w:t>
      </w:r>
      <w:r>
        <w:rPr>
          <w:rFonts w:hint="default" w:ascii="Times New Roman" w:hAnsi="Times New Roman" w:eastAsia="楷体_GB2312" w:cs="Times New Roman"/>
          <w:sz w:val="32"/>
          <w:szCs w:val="32"/>
          <w:highlight w:val="none"/>
          <w:lang w:val="en-US" w:eastAsia="zh-CN"/>
        </w:rPr>
        <w:t>统计局</w:t>
      </w:r>
    </w:p>
    <w:p w14:paraId="7A187271">
      <w:pPr>
        <w:keepNext w:val="0"/>
        <w:keepLines w:val="0"/>
        <w:pageBreakBefore w:val="0"/>
        <w:widowControl w:val="0"/>
        <w:kinsoku/>
        <w:wordWrap/>
        <w:overflowPunct/>
        <w:topLinePunct w:val="0"/>
        <w:autoSpaceDE/>
        <w:autoSpaceDN/>
        <w:bidi w:val="0"/>
        <w:adjustRightInd/>
        <w:snapToGrid/>
        <w:spacing w:line="586" w:lineRule="exact"/>
        <w:jc w:val="center"/>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202</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lang w:val="en-US" w:eastAsia="zh-CN"/>
        </w:rPr>
        <w:t>年</w:t>
      </w:r>
      <w:r>
        <w:rPr>
          <w:rFonts w:hint="eastAsia" w:ascii="Times New Roman" w:hAnsi="Times New Roman" w:eastAsia="楷体_GB2312" w:cs="Times New Roman"/>
          <w:sz w:val="32"/>
          <w:szCs w:val="32"/>
          <w:highlight w:val="none"/>
          <w:lang w:val="en-US" w:eastAsia="zh-CN"/>
        </w:rPr>
        <w:t>8</w:t>
      </w:r>
      <w:r>
        <w:rPr>
          <w:rFonts w:hint="default" w:ascii="Times New Roman" w:hAnsi="Times New Roman" w:eastAsia="楷体_GB2312" w:cs="Times New Roman"/>
          <w:sz w:val="32"/>
          <w:szCs w:val="32"/>
          <w:highlight w:val="none"/>
          <w:lang w:val="en-US" w:eastAsia="zh-CN"/>
        </w:rPr>
        <w:t>月</w:t>
      </w:r>
      <w:r>
        <w:rPr>
          <w:rFonts w:hint="eastAsia" w:ascii="Times New Roman" w:hAnsi="Times New Roman" w:eastAsia="楷体_GB2312" w:cs="Times New Roman"/>
          <w:sz w:val="32"/>
          <w:szCs w:val="32"/>
          <w:highlight w:val="none"/>
          <w:lang w:val="en-US" w:eastAsia="zh-CN"/>
        </w:rPr>
        <w:t>27</w:t>
      </w:r>
      <w:r>
        <w:rPr>
          <w:rFonts w:hint="default" w:ascii="Times New Roman" w:hAnsi="Times New Roman" w:eastAsia="楷体_GB2312" w:cs="Times New Roman"/>
          <w:sz w:val="32"/>
          <w:szCs w:val="32"/>
          <w:highlight w:val="none"/>
          <w:lang w:val="en-US" w:eastAsia="zh-CN"/>
        </w:rPr>
        <w:t>日</w:t>
      </w:r>
    </w:p>
    <w:p w14:paraId="1C3ABA2A">
      <w:pPr>
        <w:keepNext w:val="0"/>
        <w:keepLines w:val="0"/>
        <w:pageBreakBefore w:val="0"/>
        <w:widowControl w:val="0"/>
        <w:kinsoku/>
        <w:wordWrap/>
        <w:overflowPunct/>
        <w:topLinePunct w:val="0"/>
        <w:autoSpaceDE/>
        <w:autoSpaceDN/>
        <w:bidi w:val="0"/>
        <w:adjustRightInd w:val="0"/>
        <w:snapToGrid w:val="0"/>
        <w:spacing w:line="586" w:lineRule="exact"/>
        <w:jc w:val="center"/>
        <w:textAlignment w:val="auto"/>
        <w:rPr>
          <w:rFonts w:hint="default" w:ascii="Times New Roman" w:hAnsi="Times New Roman" w:eastAsia="仿宋_GB2312" w:cs="Times New Roman"/>
          <w:snapToGrid w:val="0"/>
          <w:color w:val="000000"/>
          <w:sz w:val="32"/>
          <w:szCs w:val="32"/>
          <w:highlight w:val="none"/>
        </w:rPr>
      </w:pPr>
      <w:bookmarkStart w:id="0" w:name="_GoBack"/>
      <w:bookmarkEnd w:id="0"/>
    </w:p>
    <w:p w14:paraId="0D0134CE">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640" w:firstLineChars="200"/>
        <w:textAlignment w:val="auto"/>
        <w:rPr>
          <w:rFonts w:hint="eastAsia" w:ascii="仿宋_GB2312" w:hAnsi="仿宋_GB2312" w:eastAsia="仿宋_GB2312" w:cs="仿宋_GB2312"/>
          <w:snapToGrid w:val="0"/>
          <w:color w:val="000000"/>
          <w:sz w:val="32"/>
          <w:szCs w:val="32"/>
          <w:highlight w:val="none"/>
          <w:lang w:eastAsia="zh-CN"/>
        </w:rPr>
      </w:pPr>
      <w:r>
        <w:rPr>
          <w:rFonts w:hint="eastAsia" w:ascii="仿宋_GB2312" w:hAnsi="仿宋_GB2312" w:eastAsia="仿宋_GB2312" w:cs="仿宋_GB2312"/>
          <w:snapToGrid w:val="0"/>
          <w:color w:val="000000"/>
          <w:sz w:val="32"/>
          <w:szCs w:val="32"/>
          <w:highlight w:val="none"/>
          <w:lang w:eastAsia="zh-CN"/>
        </w:rPr>
        <w:t>今年以来，龙胜各族自治县深入学习贯彻党的二十大和二十届三中全会精神，贯彻落实市委、市政府决策部署，坚持稳中求进总基调，上半年全县经济运行总体平稳，增速有所放缓。</w:t>
      </w:r>
    </w:p>
    <w:p w14:paraId="26BD9539">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snapToGrid w:val="0"/>
          <w:color w:val="000000"/>
          <w:sz w:val="32"/>
          <w:szCs w:val="32"/>
          <w:highlight w:val="none"/>
          <w:lang w:eastAsia="zh-CN"/>
        </w:rPr>
        <w:t>初步核算，上半年全县</w:t>
      </w:r>
      <w:r>
        <w:rPr>
          <w:rFonts w:hint="eastAsia" w:ascii="仿宋_GB2312" w:hAnsi="仿宋_GB2312" w:eastAsia="仿宋_GB2312" w:cs="仿宋_GB2312"/>
          <w:snapToGrid w:val="0"/>
          <w:spacing w:val="-6"/>
          <w:sz w:val="32"/>
          <w:szCs w:val="32"/>
          <w:highlight w:val="none"/>
        </w:rPr>
        <w:t>生产总值（GDP）</w:t>
      </w:r>
      <w:r>
        <w:rPr>
          <w:rFonts w:hint="eastAsia" w:ascii="仿宋_GB2312" w:hAnsi="仿宋_GB2312" w:eastAsia="仿宋_GB2312" w:cs="仿宋_GB2312"/>
          <w:snapToGrid w:val="0"/>
          <w:spacing w:val="-6"/>
          <w:sz w:val="32"/>
          <w:szCs w:val="32"/>
          <w:highlight w:val="none"/>
          <w:lang w:val="en-US" w:eastAsia="zh-CN"/>
        </w:rPr>
        <w:t>26.94</w:t>
      </w:r>
      <w:r>
        <w:rPr>
          <w:rFonts w:hint="eastAsia" w:ascii="仿宋_GB2312" w:hAnsi="仿宋_GB2312" w:eastAsia="仿宋_GB2312" w:cs="仿宋_GB2312"/>
          <w:snapToGrid w:val="0"/>
          <w:spacing w:val="-6"/>
          <w:sz w:val="32"/>
          <w:szCs w:val="32"/>
          <w:highlight w:val="none"/>
        </w:rPr>
        <w:t>亿元，</w:t>
      </w:r>
      <w:r>
        <w:rPr>
          <w:rFonts w:hint="eastAsia" w:ascii="仿宋_GB2312" w:hAnsi="仿宋_GB2312" w:eastAsia="仿宋_GB2312" w:cs="仿宋_GB2312"/>
          <w:snapToGrid w:val="0"/>
          <w:spacing w:val="-6"/>
          <w:sz w:val="32"/>
          <w:szCs w:val="32"/>
          <w:highlight w:val="none"/>
          <w:lang w:eastAsia="zh-CN"/>
        </w:rPr>
        <w:t>按不变价格计算，</w:t>
      </w:r>
      <w:r>
        <w:rPr>
          <w:rFonts w:hint="eastAsia" w:ascii="仿宋_GB2312" w:hAnsi="仿宋_GB2312" w:eastAsia="仿宋_GB2312" w:cs="仿宋_GB2312"/>
          <w:snapToGrid w:val="0"/>
          <w:spacing w:val="-6"/>
          <w:sz w:val="32"/>
          <w:szCs w:val="32"/>
          <w:highlight w:val="none"/>
        </w:rPr>
        <w:t>同比增长</w:t>
      </w:r>
      <w:r>
        <w:rPr>
          <w:rFonts w:hint="eastAsia" w:ascii="仿宋_GB2312" w:hAnsi="仿宋_GB2312" w:eastAsia="仿宋_GB2312" w:cs="仿宋_GB2312"/>
          <w:snapToGrid w:val="0"/>
          <w:spacing w:val="-6"/>
          <w:sz w:val="32"/>
          <w:szCs w:val="32"/>
          <w:highlight w:val="none"/>
          <w:lang w:val="en-US" w:eastAsia="zh-CN"/>
        </w:rPr>
        <w:t>2.5</w:t>
      </w:r>
      <w:r>
        <w:rPr>
          <w:rFonts w:hint="eastAsia" w:ascii="仿宋_GB2312" w:hAnsi="仿宋_GB2312" w:eastAsia="仿宋_GB2312" w:cs="仿宋_GB2312"/>
          <w:snapToGrid w:val="0"/>
          <w:spacing w:val="-6"/>
          <w:sz w:val="32"/>
          <w:szCs w:val="32"/>
          <w:highlight w:val="none"/>
        </w:rPr>
        <w:t>%。</w:t>
      </w:r>
      <w:r>
        <w:rPr>
          <w:rFonts w:hint="eastAsia" w:ascii="仿宋_GB2312" w:hAnsi="仿宋_GB2312" w:eastAsia="仿宋_GB2312" w:cs="仿宋_GB2312"/>
          <w:b w:val="0"/>
          <w:bCs w:val="0"/>
          <w:snapToGrid w:val="0"/>
          <w:sz w:val="32"/>
          <w:szCs w:val="32"/>
          <w:highlight w:val="none"/>
          <w:lang w:eastAsia="zh-CN"/>
        </w:rPr>
        <w:t>分产业看</w:t>
      </w:r>
      <w:r>
        <w:rPr>
          <w:rFonts w:hint="eastAsia" w:ascii="仿宋_GB2312" w:hAnsi="仿宋_GB2312" w:eastAsia="仿宋_GB2312" w:cs="仿宋_GB2312"/>
          <w:b w:val="0"/>
          <w:bCs w:val="0"/>
          <w:snapToGrid w:val="0"/>
          <w:sz w:val="32"/>
          <w:szCs w:val="32"/>
          <w:highlight w:val="none"/>
        </w:rPr>
        <w:t>，</w:t>
      </w:r>
      <w:r>
        <w:rPr>
          <w:rFonts w:hint="eastAsia" w:ascii="仿宋_GB2312" w:hAnsi="仿宋_GB2312" w:eastAsia="仿宋_GB2312" w:cs="仿宋_GB2312"/>
          <w:snapToGrid w:val="0"/>
          <w:sz w:val="32"/>
          <w:szCs w:val="32"/>
          <w:highlight w:val="none"/>
        </w:rPr>
        <w:t>第一产业增加值</w:t>
      </w:r>
      <w:r>
        <w:rPr>
          <w:rFonts w:hint="eastAsia" w:ascii="仿宋_GB2312" w:hAnsi="仿宋_GB2312" w:eastAsia="仿宋_GB2312" w:cs="仿宋_GB2312"/>
          <w:snapToGrid w:val="0"/>
          <w:sz w:val="32"/>
          <w:szCs w:val="32"/>
          <w:highlight w:val="none"/>
          <w:lang w:val="en-US" w:eastAsia="zh-CN"/>
        </w:rPr>
        <w:t>1.69亿元</w:t>
      </w:r>
      <w:r>
        <w:rPr>
          <w:rFonts w:hint="eastAsia" w:ascii="仿宋_GB2312" w:hAnsi="仿宋_GB2312" w:eastAsia="仿宋_GB2312" w:cs="仿宋_GB2312"/>
          <w:snapToGrid w:val="0"/>
          <w:sz w:val="32"/>
          <w:szCs w:val="32"/>
          <w:highlight w:val="none"/>
          <w:lang w:eastAsia="zh-CN"/>
        </w:rPr>
        <w:t>，同比</w:t>
      </w:r>
      <w:r>
        <w:rPr>
          <w:rFonts w:hint="eastAsia" w:ascii="仿宋_GB2312" w:hAnsi="仿宋_GB2312" w:eastAsia="仿宋_GB2312" w:cs="仿宋_GB2312"/>
          <w:snapToGrid w:val="0"/>
          <w:sz w:val="32"/>
          <w:szCs w:val="32"/>
          <w:highlight w:val="none"/>
        </w:rPr>
        <w:t>增长</w:t>
      </w:r>
      <w:r>
        <w:rPr>
          <w:rFonts w:hint="eastAsia" w:ascii="仿宋_GB2312" w:hAnsi="仿宋_GB2312" w:eastAsia="仿宋_GB2312" w:cs="仿宋_GB2312"/>
          <w:snapToGrid w:val="0"/>
          <w:sz w:val="32"/>
          <w:szCs w:val="32"/>
          <w:highlight w:val="none"/>
          <w:lang w:val="en-US" w:eastAsia="zh-CN"/>
        </w:rPr>
        <w:t>2.8</w:t>
      </w:r>
      <w:r>
        <w:rPr>
          <w:rFonts w:hint="eastAsia" w:ascii="仿宋_GB2312" w:hAnsi="仿宋_GB2312" w:eastAsia="仿宋_GB2312" w:cs="仿宋_GB2312"/>
          <w:snapToGrid w:val="0"/>
          <w:sz w:val="32"/>
          <w:szCs w:val="32"/>
          <w:highlight w:val="none"/>
        </w:rPr>
        <w:t>%；第二产业增加值</w:t>
      </w:r>
      <w:r>
        <w:rPr>
          <w:rFonts w:hint="eastAsia" w:ascii="仿宋_GB2312" w:hAnsi="仿宋_GB2312" w:eastAsia="仿宋_GB2312" w:cs="仿宋_GB2312"/>
          <w:snapToGrid w:val="0"/>
          <w:sz w:val="32"/>
          <w:szCs w:val="32"/>
          <w:highlight w:val="none"/>
          <w:lang w:val="en-US" w:eastAsia="zh-CN"/>
        </w:rPr>
        <w:t>6.11亿元</w:t>
      </w:r>
      <w:r>
        <w:rPr>
          <w:rFonts w:hint="eastAsia" w:ascii="仿宋_GB2312" w:hAnsi="仿宋_GB2312" w:eastAsia="仿宋_GB2312" w:cs="仿宋_GB2312"/>
          <w:snapToGrid w:val="0"/>
          <w:sz w:val="32"/>
          <w:szCs w:val="32"/>
          <w:highlight w:val="none"/>
          <w:lang w:eastAsia="zh-CN"/>
        </w:rPr>
        <w:t>，同比</w:t>
      </w:r>
      <w:r>
        <w:rPr>
          <w:rFonts w:hint="eastAsia" w:ascii="仿宋_GB2312" w:hAnsi="仿宋_GB2312" w:eastAsia="仿宋_GB2312" w:cs="仿宋_GB2312"/>
          <w:snapToGrid w:val="0"/>
          <w:sz w:val="32"/>
          <w:szCs w:val="32"/>
          <w:highlight w:val="none"/>
          <w:lang w:val="en-US" w:eastAsia="zh-CN"/>
        </w:rPr>
        <w:t>下降1.8%；</w:t>
      </w:r>
      <w:r>
        <w:rPr>
          <w:rFonts w:hint="eastAsia" w:ascii="仿宋_GB2312" w:hAnsi="仿宋_GB2312" w:eastAsia="仿宋_GB2312" w:cs="仿宋_GB2312"/>
          <w:snapToGrid w:val="0"/>
          <w:sz w:val="32"/>
          <w:szCs w:val="32"/>
          <w:highlight w:val="none"/>
        </w:rPr>
        <w:t>第三产业</w:t>
      </w:r>
      <w:r>
        <w:rPr>
          <w:rFonts w:hint="eastAsia" w:ascii="仿宋_GB2312" w:hAnsi="仿宋_GB2312" w:eastAsia="仿宋_GB2312" w:cs="仿宋_GB2312"/>
          <w:snapToGrid w:val="0"/>
          <w:sz w:val="32"/>
          <w:szCs w:val="32"/>
          <w:highlight w:val="none"/>
          <w:lang w:eastAsia="zh-CN"/>
        </w:rPr>
        <w:t>增加值</w:t>
      </w:r>
      <w:r>
        <w:rPr>
          <w:rFonts w:hint="eastAsia" w:ascii="仿宋_GB2312" w:hAnsi="仿宋_GB2312" w:eastAsia="仿宋_GB2312" w:cs="仿宋_GB2312"/>
          <w:snapToGrid w:val="0"/>
          <w:sz w:val="32"/>
          <w:szCs w:val="32"/>
          <w:highlight w:val="none"/>
          <w:lang w:val="en-US" w:eastAsia="zh-CN"/>
        </w:rPr>
        <w:t>19.14亿元，同比</w:t>
      </w:r>
      <w:r>
        <w:rPr>
          <w:rFonts w:hint="eastAsia" w:ascii="仿宋_GB2312" w:hAnsi="仿宋_GB2312" w:eastAsia="仿宋_GB2312" w:cs="仿宋_GB2312"/>
          <w:snapToGrid w:val="0"/>
          <w:sz w:val="32"/>
          <w:szCs w:val="32"/>
          <w:highlight w:val="none"/>
        </w:rPr>
        <w:t>增长</w:t>
      </w:r>
      <w:r>
        <w:rPr>
          <w:rFonts w:hint="eastAsia" w:ascii="仿宋_GB2312" w:hAnsi="仿宋_GB2312" w:eastAsia="仿宋_GB2312" w:cs="仿宋_GB2312"/>
          <w:snapToGrid w:val="0"/>
          <w:sz w:val="32"/>
          <w:szCs w:val="32"/>
          <w:highlight w:val="none"/>
          <w:lang w:val="en-US" w:eastAsia="zh-CN"/>
        </w:rPr>
        <w:t>4.3%</w:t>
      </w:r>
      <w:r>
        <w:rPr>
          <w:rFonts w:hint="eastAsia" w:ascii="仿宋_GB2312" w:hAnsi="仿宋_GB2312" w:eastAsia="仿宋_GB2312" w:cs="仿宋_GB2312"/>
          <w:snapToGrid w:val="0"/>
          <w:sz w:val="32"/>
          <w:szCs w:val="32"/>
          <w:highlight w:val="none"/>
        </w:rPr>
        <w:t>。</w:t>
      </w:r>
    </w:p>
    <w:p w14:paraId="4EF9B70B">
      <w:pPr>
        <w:pStyle w:val="2"/>
        <w:keepNext w:val="0"/>
        <w:keepLines w:val="0"/>
        <w:pageBreakBefore w:val="0"/>
        <w:widowControl w:val="0"/>
        <w:numPr>
          <w:ilvl w:val="0"/>
          <w:numId w:val="1"/>
        </w:numPr>
        <w:kinsoku/>
        <w:wordWrap/>
        <w:overflowPunct/>
        <w:topLinePunct w:val="0"/>
        <w:autoSpaceDE/>
        <w:autoSpaceDN/>
        <w:bidi w:val="0"/>
        <w:snapToGrid/>
        <w:spacing w:before="0" w:beforeAutospacing="0" w:after="0" w:line="600" w:lineRule="exact"/>
        <w:ind w:firstLine="640"/>
        <w:textAlignment w:val="auto"/>
        <w:rPr>
          <w:rFonts w:hint="eastAsia" w:ascii="仿宋_GB2312" w:hAnsi="仿宋_GB2312" w:eastAsia="仿宋_GB2312" w:cs="仿宋_GB2312"/>
          <w:b/>
          <w:bCs/>
          <w:snapToGrid w:val="0"/>
          <w:sz w:val="32"/>
          <w:szCs w:val="32"/>
          <w:highlight w:val="none"/>
          <w:lang w:eastAsia="zh-CN"/>
        </w:rPr>
      </w:pPr>
      <w:r>
        <w:rPr>
          <w:rFonts w:hint="eastAsia" w:hAnsi="仿宋_GB2312" w:cs="仿宋_GB2312"/>
          <w:b/>
          <w:bCs/>
          <w:snapToGrid w:val="0"/>
          <w:sz w:val="32"/>
          <w:szCs w:val="32"/>
          <w:highlight w:val="none"/>
          <w:lang w:eastAsia="zh-CN"/>
        </w:rPr>
        <w:t>一产</w:t>
      </w:r>
      <w:r>
        <w:rPr>
          <w:rFonts w:hint="eastAsia" w:ascii="仿宋_GB2312" w:hAnsi="仿宋_GB2312" w:eastAsia="仿宋_GB2312" w:cs="仿宋_GB2312"/>
          <w:b/>
          <w:bCs/>
          <w:snapToGrid w:val="0"/>
          <w:sz w:val="32"/>
          <w:szCs w:val="32"/>
          <w:highlight w:val="none"/>
          <w:lang w:eastAsia="zh-CN"/>
        </w:rPr>
        <w:t>平稳增长</w:t>
      </w:r>
    </w:p>
    <w:p w14:paraId="435DD236">
      <w:pPr>
        <w:pStyle w:val="2"/>
        <w:keepNext w:val="0"/>
        <w:keepLines w:val="0"/>
        <w:pageBreakBefore w:val="0"/>
        <w:widowControl w:val="0"/>
        <w:numPr>
          <w:ilvl w:val="0"/>
          <w:numId w:val="0"/>
        </w:numPr>
        <w:kinsoku/>
        <w:wordWrap/>
        <w:overflowPunct/>
        <w:topLinePunct w:val="0"/>
        <w:autoSpaceDE/>
        <w:autoSpaceDN/>
        <w:bidi w:val="0"/>
        <w:snapToGrid/>
        <w:spacing w:before="0" w:beforeAutospacing="0" w:after="0"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color w:val="auto"/>
          <w:kern w:val="2"/>
          <w:sz w:val="32"/>
          <w:szCs w:val="22"/>
          <w:lang w:val="en-US" w:eastAsia="zh-CN" w:bidi="ar-SA"/>
        </w:rPr>
        <w:t>上半年，</w:t>
      </w:r>
      <w:r>
        <w:rPr>
          <w:rFonts w:hint="eastAsia" w:hAnsi="仿宋_GB2312" w:cs="仿宋_GB2312"/>
          <w:color w:val="auto"/>
          <w:kern w:val="2"/>
          <w:sz w:val="32"/>
          <w:szCs w:val="22"/>
          <w:lang w:val="en-US" w:eastAsia="zh-CN" w:bidi="ar-SA"/>
        </w:rPr>
        <w:t>全</w:t>
      </w:r>
      <w:r>
        <w:rPr>
          <w:rFonts w:hint="eastAsia" w:ascii="仿宋_GB2312" w:hAnsi="仿宋_GB2312" w:eastAsia="仿宋_GB2312" w:cs="仿宋_GB2312"/>
          <w:color w:val="auto"/>
          <w:kern w:val="2"/>
          <w:sz w:val="32"/>
          <w:szCs w:val="22"/>
          <w:lang w:val="en-US" w:eastAsia="zh-CN" w:bidi="ar-SA"/>
        </w:rPr>
        <w:t>县农林牧渔业总产值同比增长3.1%。其中，蔬菜及食用菌、园林水果产量分别增长</w:t>
      </w:r>
      <w:r>
        <w:rPr>
          <w:rFonts w:hint="eastAsia" w:hAnsi="仿宋_GB2312" w:cs="仿宋_GB2312"/>
          <w:color w:val="auto"/>
          <w:kern w:val="2"/>
          <w:sz w:val="32"/>
          <w:szCs w:val="22"/>
          <w:lang w:val="en-US" w:eastAsia="zh-CN" w:bidi="ar-SA"/>
        </w:rPr>
        <w:t>3.5</w:t>
      </w:r>
      <w:r>
        <w:rPr>
          <w:rFonts w:hint="eastAsia" w:ascii="仿宋_GB2312" w:hAnsi="仿宋_GB2312" w:eastAsia="仿宋_GB2312" w:cs="仿宋_GB2312"/>
          <w:color w:val="auto"/>
          <w:kern w:val="2"/>
          <w:sz w:val="32"/>
          <w:szCs w:val="22"/>
          <w:lang w:val="en-US" w:eastAsia="zh-CN" w:bidi="ar-SA"/>
        </w:rPr>
        <w:t>%、</w:t>
      </w:r>
      <w:r>
        <w:rPr>
          <w:rFonts w:hint="eastAsia" w:hAnsi="仿宋_GB2312" w:cs="仿宋_GB2312"/>
          <w:color w:val="auto"/>
          <w:kern w:val="2"/>
          <w:sz w:val="32"/>
          <w:szCs w:val="22"/>
          <w:lang w:val="en-US" w:eastAsia="zh-CN" w:bidi="ar-SA"/>
        </w:rPr>
        <w:t>2.4</w:t>
      </w:r>
      <w:r>
        <w:rPr>
          <w:rFonts w:hint="eastAsia" w:ascii="仿宋_GB2312" w:hAnsi="仿宋_GB2312" w:eastAsia="仿宋_GB2312" w:cs="仿宋_GB2312"/>
          <w:color w:val="auto"/>
          <w:kern w:val="2"/>
          <w:sz w:val="32"/>
          <w:szCs w:val="22"/>
          <w:lang w:val="en-US" w:eastAsia="zh-CN" w:bidi="ar-SA"/>
        </w:rPr>
        <w:t>%。</w:t>
      </w:r>
    </w:p>
    <w:p w14:paraId="5CA45233">
      <w:pPr>
        <w:keepNext w:val="0"/>
        <w:keepLines w:val="0"/>
        <w:pageBreakBefore w:val="0"/>
        <w:widowControl w:val="0"/>
        <w:numPr>
          <w:ilvl w:val="0"/>
          <w:numId w:val="1"/>
        </w:numPr>
        <w:kinsoku/>
        <w:wordWrap/>
        <w:overflowPunct/>
        <w:topLinePunct w:val="0"/>
        <w:autoSpaceDE/>
        <w:autoSpaceDN/>
        <w:bidi w:val="0"/>
        <w:adjustRightInd/>
        <w:snapToGrid/>
        <w:spacing w:beforeAutospacing="0" w:line="600" w:lineRule="exact"/>
        <w:ind w:left="0" w:leftChars="0" w:firstLine="643" w:firstLineChars="200"/>
        <w:textAlignment w:val="auto"/>
        <w:rPr>
          <w:rFonts w:hint="eastAsia" w:ascii="仿宋_GB2312" w:hAnsi="仿宋_GB2312" w:eastAsia="仿宋_GB2312" w:cs="仿宋_GB2312"/>
          <w:b/>
          <w:bCs/>
          <w:snapToGrid w:val="0"/>
          <w:sz w:val="32"/>
          <w:szCs w:val="32"/>
          <w:highlight w:val="none"/>
          <w:lang w:val="en-US" w:eastAsia="zh-CN"/>
        </w:rPr>
      </w:pPr>
      <w:r>
        <w:rPr>
          <w:rFonts w:hint="eastAsia" w:ascii="仿宋_GB2312" w:hAnsi="仿宋_GB2312" w:eastAsia="仿宋_GB2312" w:cs="仿宋_GB2312"/>
          <w:b/>
          <w:bCs/>
          <w:snapToGrid w:val="0"/>
          <w:sz w:val="32"/>
          <w:szCs w:val="32"/>
          <w:highlight w:val="none"/>
          <w:lang w:val="en-US" w:eastAsia="zh-CN"/>
        </w:rPr>
        <w:t>二产增速较为平稳</w:t>
      </w:r>
    </w:p>
    <w:p w14:paraId="27930A5C">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600" w:lineRule="exact"/>
        <w:textAlignment w:val="auto"/>
        <w:rPr>
          <w:rFonts w:hint="default" w:ascii="仿宋_GB2312" w:hAnsi="仿宋_GB2312" w:eastAsia="仿宋_GB2312" w:cs="仿宋_GB2312"/>
          <w:snapToGrid w:val="0"/>
          <w:color w:val="000000"/>
          <w:kern w:val="2"/>
          <w:sz w:val="32"/>
          <w:szCs w:val="32"/>
          <w:highlight w:val="none"/>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snapToGrid w:val="0"/>
          <w:color w:val="000000"/>
          <w:kern w:val="2"/>
          <w:sz w:val="32"/>
          <w:szCs w:val="32"/>
          <w:highlight w:val="none"/>
          <w:lang w:val="en-US" w:eastAsia="zh-CN" w:bidi="ar-SA"/>
        </w:rPr>
        <w:t xml:space="preserve"> 上半年，全县</w:t>
      </w:r>
      <w:r>
        <w:rPr>
          <w:rFonts w:hint="eastAsia" w:hAnsi="仿宋_GB2312" w:cs="仿宋_GB2312"/>
          <w:snapToGrid w:val="0"/>
          <w:color w:val="000000"/>
          <w:kern w:val="2"/>
          <w:sz w:val="32"/>
          <w:szCs w:val="32"/>
          <w:highlight w:val="none"/>
          <w:lang w:val="en-US" w:eastAsia="zh-CN" w:bidi="ar-SA"/>
        </w:rPr>
        <w:t>工业增加值同比增长0.8%，其中</w:t>
      </w:r>
      <w:r>
        <w:rPr>
          <w:rFonts w:hint="eastAsia" w:ascii="仿宋_GB2312" w:hAnsi="仿宋_GB2312" w:eastAsia="仿宋_GB2312" w:cs="仿宋_GB2312"/>
          <w:snapToGrid w:val="0"/>
          <w:color w:val="000000"/>
          <w:kern w:val="2"/>
          <w:sz w:val="32"/>
          <w:szCs w:val="32"/>
          <w:highlight w:val="none"/>
          <w:lang w:val="en-US" w:eastAsia="zh-CN" w:bidi="ar-SA"/>
        </w:rPr>
        <w:t>规上工业增加值同比增长0.6%。</w:t>
      </w:r>
      <w:r>
        <w:rPr>
          <w:rFonts w:hint="eastAsia" w:hAnsi="仿宋_GB2312" w:cs="仿宋_GB2312"/>
          <w:snapToGrid w:val="0"/>
          <w:color w:val="000000"/>
          <w:kern w:val="2"/>
          <w:sz w:val="32"/>
          <w:szCs w:val="32"/>
          <w:highlight w:val="none"/>
          <w:lang w:val="en-US" w:eastAsia="zh-CN" w:bidi="ar-SA"/>
        </w:rPr>
        <w:t>建筑业总产值同比增长38.3%，发展趋势良好。</w:t>
      </w:r>
    </w:p>
    <w:p w14:paraId="419BA278">
      <w:pPr>
        <w:keepNext w:val="0"/>
        <w:keepLines w:val="0"/>
        <w:pageBreakBefore w:val="0"/>
        <w:widowControl w:val="0"/>
        <w:numPr>
          <w:ilvl w:val="0"/>
          <w:numId w:val="1"/>
        </w:numPr>
        <w:kinsoku/>
        <w:wordWrap/>
        <w:overflowPunct/>
        <w:topLinePunct w:val="0"/>
        <w:autoSpaceDE/>
        <w:autoSpaceDN/>
        <w:bidi w:val="0"/>
        <w:adjustRightInd/>
        <w:snapToGrid/>
        <w:spacing w:beforeAutospacing="0" w:line="600" w:lineRule="exact"/>
        <w:ind w:left="0" w:leftChars="0" w:firstLine="643" w:firstLineChars="200"/>
        <w:textAlignment w:val="auto"/>
        <w:rPr>
          <w:rFonts w:hint="eastAsia" w:ascii="仿宋_GB2312" w:hAnsi="仿宋_GB2312" w:eastAsia="仿宋_GB2312" w:cs="仿宋_GB2312"/>
          <w:b/>
          <w:bCs/>
          <w:snapToGrid w:val="0"/>
          <w:sz w:val="32"/>
          <w:szCs w:val="32"/>
          <w:highlight w:val="none"/>
          <w:lang w:val="en-US" w:eastAsia="zh-CN"/>
        </w:rPr>
      </w:pPr>
      <w:r>
        <w:rPr>
          <w:rFonts w:hint="eastAsia" w:ascii="仿宋_GB2312" w:hAnsi="仿宋_GB2312" w:eastAsia="仿宋_GB2312" w:cs="仿宋_GB2312"/>
          <w:b/>
          <w:bCs/>
          <w:snapToGrid w:val="0"/>
          <w:sz w:val="32"/>
          <w:szCs w:val="32"/>
          <w:highlight w:val="none"/>
          <w:lang w:val="en-US" w:eastAsia="zh-CN"/>
        </w:rPr>
        <w:t>三产发展趋势较好</w:t>
      </w:r>
    </w:p>
    <w:p w14:paraId="7B37BA5C">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b w:val="0"/>
          <w:bCs w:val="0"/>
          <w:snapToGrid w:val="0"/>
          <w:sz w:val="32"/>
          <w:szCs w:val="32"/>
          <w:highlight w:val="none"/>
          <w:lang w:val="en-US" w:eastAsia="zh-CN"/>
        </w:rPr>
      </w:pPr>
      <w:r>
        <w:rPr>
          <w:rFonts w:hint="eastAsia" w:ascii="仿宋_GB2312" w:hAnsi="仿宋_GB2312" w:eastAsia="仿宋_GB2312" w:cs="仿宋_GB2312"/>
          <w:kern w:val="0"/>
          <w:sz w:val="32"/>
          <w:szCs w:val="32"/>
          <w:shd w:val="clear" w:color="auto" w:fill="FFFFFF"/>
          <w:lang w:val="en-US" w:eastAsia="zh-CN" w:bidi="ar-SA"/>
        </w:rPr>
        <w:t>上半年，全县服务业增加值同比增长4.3%。其中，批发和零售业，金融业，交通运输、仓储和邮政业增加值分别增长11.7%、7.0%、5.4%，比全部服务业增速高7.4、2.7、1.1个百分点。直播带货持续火爆，优惠活动丰富多彩，限上零售业销售额同比增长39.6%。</w:t>
      </w:r>
    </w:p>
    <w:p w14:paraId="045176BB">
      <w:pPr>
        <w:keepNext w:val="0"/>
        <w:keepLines w:val="0"/>
        <w:pageBreakBefore w:val="0"/>
        <w:widowControl w:val="0"/>
        <w:numPr>
          <w:ilvl w:val="0"/>
          <w:numId w:val="1"/>
        </w:numPr>
        <w:kinsoku/>
        <w:wordWrap/>
        <w:overflowPunct/>
        <w:topLinePunct w:val="0"/>
        <w:autoSpaceDE/>
        <w:autoSpaceDN/>
        <w:bidi w:val="0"/>
        <w:adjustRightInd/>
        <w:snapToGrid/>
        <w:spacing w:beforeAutospacing="0" w:line="600" w:lineRule="exact"/>
        <w:ind w:left="0" w:leftChars="0" w:firstLine="643" w:firstLineChars="200"/>
        <w:textAlignment w:val="auto"/>
        <w:rPr>
          <w:rFonts w:hint="eastAsia" w:ascii="仿宋_GB2312" w:hAnsi="仿宋_GB2312" w:eastAsia="仿宋_GB2312" w:cs="仿宋_GB2312"/>
          <w:b/>
          <w:bCs/>
          <w:snapToGrid w:val="0"/>
          <w:sz w:val="32"/>
          <w:szCs w:val="32"/>
          <w:highlight w:val="none"/>
          <w:lang w:val="en-US" w:eastAsia="zh-CN"/>
        </w:rPr>
      </w:pPr>
      <w:r>
        <w:rPr>
          <w:rFonts w:hint="eastAsia" w:ascii="仿宋_GB2312" w:hAnsi="仿宋_GB2312" w:eastAsia="仿宋_GB2312" w:cs="仿宋_GB2312"/>
          <w:b/>
          <w:bCs/>
          <w:snapToGrid w:val="0"/>
          <w:sz w:val="32"/>
          <w:szCs w:val="32"/>
          <w:highlight w:val="none"/>
          <w:lang w:val="en-US" w:eastAsia="zh-CN"/>
        </w:rPr>
        <w:t>居民收入平稳增长</w:t>
      </w:r>
    </w:p>
    <w:p w14:paraId="23F15F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5"/>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上半年，全县居民人均可支配收入14064元，同比名义增长5.4%。按常住地分，城镇居民人均可支配收入23296元，同比名义增长3.8%；农村居民人均可支配收入8951元，同比名义增长6.7%。</w:t>
      </w:r>
    </w:p>
    <w:sectPr>
      <w:headerReference r:id="rId3" w:type="default"/>
      <w:footerReference r:id="rId4" w:type="default"/>
      <w:pgSz w:w="11906" w:h="16838"/>
      <w:pgMar w:top="1440" w:right="12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5379">
    <w:pPr>
      <w:pStyle w:val="7"/>
      <w:tabs>
        <w:tab w:val="left" w:pos="7140"/>
      </w:tabs>
      <w:wordWrap w:val="0"/>
      <w:ind w:right="405"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C4A2E">
                          <w:pPr>
                            <w:pStyle w:val="7"/>
                            <w:tabs>
                              <w:tab w:val="left" w:pos="7140"/>
                            </w:tabs>
                            <w:wordWrap w:val="0"/>
                            <w:ind w:right="405" w:firstLine="360"/>
                            <w:jc w:val="right"/>
                          </w:pPr>
                          <w:r>
                            <w:rPr>
                              <w:rStyle w:val="14"/>
                              <w:rFonts w:hint="eastAsia"/>
                              <w:color w:val="000000"/>
                              <w:spacing w:val="-8"/>
                              <w:sz w:val="28"/>
                              <w:szCs w:val="28"/>
                            </w:rPr>
                            <w:t xml:space="preserve">—  </w:t>
                          </w:r>
                          <w:r>
                            <w:rPr>
                              <w:rFonts w:ascii="宋体" w:hAnsi="宋体"/>
                              <w:color w:val="000000"/>
                              <w:spacing w:val="-8"/>
                              <w:sz w:val="28"/>
                              <w:szCs w:val="28"/>
                            </w:rPr>
                            <w:fldChar w:fldCharType="begin"/>
                          </w:r>
                          <w:r>
                            <w:rPr>
                              <w:rStyle w:val="14"/>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4"/>
                              <w:rFonts w:ascii="宋体" w:hAnsi="宋体"/>
                              <w:color w:val="000000"/>
                              <w:spacing w:val="-8"/>
                              <w:sz w:val="28"/>
                              <w:szCs w:val="28"/>
                            </w:rPr>
                            <w:t>1</w:t>
                          </w:r>
                          <w:r>
                            <w:rPr>
                              <w:rFonts w:ascii="宋体" w:hAnsi="宋体"/>
                              <w:color w:val="000000"/>
                              <w:spacing w:val="-8"/>
                              <w:sz w:val="28"/>
                              <w:szCs w:val="28"/>
                            </w:rPr>
                            <w:fldChar w:fldCharType="end"/>
                          </w:r>
                          <w:r>
                            <w:rPr>
                              <w:rStyle w:val="14"/>
                              <w:rFonts w:hint="eastAsia" w:ascii="宋体" w:hAnsi="宋体"/>
                              <w:color w:val="000000"/>
                              <w:spacing w:val="-8"/>
                              <w:sz w:val="28"/>
                              <w:szCs w:val="28"/>
                            </w:rPr>
                            <w:t xml:space="preserve"> </w:t>
                          </w:r>
                          <w:r>
                            <w:rPr>
                              <w:rStyle w:val="14"/>
                              <w:rFonts w:hint="eastAsia"/>
                              <w:color w:val="000000"/>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0C4A2E">
                    <w:pPr>
                      <w:pStyle w:val="7"/>
                      <w:tabs>
                        <w:tab w:val="left" w:pos="7140"/>
                      </w:tabs>
                      <w:wordWrap w:val="0"/>
                      <w:ind w:right="405" w:firstLine="360"/>
                      <w:jc w:val="right"/>
                    </w:pPr>
                    <w:r>
                      <w:rPr>
                        <w:rStyle w:val="14"/>
                        <w:rFonts w:hint="eastAsia"/>
                        <w:color w:val="000000"/>
                        <w:spacing w:val="-8"/>
                        <w:sz w:val="28"/>
                        <w:szCs w:val="28"/>
                      </w:rPr>
                      <w:t xml:space="preserve">—  </w:t>
                    </w:r>
                    <w:r>
                      <w:rPr>
                        <w:rFonts w:ascii="宋体" w:hAnsi="宋体"/>
                        <w:color w:val="000000"/>
                        <w:spacing w:val="-8"/>
                        <w:sz w:val="28"/>
                        <w:szCs w:val="28"/>
                      </w:rPr>
                      <w:fldChar w:fldCharType="begin"/>
                    </w:r>
                    <w:r>
                      <w:rPr>
                        <w:rStyle w:val="14"/>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4"/>
                        <w:rFonts w:ascii="宋体" w:hAnsi="宋体"/>
                        <w:color w:val="000000"/>
                        <w:spacing w:val="-8"/>
                        <w:sz w:val="28"/>
                        <w:szCs w:val="28"/>
                      </w:rPr>
                      <w:t>1</w:t>
                    </w:r>
                    <w:r>
                      <w:rPr>
                        <w:rFonts w:ascii="宋体" w:hAnsi="宋体"/>
                        <w:color w:val="000000"/>
                        <w:spacing w:val="-8"/>
                        <w:sz w:val="28"/>
                        <w:szCs w:val="28"/>
                      </w:rPr>
                      <w:fldChar w:fldCharType="end"/>
                    </w:r>
                    <w:r>
                      <w:rPr>
                        <w:rStyle w:val="14"/>
                        <w:rFonts w:hint="eastAsia" w:ascii="宋体" w:hAnsi="宋体"/>
                        <w:color w:val="000000"/>
                        <w:spacing w:val="-8"/>
                        <w:sz w:val="28"/>
                        <w:szCs w:val="28"/>
                      </w:rPr>
                      <w:t xml:space="preserve"> </w:t>
                    </w:r>
                    <w:r>
                      <w:rPr>
                        <w:rStyle w:val="14"/>
                        <w:rFonts w:hint="eastAsia"/>
                        <w:color w:val="000000"/>
                        <w:spacing w:val="-8"/>
                        <w:sz w:val="28"/>
                        <w:szCs w:val="28"/>
                      </w:rPr>
                      <w:t xml:space="preserve"> —</w:t>
                    </w:r>
                  </w:p>
                </w:txbxContent>
              </v:textbox>
            </v:shape>
          </w:pict>
        </mc:Fallback>
      </mc:AlternateContent>
    </w:r>
  </w:p>
  <w:p w14:paraId="2167C5E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4FF5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69B6C"/>
    <w:multiLevelType w:val="singleLevel"/>
    <w:tmpl w:val="8B769B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ZGM4OGY4YzQ3MTBmMGViYzE1YjU0ZjI0OWZmMzYifQ=="/>
  </w:docVars>
  <w:rsids>
    <w:rsidRoot w:val="026306AC"/>
    <w:rsid w:val="01406BB4"/>
    <w:rsid w:val="01FD4C2B"/>
    <w:rsid w:val="023758FE"/>
    <w:rsid w:val="024944D8"/>
    <w:rsid w:val="026306AC"/>
    <w:rsid w:val="02683E76"/>
    <w:rsid w:val="02B6709D"/>
    <w:rsid w:val="03694EBA"/>
    <w:rsid w:val="036E42B8"/>
    <w:rsid w:val="04250BBE"/>
    <w:rsid w:val="045D07AF"/>
    <w:rsid w:val="048E0FA1"/>
    <w:rsid w:val="04975514"/>
    <w:rsid w:val="04B00145"/>
    <w:rsid w:val="04D87247"/>
    <w:rsid w:val="06732524"/>
    <w:rsid w:val="06D342A9"/>
    <w:rsid w:val="06ED9DD9"/>
    <w:rsid w:val="07F558F4"/>
    <w:rsid w:val="07F64E08"/>
    <w:rsid w:val="08B4037A"/>
    <w:rsid w:val="09295E9E"/>
    <w:rsid w:val="093976CC"/>
    <w:rsid w:val="09402B0D"/>
    <w:rsid w:val="09606454"/>
    <w:rsid w:val="096A5FCE"/>
    <w:rsid w:val="0A3D797F"/>
    <w:rsid w:val="0A430E0F"/>
    <w:rsid w:val="0A6D3946"/>
    <w:rsid w:val="0ADF5476"/>
    <w:rsid w:val="0AE431AC"/>
    <w:rsid w:val="0B1A769A"/>
    <w:rsid w:val="0B4B717C"/>
    <w:rsid w:val="0B6E449C"/>
    <w:rsid w:val="0BA23811"/>
    <w:rsid w:val="0BD56B62"/>
    <w:rsid w:val="0C9C190F"/>
    <w:rsid w:val="0CCE6992"/>
    <w:rsid w:val="0D0238B7"/>
    <w:rsid w:val="0D4F69B2"/>
    <w:rsid w:val="0E6A2D0C"/>
    <w:rsid w:val="0E77558A"/>
    <w:rsid w:val="0F8A78DF"/>
    <w:rsid w:val="10D14A05"/>
    <w:rsid w:val="11890DCD"/>
    <w:rsid w:val="11AA6E3E"/>
    <w:rsid w:val="1231650C"/>
    <w:rsid w:val="12820C40"/>
    <w:rsid w:val="130018D9"/>
    <w:rsid w:val="130F7B66"/>
    <w:rsid w:val="131B78FA"/>
    <w:rsid w:val="13FFDF95"/>
    <w:rsid w:val="14575DAF"/>
    <w:rsid w:val="147177E0"/>
    <w:rsid w:val="148B7538"/>
    <w:rsid w:val="1601798F"/>
    <w:rsid w:val="17495AA8"/>
    <w:rsid w:val="17B010FC"/>
    <w:rsid w:val="18512322"/>
    <w:rsid w:val="18A4506D"/>
    <w:rsid w:val="18AA6C52"/>
    <w:rsid w:val="18CD38A6"/>
    <w:rsid w:val="19237E96"/>
    <w:rsid w:val="1941133F"/>
    <w:rsid w:val="1A4A0280"/>
    <w:rsid w:val="1A7C5C7A"/>
    <w:rsid w:val="1B1946DC"/>
    <w:rsid w:val="1B303855"/>
    <w:rsid w:val="1BC00284"/>
    <w:rsid w:val="1D064EAE"/>
    <w:rsid w:val="1D7E4CE6"/>
    <w:rsid w:val="1DB75DEA"/>
    <w:rsid w:val="1E9A46DE"/>
    <w:rsid w:val="1F3C14D5"/>
    <w:rsid w:val="1F782821"/>
    <w:rsid w:val="1FB762ED"/>
    <w:rsid w:val="21947A2B"/>
    <w:rsid w:val="21C01703"/>
    <w:rsid w:val="22810ECB"/>
    <w:rsid w:val="22E54D84"/>
    <w:rsid w:val="23BB026B"/>
    <w:rsid w:val="23D6413A"/>
    <w:rsid w:val="248D0B17"/>
    <w:rsid w:val="24CC3BE1"/>
    <w:rsid w:val="25CD3A76"/>
    <w:rsid w:val="26211A56"/>
    <w:rsid w:val="266C5FB9"/>
    <w:rsid w:val="26765D99"/>
    <w:rsid w:val="269F47EE"/>
    <w:rsid w:val="26A03E06"/>
    <w:rsid w:val="26EC5847"/>
    <w:rsid w:val="274B2C1C"/>
    <w:rsid w:val="281F5561"/>
    <w:rsid w:val="2908719B"/>
    <w:rsid w:val="29D83A19"/>
    <w:rsid w:val="2A274151"/>
    <w:rsid w:val="2A8704F8"/>
    <w:rsid w:val="2AAF60B0"/>
    <w:rsid w:val="2AB22486"/>
    <w:rsid w:val="2B201C64"/>
    <w:rsid w:val="2B3E4EAD"/>
    <w:rsid w:val="2C5D6BA9"/>
    <w:rsid w:val="2D1F2FEA"/>
    <w:rsid w:val="2D490C13"/>
    <w:rsid w:val="2D996BD8"/>
    <w:rsid w:val="2DAE2494"/>
    <w:rsid w:val="2ED47230"/>
    <w:rsid w:val="2F5C1E00"/>
    <w:rsid w:val="30633E3B"/>
    <w:rsid w:val="30AC6AF7"/>
    <w:rsid w:val="30D11760"/>
    <w:rsid w:val="31322BF0"/>
    <w:rsid w:val="313411D1"/>
    <w:rsid w:val="316B2774"/>
    <w:rsid w:val="320E7169"/>
    <w:rsid w:val="33316B7B"/>
    <w:rsid w:val="33663DB1"/>
    <w:rsid w:val="352C6210"/>
    <w:rsid w:val="35713976"/>
    <w:rsid w:val="3597738F"/>
    <w:rsid w:val="359D2519"/>
    <w:rsid w:val="35A84AA3"/>
    <w:rsid w:val="360D45D0"/>
    <w:rsid w:val="361B02C4"/>
    <w:rsid w:val="3673668D"/>
    <w:rsid w:val="36931E73"/>
    <w:rsid w:val="369346F7"/>
    <w:rsid w:val="36A91D74"/>
    <w:rsid w:val="36CB5A6B"/>
    <w:rsid w:val="36EC59B3"/>
    <w:rsid w:val="37A454B2"/>
    <w:rsid w:val="39334084"/>
    <w:rsid w:val="396D5FCB"/>
    <w:rsid w:val="3A3519D1"/>
    <w:rsid w:val="3A576D8D"/>
    <w:rsid w:val="3AB118B5"/>
    <w:rsid w:val="3B3F60C1"/>
    <w:rsid w:val="3B7774BB"/>
    <w:rsid w:val="3B9E4D92"/>
    <w:rsid w:val="3D0D0E5C"/>
    <w:rsid w:val="3D1B3DB0"/>
    <w:rsid w:val="3D483E84"/>
    <w:rsid w:val="3D5C1338"/>
    <w:rsid w:val="3D624CAE"/>
    <w:rsid w:val="3DAB1CCC"/>
    <w:rsid w:val="3DFAD4B4"/>
    <w:rsid w:val="3E640D24"/>
    <w:rsid w:val="3E7F33BB"/>
    <w:rsid w:val="40331F40"/>
    <w:rsid w:val="4098779E"/>
    <w:rsid w:val="40C46DEE"/>
    <w:rsid w:val="40EC05AB"/>
    <w:rsid w:val="428711BD"/>
    <w:rsid w:val="42AD7535"/>
    <w:rsid w:val="42EE7F3E"/>
    <w:rsid w:val="431F6DE9"/>
    <w:rsid w:val="43310D2E"/>
    <w:rsid w:val="44140159"/>
    <w:rsid w:val="445E6EA4"/>
    <w:rsid w:val="44FB351B"/>
    <w:rsid w:val="44FF374B"/>
    <w:rsid w:val="45506C29"/>
    <w:rsid w:val="455E3FF6"/>
    <w:rsid w:val="46441DFD"/>
    <w:rsid w:val="46483629"/>
    <w:rsid w:val="46F8097F"/>
    <w:rsid w:val="478D729D"/>
    <w:rsid w:val="47BA3586"/>
    <w:rsid w:val="4914021D"/>
    <w:rsid w:val="495579D6"/>
    <w:rsid w:val="4A902232"/>
    <w:rsid w:val="4ABE20F3"/>
    <w:rsid w:val="4B152ADC"/>
    <w:rsid w:val="4BA40A9B"/>
    <w:rsid w:val="4BF64F84"/>
    <w:rsid w:val="4D083C53"/>
    <w:rsid w:val="4D407CB0"/>
    <w:rsid w:val="4D9C6D15"/>
    <w:rsid w:val="4E8F4889"/>
    <w:rsid w:val="4EA6241A"/>
    <w:rsid w:val="5093016C"/>
    <w:rsid w:val="509479E7"/>
    <w:rsid w:val="509505F3"/>
    <w:rsid w:val="50E91447"/>
    <w:rsid w:val="50E9517D"/>
    <w:rsid w:val="51344E18"/>
    <w:rsid w:val="51562339"/>
    <w:rsid w:val="51B83CF3"/>
    <w:rsid w:val="52192DE2"/>
    <w:rsid w:val="52536850"/>
    <w:rsid w:val="527D4186"/>
    <w:rsid w:val="52A14542"/>
    <w:rsid w:val="52D90CBE"/>
    <w:rsid w:val="53280172"/>
    <w:rsid w:val="538E7EA2"/>
    <w:rsid w:val="539320CC"/>
    <w:rsid w:val="53955D20"/>
    <w:rsid w:val="5461400E"/>
    <w:rsid w:val="5483189C"/>
    <w:rsid w:val="54CB4FEA"/>
    <w:rsid w:val="55322C20"/>
    <w:rsid w:val="557264C3"/>
    <w:rsid w:val="55BB81BE"/>
    <w:rsid w:val="574C6D09"/>
    <w:rsid w:val="57B82C3D"/>
    <w:rsid w:val="57FFC7BE"/>
    <w:rsid w:val="580612FD"/>
    <w:rsid w:val="580C7279"/>
    <w:rsid w:val="584641F5"/>
    <w:rsid w:val="58856DC0"/>
    <w:rsid w:val="59852668"/>
    <w:rsid w:val="59A321FB"/>
    <w:rsid w:val="5B720443"/>
    <w:rsid w:val="5BBFE624"/>
    <w:rsid w:val="5D1E0517"/>
    <w:rsid w:val="5F406187"/>
    <w:rsid w:val="5FBA6BF0"/>
    <w:rsid w:val="5FBFFA5C"/>
    <w:rsid w:val="5FCF130E"/>
    <w:rsid w:val="5FFFA038"/>
    <w:rsid w:val="60D7253E"/>
    <w:rsid w:val="60E73C97"/>
    <w:rsid w:val="613117A8"/>
    <w:rsid w:val="6158259B"/>
    <w:rsid w:val="61967D72"/>
    <w:rsid w:val="61BD0250"/>
    <w:rsid w:val="62AB6F1C"/>
    <w:rsid w:val="62F9295D"/>
    <w:rsid w:val="632C0DEB"/>
    <w:rsid w:val="63320290"/>
    <w:rsid w:val="63590D82"/>
    <w:rsid w:val="6359757E"/>
    <w:rsid w:val="635E47D3"/>
    <w:rsid w:val="63782623"/>
    <w:rsid w:val="63984453"/>
    <w:rsid w:val="649D0321"/>
    <w:rsid w:val="64E46A5D"/>
    <w:rsid w:val="64F465C3"/>
    <w:rsid w:val="64FB013A"/>
    <w:rsid w:val="652128FB"/>
    <w:rsid w:val="652E02BD"/>
    <w:rsid w:val="65782A18"/>
    <w:rsid w:val="658B0713"/>
    <w:rsid w:val="65B94D3F"/>
    <w:rsid w:val="66FB01B2"/>
    <w:rsid w:val="679B7AC4"/>
    <w:rsid w:val="67BB756B"/>
    <w:rsid w:val="67FF4192"/>
    <w:rsid w:val="68096A47"/>
    <w:rsid w:val="69C55464"/>
    <w:rsid w:val="69FFF821"/>
    <w:rsid w:val="6A3E24DC"/>
    <w:rsid w:val="6AFA475A"/>
    <w:rsid w:val="6B083D88"/>
    <w:rsid w:val="6BEF782F"/>
    <w:rsid w:val="6CA8211B"/>
    <w:rsid w:val="6D21195D"/>
    <w:rsid w:val="6DC4208B"/>
    <w:rsid w:val="6EE371A7"/>
    <w:rsid w:val="6F2464F4"/>
    <w:rsid w:val="6F685A55"/>
    <w:rsid w:val="6F857913"/>
    <w:rsid w:val="71535F3B"/>
    <w:rsid w:val="71E6030B"/>
    <w:rsid w:val="73430237"/>
    <w:rsid w:val="74000E6D"/>
    <w:rsid w:val="743A102B"/>
    <w:rsid w:val="75730C0D"/>
    <w:rsid w:val="75756090"/>
    <w:rsid w:val="75A40881"/>
    <w:rsid w:val="75A41342"/>
    <w:rsid w:val="75F45508"/>
    <w:rsid w:val="75F99F73"/>
    <w:rsid w:val="761675E5"/>
    <w:rsid w:val="7658419B"/>
    <w:rsid w:val="777032C5"/>
    <w:rsid w:val="788944EC"/>
    <w:rsid w:val="78A12C32"/>
    <w:rsid w:val="78A23952"/>
    <w:rsid w:val="78F3D21A"/>
    <w:rsid w:val="78F54688"/>
    <w:rsid w:val="794408D3"/>
    <w:rsid w:val="79A33E26"/>
    <w:rsid w:val="79BC3045"/>
    <w:rsid w:val="7B3E9BD7"/>
    <w:rsid w:val="7BD84537"/>
    <w:rsid w:val="7BDE3001"/>
    <w:rsid w:val="7C137E1D"/>
    <w:rsid w:val="7C472928"/>
    <w:rsid w:val="7C9B6A7C"/>
    <w:rsid w:val="7D5F5B65"/>
    <w:rsid w:val="7D7FBF79"/>
    <w:rsid w:val="7D9200E9"/>
    <w:rsid w:val="7DB99CDB"/>
    <w:rsid w:val="7DD72F1A"/>
    <w:rsid w:val="7E6B36E5"/>
    <w:rsid w:val="7E7E6B07"/>
    <w:rsid w:val="7E7F4BC1"/>
    <w:rsid w:val="7E9D6B6C"/>
    <w:rsid w:val="7F1E4EDF"/>
    <w:rsid w:val="7F6A2A83"/>
    <w:rsid w:val="7F763E8A"/>
    <w:rsid w:val="7FCC30A7"/>
    <w:rsid w:val="7FF3C90A"/>
    <w:rsid w:val="7FF7C78B"/>
    <w:rsid w:val="8AA2C2AF"/>
    <w:rsid w:val="9FBCD3D8"/>
    <w:rsid w:val="B72761F6"/>
    <w:rsid w:val="CFF772F5"/>
    <w:rsid w:val="D0DF60F4"/>
    <w:rsid w:val="DBDE6B3E"/>
    <w:rsid w:val="DCAE53FC"/>
    <w:rsid w:val="DEDB3DC3"/>
    <w:rsid w:val="DFF7DA79"/>
    <w:rsid w:val="DFFE47F5"/>
    <w:rsid w:val="EDF34BAC"/>
    <w:rsid w:val="EFF8BC02"/>
    <w:rsid w:val="EFFFC0E1"/>
    <w:rsid w:val="F57F3676"/>
    <w:rsid w:val="F598068A"/>
    <w:rsid w:val="F73E9CA6"/>
    <w:rsid w:val="F7EF08D5"/>
    <w:rsid w:val="F8CF94AB"/>
    <w:rsid w:val="FAF74144"/>
    <w:rsid w:val="FBFE6964"/>
    <w:rsid w:val="FEFEB61F"/>
    <w:rsid w:val="FEFFFE2C"/>
    <w:rsid w:val="FFEAA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before="100" w:beforeAutospacing="1" w:after="0" w:line="360" w:lineRule="auto"/>
      <w:ind w:firstLine="200" w:firstLineChars="200"/>
    </w:pPr>
    <w:rPr>
      <w:rFonts w:ascii="仿宋_GB2312" w:hAnsi="宋体" w:eastAsia="仿宋_GB2312" w:cs="宋体"/>
      <w:sz w:val="32"/>
      <w:szCs w:val="32"/>
    </w:rPr>
  </w:style>
  <w:style w:type="paragraph" w:styleId="3">
    <w:name w:val="Body Text"/>
    <w:basedOn w:val="1"/>
    <w:next w:val="4"/>
    <w:qFormat/>
    <w:uiPriority w:val="0"/>
    <w:pPr>
      <w:spacing w:after="120"/>
    </w:pPr>
  </w:style>
  <w:style w:type="paragraph" w:styleId="4">
    <w:name w:val="Title"/>
    <w:basedOn w:val="1"/>
    <w:next w:val="1"/>
    <w:qFormat/>
    <w:uiPriority w:val="0"/>
    <w:pPr>
      <w:spacing w:before="60" w:after="120" w:line="560" w:lineRule="exact"/>
      <w:jc w:val="center"/>
      <w:outlineLvl w:val="0"/>
    </w:pPr>
    <w:rPr>
      <w:rFonts w:eastAsia="方正小标宋简体"/>
      <w:bCs/>
      <w:sz w:val="44"/>
    </w:rPr>
  </w:style>
  <w:style w:type="paragraph" w:styleId="5">
    <w:name w:val="caption"/>
    <w:basedOn w:val="1"/>
    <w:next w:val="1"/>
    <w:qFormat/>
    <w:uiPriority w:val="0"/>
    <w:pPr>
      <w:widowControl w:val="0"/>
      <w:jc w:val="both"/>
    </w:pPr>
    <w:rPr>
      <w:rFonts w:ascii="Cambria" w:hAnsi="Cambria" w:eastAsia="黑体" w:cs="Cambria"/>
      <w:kern w:val="2"/>
      <w:sz w:val="20"/>
      <w:szCs w:val="20"/>
      <w:lang w:val="en-US" w:eastAsia="zh-CN" w:bidi="ar-SA"/>
    </w:rPr>
  </w:style>
  <w:style w:type="paragraph" w:styleId="6">
    <w:name w:val="Plain Text"/>
    <w:basedOn w:val="1"/>
    <w:qFormat/>
    <w:uiPriority w:val="0"/>
    <w:rPr>
      <w:rFonts w:ascii="宋体" w:hAnsi="Courier New"/>
    </w:rPr>
  </w:style>
  <w:style w:type="paragraph" w:styleId="7">
    <w:name w:val="footer"/>
    <w:basedOn w:val="1"/>
    <w:next w:val="8"/>
    <w:qFormat/>
    <w:uiPriority w:val="0"/>
    <w:pPr>
      <w:tabs>
        <w:tab w:val="center" w:pos="4153"/>
        <w:tab w:val="right" w:pos="8306"/>
      </w:tabs>
      <w:snapToGrid w:val="0"/>
      <w:jc w:val="left"/>
    </w:pPr>
    <w:rPr>
      <w:sz w:val="18"/>
    </w:rPr>
  </w:style>
  <w:style w:type="paragraph" w:styleId="8">
    <w:name w:val="toc 2"/>
    <w:basedOn w:val="1"/>
    <w:next w:val="1"/>
    <w:unhideWhenUsed/>
    <w:qFormat/>
    <w:uiPriority w:val="39"/>
    <w:pPr>
      <w:widowControl/>
      <w:spacing w:after="100" w:line="276" w:lineRule="auto"/>
      <w:ind w:left="220"/>
      <w:jc w:val="left"/>
    </w:pPr>
    <w:rPr>
      <w:rFonts w:ascii="Calibri" w:hAnsi="Calibri" w:eastAsia="宋体"/>
      <w:kern w:val="0"/>
      <w:sz w:val="22"/>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qFormat/>
    <w:uiPriority w:val="0"/>
  </w:style>
  <w:style w:type="character" w:styleId="15">
    <w:name w:val="FollowedHyperlink"/>
    <w:basedOn w:val="12"/>
    <w:qFormat/>
    <w:uiPriority w:val="0"/>
    <w:rPr>
      <w:color w:val="007BFF"/>
      <w:u w:val="none"/>
    </w:rPr>
  </w:style>
  <w:style w:type="character" w:styleId="16">
    <w:name w:val="Hyperlink"/>
    <w:basedOn w:val="12"/>
    <w:qFormat/>
    <w:uiPriority w:val="0"/>
    <w:rPr>
      <w:color w:val="007BFF"/>
      <w:u w:val="none"/>
    </w:rPr>
  </w:style>
  <w:style w:type="character" w:styleId="17">
    <w:name w:val="HTML Code"/>
    <w:basedOn w:val="12"/>
    <w:qFormat/>
    <w:uiPriority w:val="0"/>
    <w:rPr>
      <w:rFonts w:hint="default" w:ascii="Consolas" w:hAnsi="Consolas" w:eastAsia="Consolas" w:cs="Consolas"/>
      <w:color w:val="E83E8C"/>
      <w:sz w:val="21"/>
      <w:szCs w:val="21"/>
    </w:rPr>
  </w:style>
  <w:style w:type="character" w:styleId="18">
    <w:name w:val="HTML Keyboard"/>
    <w:basedOn w:val="12"/>
    <w:qFormat/>
    <w:uiPriority w:val="0"/>
    <w:rPr>
      <w:rFonts w:ascii="Consolas" w:hAnsi="Consolas" w:eastAsia="Consolas" w:cs="Consolas"/>
      <w:color w:val="FFFFFF"/>
      <w:sz w:val="21"/>
      <w:szCs w:val="21"/>
      <w:shd w:val="clear" w:fill="212529"/>
    </w:rPr>
  </w:style>
  <w:style w:type="character" w:styleId="19">
    <w:name w:val="HTML Sample"/>
    <w:basedOn w:val="12"/>
    <w:qFormat/>
    <w:uiPriority w:val="0"/>
    <w:rPr>
      <w:rFonts w:hint="default" w:ascii="Consolas" w:hAnsi="Consolas" w:eastAsia="Consolas" w:cs="Consolas"/>
      <w:sz w:val="21"/>
      <w:szCs w:val="21"/>
    </w:rPr>
  </w:style>
  <w:style w:type="paragraph" w:customStyle="1" w:styleId="20">
    <w:name w:val="图表目录1"/>
    <w:basedOn w:val="21"/>
    <w:next w:val="1"/>
    <w:qFormat/>
    <w:uiPriority w:val="0"/>
    <w:pPr>
      <w:ind w:left="200" w:leftChars="200" w:hanging="200" w:hangingChars="200"/>
    </w:pPr>
    <w:rPr>
      <w:rFonts w:ascii="Times New Roman" w:hAnsi="Times New Roman" w:eastAsia="仿宋_GB2312" w:cs="Times New Roman"/>
      <w:sz w:val="32"/>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BodyText1I"/>
    <w:basedOn w:val="23"/>
    <w:qFormat/>
    <w:uiPriority w:val="0"/>
    <w:pPr>
      <w:spacing w:after="120"/>
      <w:ind w:firstLine="420" w:firstLineChars="100"/>
      <w:jc w:val="both"/>
      <w:textAlignment w:val="baseline"/>
    </w:pPr>
  </w:style>
  <w:style w:type="paragraph" w:customStyle="1" w:styleId="23">
    <w:name w:val="BodyText"/>
    <w:basedOn w:val="1"/>
    <w:next w:val="1"/>
    <w:qFormat/>
    <w:uiPriority w:val="0"/>
    <w:pPr>
      <w:spacing w:after="120"/>
      <w:jc w:val="both"/>
      <w:textAlignment w:val="baseline"/>
    </w:pPr>
  </w:style>
  <w:style w:type="paragraph" w:customStyle="1" w:styleId="24">
    <w:name w:val="列出段落1"/>
    <w:basedOn w:val="1"/>
    <w:qFormat/>
    <w:uiPriority w:val="34"/>
    <w:pPr>
      <w:ind w:firstLine="420" w:firstLineChars="200"/>
    </w:pPr>
  </w:style>
  <w:style w:type="character" w:customStyle="1" w:styleId="25">
    <w:name w:val="NormalCharacter"/>
    <w:semiHidden/>
    <w:qFormat/>
    <w:uiPriority w:val="0"/>
    <w:rPr>
      <w:rFonts w:ascii="Times New Roman" w:hAnsi="Times New Roman" w:eastAsia="仿宋_GB2312" w:cs="Times New Roman"/>
      <w:kern w:val="2"/>
      <w:sz w:val="32"/>
      <w:szCs w:val="32"/>
      <w:lang w:val="en-US" w:eastAsia="zh-CN" w:bidi="ar-SA"/>
    </w:rPr>
  </w:style>
  <w:style w:type="paragraph" w:customStyle="1" w:styleId="26">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674</Words>
  <Characters>775</Characters>
  <Lines>1</Lines>
  <Paragraphs>1</Paragraphs>
  <TotalTime>47</TotalTime>
  <ScaleCrop>false</ScaleCrop>
  <LinksUpToDate>false</LinksUpToDate>
  <CharactersWithSpaces>778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2022-06-20T02:20:00Z</dcterms:created>
  <dc:creator>Administrator</dc:creator>
  <cp:lastModifiedBy>Lily</cp:lastModifiedBy>
  <cp:lastPrinted>2024-10-25T09:40:00Z</cp:lastPrinted>
  <dcterms:modified xsi:type="dcterms:W3CDTF">2025-09-01T09:30:42Z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B0B2DC4274CD4574B9C57BE3154A1769_13</vt:lpwstr>
  </property>
  <property fmtid="{D5CDD505-2E9C-101B-9397-08002B2CF9AE}" pid="4" name="KSOTemplateDocerSaveRecord">
    <vt:lpwstr>eyJoZGlkIjoiYzZjZDhjNDE3YTQ0M2MxM2IwZjcyYmRiMGViODg4NTIiLCJ1c2VySWQiOiIxNzI1MTY3Njc0In0=</vt:lpwstr>
  </property>
</Properties>
</file>