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outlineLvl w:val="9"/>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lang w:val="en-US" w:eastAsia="zh-CN"/>
        </w:rPr>
        <w:t>上半年龙胜</w:t>
      </w:r>
      <w:r>
        <w:rPr>
          <w:rFonts w:hint="eastAsia" w:ascii="方正小标宋_GBK" w:hAnsi="方正小标宋_GBK" w:eastAsia="方正小标宋_GBK" w:cs="方正小标宋_GBK"/>
          <w:b w:val="0"/>
          <w:bCs/>
          <w:sz w:val="44"/>
          <w:szCs w:val="44"/>
          <w:highlight w:val="none"/>
        </w:rPr>
        <w:t>经济</w:t>
      </w:r>
      <w:r>
        <w:rPr>
          <w:rFonts w:hint="eastAsia" w:ascii="方正小标宋_GBK" w:hAnsi="方正小标宋_GBK" w:eastAsia="方正小标宋_GBK" w:cs="方正小标宋_GBK"/>
          <w:b w:val="0"/>
          <w:bCs/>
          <w:sz w:val="44"/>
          <w:szCs w:val="44"/>
          <w:highlight w:val="none"/>
          <w:lang w:eastAsia="zh-CN"/>
        </w:rPr>
        <w:t>持续回升向好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今年以来，龙胜县坚决贯彻落实市委、市政府决策部署，聚焦经济建设中心工作，找准工作突破点和发力点，扎实推动高质量发展，上半年全县经济运行稳步回升，整体恢复向好。</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napToGrid w:val="0"/>
          <w:sz w:val="32"/>
          <w:szCs w:val="32"/>
          <w:highlight w:val="none"/>
        </w:rPr>
      </w:pPr>
      <w:r>
        <w:rPr>
          <w:rFonts w:hint="default" w:ascii="Times New Roman" w:hAnsi="Times New Roman" w:eastAsia="仿宋_GB2312" w:cs="Times New Roman"/>
          <w:snapToGrid w:val="0"/>
          <w:spacing w:val="-6"/>
          <w:sz w:val="32"/>
          <w:szCs w:val="32"/>
          <w:highlight w:val="none"/>
          <w:lang w:val="en-US" w:eastAsia="zh-CN"/>
        </w:rPr>
        <w:t>上半年</w:t>
      </w:r>
      <w:r>
        <w:rPr>
          <w:rFonts w:hint="default" w:ascii="Times New Roman" w:hAnsi="Times New Roman" w:eastAsia="仿宋_GB2312" w:cs="Times New Roman"/>
          <w:snapToGrid w:val="0"/>
          <w:spacing w:val="-6"/>
          <w:sz w:val="32"/>
          <w:szCs w:val="32"/>
          <w:highlight w:val="none"/>
        </w:rPr>
        <w:t>，</w:t>
      </w:r>
      <w:r>
        <w:rPr>
          <w:rFonts w:hint="eastAsia" w:ascii="Times New Roman" w:hAnsi="Times New Roman" w:eastAsia="仿宋_GB2312" w:cs="Times New Roman"/>
          <w:snapToGrid w:val="0"/>
          <w:spacing w:val="-6"/>
          <w:sz w:val="32"/>
          <w:szCs w:val="32"/>
          <w:highlight w:val="none"/>
          <w:lang w:eastAsia="zh-CN"/>
        </w:rPr>
        <w:t>龙胜县</w:t>
      </w:r>
      <w:r>
        <w:rPr>
          <w:rFonts w:hint="default" w:ascii="Times New Roman" w:hAnsi="Times New Roman" w:eastAsia="仿宋_GB2312" w:cs="Times New Roman"/>
          <w:snapToGrid w:val="0"/>
          <w:spacing w:val="-6"/>
          <w:sz w:val="32"/>
          <w:szCs w:val="32"/>
          <w:highlight w:val="none"/>
        </w:rPr>
        <w:t>生产总值（GDP）</w:t>
      </w:r>
      <w:r>
        <w:rPr>
          <w:rFonts w:hint="eastAsia" w:ascii="Times New Roman" w:hAnsi="Times New Roman" w:eastAsia="仿宋_GB2312" w:cs="Times New Roman"/>
          <w:snapToGrid w:val="0"/>
          <w:spacing w:val="-6"/>
          <w:sz w:val="32"/>
          <w:szCs w:val="32"/>
          <w:highlight w:val="none"/>
          <w:lang w:val="en-US" w:eastAsia="zh-CN"/>
        </w:rPr>
        <w:t>30.32</w:t>
      </w:r>
      <w:r>
        <w:rPr>
          <w:rFonts w:hint="default" w:ascii="Times New Roman" w:hAnsi="Times New Roman" w:eastAsia="仿宋_GB2312" w:cs="Times New Roman"/>
          <w:snapToGrid w:val="0"/>
          <w:spacing w:val="-6"/>
          <w:sz w:val="32"/>
          <w:szCs w:val="32"/>
          <w:highlight w:val="none"/>
        </w:rPr>
        <w:t>亿元，同比增长</w:t>
      </w:r>
      <w:r>
        <w:rPr>
          <w:rFonts w:hint="eastAsia" w:ascii="Times New Roman" w:hAnsi="Times New Roman" w:eastAsia="仿宋_GB2312" w:cs="Times New Roman"/>
          <w:snapToGrid w:val="0"/>
          <w:spacing w:val="-6"/>
          <w:sz w:val="32"/>
          <w:szCs w:val="32"/>
          <w:highlight w:val="none"/>
          <w:lang w:val="en-US" w:eastAsia="zh-CN"/>
        </w:rPr>
        <w:t>5.5</w:t>
      </w:r>
      <w:r>
        <w:rPr>
          <w:rFonts w:hint="default" w:ascii="Times New Roman" w:hAnsi="Times New Roman" w:eastAsia="仿宋_GB2312" w:cs="Times New Roman"/>
          <w:snapToGrid w:val="0"/>
          <w:spacing w:val="-6"/>
          <w:sz w:val="32"/>
          <w:szCs w:val="32"/>
          <w:highlight w:val="none"/>
        </w:rPr>
        <w:t>%。从三次产业看，第一产业增加值</w:t>
      </w:r>
      <w:r>
        <w:rPr>
          <w:rFonts w:hint="eastAsia" w:ascii="Times New Roman" w:hAnsi="Times New Roman" w:eastAsia="仿宋_GB2312" w:cs="Times New Roman"/>
          <w:snapToGrid w:val="0"/>
          <w:spacing w:val="-6"/>
          <w:sz w:val="32"/>
          <w:szCs w:val="32"/>
          <w:highlight w:val="none"/>
          <w:lang w:val="en-US" w:eastAsia="zh-CN"/>
        </w:rPr>
        <w:t>1.96亿元，同比</w:t>
      </w:r>
      <w:r>
        <w:rPr>
          <w:rFonts w:hint="default" w:ascii="Times New Roman" w:hAnsi="Times New Roman" w:eastAsia="仿宋_GB2312" w:cs="Times New Roman"/>
          <w:snapToGrid w:val="0"/>
          <w:spacing w:val="-6"/>
          <w:sz w:val="32"/>
          <w:szCs w:val="32"/>
          <w:highlight w:val="none"/>
        </w:rPr>
        <w:t>增长</w:t>
      </w:r>
      <w:r>
        <w:rPr>
          <w:rFonts w:hint="eastAsia" w:ascii="Times New Roman" w:hAnsi="Times New Roman" w:eastAsia="仿宋_GB2312" w:cs="Times New Roman"/>
          <w:snapToGrid w:val="0"/>
          <w:spacing w:val="-6"/>
          <w:sz w:val="32"/>
          <w:szCs w:val="32"/>
          <w:highlight w:val="none"/>
          <w:lang w:val="en-US" w:eastAsia="zh-CN"/>
        </w:rPr>
        <w:t>3.2</w:t>
      </w:r>
      <w:r>
        <w:rPr>
          <w:rFonts w:hint="default" w:ascii="Times New Roman" w:hAnsi="Times New Roman" w:eastAsia="仿宋_GB2312" w:cs="Times New Roman"/>
          <w:snapToGrid w:val="0"/>
          <w:spacing w:val="-6"/>
          <w:sz w:val="32"/>
          <w:szCs w:val="32"/>
          <w:highlight w:val="none"/>
        </w:rPr>
        <w:t>%；第二产业</w:t>
      </w:r>
      <w:r>
        <w:rPr>
          <w:rFonts w:hint="eastAsia" w:ascii="Times New Roman" w:hAnsi="Times New Roman" w:eastAsia="仿宋_GB2312" w:cs="Times New Roman"/>
          <w:snapToGrid w:val="0"/>
          <w:spacing w:val="-6"/>
          <w:sz w:val="32"/>
          <w:szCs w:val="32"/>
          <w:highlight w:val="none"/>
          <w:lang w:eastAsia="zh-CN"/>
        </w:rPr>
        <w:t>增加值</w:t>
      </w:r>
      <w:r>
        <w:rPr>
          <w:rFonts w:hint="eastAsia" w:ascii="Times New Roman" w:hAnsi="Times New Roman" w:eastAsia="仿宋_GB2312" w:cs="Times New Roman"/>
          <w:snapToGrid w:val="0"/>
          <w:spacing w:val="-6"/>
          <w:sz w:val="32"/>
          <w:szCs w:val="32"/>
          <w:highlight w:val="none"/>
          <w:lang w:val="en-US" w:eastAsia="zh-CN"/>
        </w:rPr>
        <w:t>8.06亿元，同比</w:t>
      </w:r>
      <w:r>
        <w:rPr>
          <w:rFonts w:hint="default" w:ascii="Times New Roman" w:hAnsi="Times New Roman" w:eastAsia="仿宋_GB2312" w:cs="Times New Roman"/>
          <w:snapToGrid w:val="0"/>
          <w:spacing w:val="-6"/>
          <w:sz w:val="32"/>
          <w:szCs w:val="32"/>
          <w:highlight w:val="none"/>
          <w:lang w:val="en-US" w:eastAsia="zh-CN"/>
        </w:rPr>
        <w:t>增长</w:t>
      </w:r>
      <w:r>
        <w:rPr>
          <w:rFonts w:hint="eastAsia" w:ascii="Times New Roman" w:hAnsi="Times New Roman" w:eastAsia="仿宋_GB2312" w:cs="Times New Roman"/>
          <w:snapToGrid w:val="0"/>
          <w:spacing w:val="-6"/>
          <w:sz w:val="32"/>
          <w:szCs w:val="32"/>
          <w:highlight w:val="none"/>
          <w:lang w:val="en-US" w:eastAsia="zh-CN"/>
        </w:rPr>
        <w:t>11.5</w:t>
      </w:r>
      <w:r>
        <w:rPr>
          <w:rFonts w:hint="default" w:ascii="Times New Roman" w:hAnsi="Times New Roman" w:eastAsia="仿宋_GB2312" w:cs="Times New Roman"/>
          <w:snapToGrid w:val="0"/>
          <w:spacing w:val="-6"/>
          <w:sz w:val="32"/>
          <w:szCs w:val="32"/>
          <w:highlight w:val="none"/>
        </w:rPr>
        <w:t>%</w:t>
      </w:r>
      <w:r>
        <w:rPr>
          <w:rFonts w:hint="default" w:ascii="Times New Roman" w:hAnsi="Times New Roman" w:eastAsia="仿宋_GB2312" w:cs="Times New Roman"/>
          <w:snapToGrid w:val="0"/>
          <w:sz w:val="32"/>
          <w:szCs w:val="32"/>
          <w:highlight w:val="none"/>
          <w:lang w:val="en-US" w:eastAsia="zh-CN"/>
        </w:rPr>
        <w:t>；</w:t>
      </w:r>
      <w:r>
        <w:rPr>
          <w:rFonts w:hint="default" w:ascii="Times New Roman" w:hAnsi="Times New Roman" w:eastAsia="仿宋_GB2312" w:cs="Times New Roman"/>
          <w:snapToGrid w:val="0"/>
          <w:sz w:val="32"/>
          <w:szCs w:val="32"/>
          <w:highlight w:val="none"/>
        </w:rPr>
        <w:t>第三产业</w:t>
      </w:r>
      <w:r>
        <w:rPr>
          <w:rFonts w:hint="eastAsia" w:ascii="Times New Roman" w:hAnsi="Times New Roman" w:eastAsia="仿宋_GB2312" w:cs="Times New Roman"/>
          <w:snapToGrid w:val="0"/>
          <w:sz w:val="32"/>
          <w:szCs w:val="32"/>
          <w:highlight w:val="none"/>
          <w:lang w:eastAsia="zh-CN"/>
        </w:rPr>
        <w:t>增加值</w:t>
      </w:r>
      <w:r>
        <w:rPr>
          <w:rFonts w:hint="eastAsia" w:ascii="Times New Roman" w:hAnsi="Times New Roman" w:eastAsia="仿宋_GB2312" w:cs="Times New Roman"/>
          <w:snapToGrid w:val="0"/>
          <w:sz w:val="32"/>
          <w:szCs w:val="32"/>
          <w:highlight w:val="none"/>
          <w:lang w:val="en-US" w:eastAsia="zh-CN"/>
        </w:rPr>
        <w:t>20.29亿元，同比</w:t>
      </w:r>
      <w:r>
        <w:rPr>
          <w:rFonts w:hint="default" w:ascii="Times New Roman" w:hAnsi="Times New Roman" w:eastAsia="仿宋_GB2312" w:cs="Times New Roman"/>
          <w:snapToGrid w:val="0"/>
          <w:sz w:val="32"/>
          <w:szCs w:val="32"/>
          <w:highlight w:val="none"/>
        </w:rPr>
        <w:t>增长</w:t>
      </w:r>
      <w:r>
        <w:rPr>
          <w:rFonts w:hint="eastAsia" w:ascii="Times New Roman" w:hAnsi="Times New Roman" w:eastAsia="仿宋_GB2312" w:cs="Times New Roman"/>
          <w:sz w:val="32"/>
          <w:szCs w:val="32"/>
          <w:highlight w:val="none"/>
          <w:lang w:val="en-US" w:eastAsia="zh-CN"/>
        </w:rPr>
        <w:t>3.5</w:t>
      </w:r>
      <w:r>
        <w:rPr>
          <w:rFonts w:hint="default" w:ascii="Times New Roman" w:hAnsi="Times New Roman" w:eastAsia="仿宋_GB2312" w:cs="Times New Roman"/>
          <w:snapToGrid w:val="0"/>
          <w:sz w:val="32"/>
          <w:szCs w:val="32"/>
          <w:highlight w:val="none"/>
        </w:rPr>
        <w:t>%。</w:t>
      </w:r>
    </w:p>
    <w:p>
      <w:pPr>
        <w:pStyle w:val="10"/>
        <w:keepNext w:val="0"/>
        <w:keepLines w:val="0"/>
        <w:pageBreakBefore w:val="0"/>
        <w:widowControl w:val="0"/>
        <w:numPr>
          <w:ilvl w:val="0"/>
          <w:numId w:val="1"/>
        </w:numPr>
        <w:kinsoku/>
        <w:wordWrap/>
        <w:overflowPunct/>
        <w:topLinePunct w:val="0"/>
        <w:autoSpaceDE/>
        <w:autoSpaceDN/>
        <w:bidi w:val="0"/>
        <w:adjustRightInd/>
        <w:snapToGrid/>
        <w:spacing w:before="0" w:beforeAutospacing="0" w:line="560" w:lineRule="exact"/>
        <w:ind w:firstLine="640" w:firstLineChars="200"/>
        <w:textAlignment w:val="auto"/>
        <w:rPr>
          <w:rFonts w:hint="eastAsia" w:ascii="黑体" w:hAnsi="黑体" w:eastAsia="黑体" w:cs="黑体"/>
          <w:b w:val="0"/>
          <w:bCs w:val="0"/>
          <w:color w:val="auto"/>
          <w:lang w:val="en-US" w:eastAsia="zh-CN"/>
        </w:rPr>
      </w:pPr>
      <w:r>
        <w:rPr>
          <w:rFonts w:hint="eastAsia" w:ascii="黑体" w:hAnsi="黑体" w:eastAsia="黑体" w:cs="黑体"/>
          <w:color w:val="auto"/>
          <w:sz w:val="32"/>
          <w:lang w:val="en-US" w:eastAsia="zh-CN"/>
        </w:rPr>
        <w:t>农业生产形势稳定</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60" w:lineRule="exact"/>
        <w:ind w:firstLine="640" w:firstLineChars="200"/>
        <w:textAlignment w:val="auto"/>
        <w:rPr>
          <w:rFonts w:hint="default" w:ascii="Times New Roman" w:hAnsi="Times New Roman" w:cs="Times New Roman"/>
          <w:color w:val="auto"/>
          <w:sz w:val="32"/>
          <w:szCs w:val="32"/>
          <w:lang w:val="en-US" w:eastAsia="zh-CN"/>
        </w:rPr>
      </w:pPr>
      <w:r>
        <w:rPr>
          <w:rFonts w:hint="eastAsia" w:cs="Times New Roman"/>
          <w:color w:val="auto"/>
          <w:lang w:val="en-US" w:eastAsia="zh-CN"/>
        </w:rPr>
        <w:t>上半年</w:t>
      </w:r>
      <w:r>
        <w:rPr>
          <w:rFonts w:hint="eastAsia" w:ascii="Times New Roman" w:hAnsi="Times New Roman" w:eastAsia="仿宋_GB2312" w:cs="Times New Roman"/>
          <w:color w:val="auto"/>
          <w:lang w:val="en-US" w:eastAsia="zh-CN"/>
        </w:rPr>
        <w:t>，</w:t>
      </w:r>
      <w:r>
        <w:rPr>
          <w:rFonts w:hint="eastAsia" w:eastAsia="仿宋_GB2312" w:cs="Times New Roman"/>
          <w:color w:val="auto"/>
          <w:lang w:val="en-US" w:eastAsia="zh-CN"/>
        </w:rPr>
        <w:t>全</w:t>
      </w:r>
      <w:r>
        <w:rPr>
          <w:rFonts w:hint="eastAsia" w:ascii="Times New Roman" w:hAnsi="Times New Roman" w:eastAsia="仿宋_GB2312" w:cs="Times New Roman"/>
          <w:color w:val="auto"/>
          <w:lang w:val="en-US" w:eastAsia="zh-CN"/>
        </w:rPr>
        <w:t>县农林牧渔业总产值同比增长</w:t>
      </w:r>
      <w:r>
        <w:rPr>
          <w:rFonts w:hint="eastAsia" w:ascii="Times New Roman" w:hAnsi="Times New Roman" w:cs="Times New Roman"/>
          <w:color w:val="auto"/>
          <w:lang w:val="en-US" w:eastAsia="zh-CN"/>
        </w:rPr>
        <w:t>3.7%。从主要产品产量来看，蔬菜产量5.72万吨，</w:t>
      </w:r>
      <w:r>
        <w:rPr>
          <w:rFonts w:hint="eastAsia" w:ascii="Times New Roman" w:hAnsi="Times New Roman" w:eastAsia="仿宋_GB2312" w:cs="Times New Roman"/>
          <w:color w:val="auto"/>
          <w:sz w:val="32"/>
          <w:szCs w:val="32"/>
          <w:lang w:val="en-US" w:eastAsia="zh-CN"/>
        </w:rPr>
        <w:t>同比增长</w:t>
      </w:r>
      <w:r>
        <w:rPr>
          <w:rFonts w:hint="eastAsia" w:ascii="Times New Roman" w:hAnsi="Times New Roman" w:cs="Times New Roman"/>
          <w:color w:val="auto"/>
          <w:sz w:val="32"/>
          <w:szCs w:val="32"/>
          <w:lang w:val="en-US" w:eastAsia="zh-CN"/>
        </w:rPr>
        <w:t>4.1</w:t>
      </w:r>
      <w:r>
        <w:rPr>
          <w:rFonts w:hint="eastAsia"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；食用菌产量0.20万吨，增长4.9%；园林水果产量2.94万吨，增长7.0%；禽蛋产量同比增长0.6%；水产品产量增长4.6%。</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工业保持较快增长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上半年</w:t>
      </w:r>
      <w:r>
        <w:rPr>
          <w:rFonts w:hint="default" w:ascii="Times New Roman" w:hAnsi="Times New Roman" w:eastAsia="仿宋_GB2312" w:cs="Times New Roman"/>
          <w:b w:val="0"/>
          <w:bCs/>
          <w:color w:val="auto"/>
          <w:sz w:val="32"/>
          <w:szCs w:val="32"/>
          <w:highlight w:val="none"/>
          <w:lang w:val="en-US" w:eastAsia="zh-CN"/>
        </w:rPr>
        <w:t>，龙胜县规上工业</w:t>
      </w:r>
      <w:r>
        <w:rPr>
          <w:rFonts w:hint="eastAsia" w:ascii="Times New Roman" w:hAnsi="Times New Roman" w:eastAsia="仿宋_GB2312" w:cs="Times New Roman"/>
          <w:b w:val="0"/>
          <w:bCs/>
          <w:color w:val="auto"/>
          <w:sz w:val="32"/>
          <w:szCs w:val="32"/>
          <w:highlight w:val="none"/>
          <w:lang w:val="en-US" w:eastAsia="zh-CN"/>
        </w:rPr>
        <w:t>总产值和</w:t>
      </w:r>
      <w:r>
        <w:rPr>
          <w:rFonts w:hint="default" w:ascii="Times New Roman" w:hAnsi="Times New Roman" w:eastAsia="仿宋_GB2312" w:cs="Times New Roman"/>
          <w:b w:val="0"/>
          <w:bCs/>
          <w:color w:val="auto"/>
          <w:sz w:val="32"/>
          <w:szCs w:val="32"/>
          <w:highlight w:val="none"/>
          <w:lang w:val="en-US" w:eastAsia="zh-CN"/>
        </w:rPr>
        <w:t>增加值</w:t>
      </w:r>
      <w:r>
        <w:rPr>
          <w:rFonts w:hint="eastAsia" w:ascii="Times New Roman" w:hAnsi="Times New Roman" w:eastAsia="仿宋_GB2312" w:cs="Times New Roman"/>
          <w:b w:val="0"/>
          <w:bCs/>
          <w:color w:val="auto"/>
          <w:sz w:val="32"/>
          <w:szCs w:val="32"/>
          <w:highlight w:val="none"/>
          <w:lang w:val="en-US" w:eastAsia="zh-CN"/>
        </w:rPr>
        <w:t>同比分别</w:t>
      </w:r>
      <w:r>
        <w:rPr>
          <w:rFonts w:hint="default" w:ascii="Times New Roman" w:hAnsi="Times New Roman" w:eastAsia="仿宋_GB2312" w:cs="Times New Roman"/>
          <w:b w:val="0"/>
          <w:bCs/>
          <w:color w:val="auto"/>
          <w:sz w:val="32"/>
          <w:szCs w:val="32"/>
          <w:highlight w:val="none"/>
          <w:lang w:val="en-US" w:eastAsia="zh-CN"/>
        </w:rPr>
        <w:t>增长</w:t>
      </w:r>
      <w:r>
        <w:rPr>
          <w:rFonts w:hint="eastAsia" w:ascii="Times New Roman" w:hAnsi="Times New Roman" w:eastAsia="仿宋_GB2312" w:cs="Times New Roman"/>
          <w:b w:val="0"/>
          <w:bCs/>
          <w:color w:val="auto"/>
          <w:sz w:val="32"/>
          <w:szCs w:val="32"/>
          <w:highlight w:val="none"/>
          <w:lang w:val="en-US" w:eastAsia="zh-CN"/>
        </w:rPr>
        <w:t>3.9%、22.8</w:t>
      </w:r>
      <w:r>
        <w:rPr>
          <w:rFonts w:hint="default" w:ascii="Times New Roman" w:hAnsi="Times New Roman" w:eastAsia="仿宋_GB2312" w:cs="Times New Roman"/>
          <w:b w:val="0"/>
          <w:bCs/>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。重点行业对规上工业总产值的拉动作用进一步凸显，今年降水量较多，电力生产行业产值同比增长56.6%，拉动全县规上工业总产值增长6.0个百分点，</w:t>
      </w:r>
      <w:r>
        <w:rPr>
          <w:rFonts w:hint="eastAsia" w:ascii="Times New Roman" w:hAnsi="Times New Roman" w:eastAsia="仿宋_GB2312" w:cs="仿宋_GB2312"/>
          <w:b w:val="0"/>
          <w:bCs/>
          <w:color w:val="auto"/>
          <w:sz w:val="32"/>
          <w:szCs w:val="32"/>
          <w:highlight w:val="none"/>
          <w:lang w:val="en-US" w:eastAsia="zh-CN"/>
        </w:rPr>
        <w:t>产值</w:t>
      </w:r>
      <w:r>
        <w:rPr>
          <w:rFonts w:hint="eastAsia" w:ascii="Times New Roman" w:hAnsi="Times New Roman" w:eastAsia="仿宋_GB2312" w:cs="Times New Roman"/>
          <w:b w:val="0"/>
          <w:bCs/>
          <w:color w:val="auto"/>
          <w:sz w:val="32"/>
          <w:szCs w:val="32"/>
          <w:highlight w:val="none"/>
          <w:lang w:val="en-US" w:eastAsia="zh-CN"/>
        </w:rPr>
        <w:t>增长贡献率达154%；非金属矿物制品业及非金属矿采选业订单比上年增多，企业加大开采和加工量，产值同比分别增长11.6%和21.6%，分别拉动全县规上工业总产值增长3.7和1.8个百分点。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建筑业稳中向好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上半年，龙胜县资质建筑企业总产值同比增长25.0%。龙胜县共9家资质建筑企业，其中部分企业不仅在县内承接业务，还在其他市县也承揽有项目。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服务业延续恢复向好态势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上半年</w:t>
      </w:r>
      <w:r>
        <w:rPr>
          <w:rFonts w:hint="default" w:ascii="Times New Roman" w:hAnsi="Times New Roman" w:eastAsia="仿宋_GB2312" w:cs="Times New Roman"/>
          <w:sz w:val="32"/>
          <w:szCs w:val="32"/>
          <w:highlight w:val="none"/>
          <w:lang w:val="en-US" w:eastAsia="zh-CN"/>
        </w:rPr>
        <w:t>，龙胜县服务业增加值同比增长</w:t>
      </w:r>
      <w:r>
        <w:rPr>
          <w:rFonts w:hint="eastAsia" w:ascii="Times New Roman" w:hAnsi="Times New Roman" w:eastAsia="仿宋_GB2312" w:cs="Times New Roman"/>
          <w:sz w:val="32"/>
          <w:szCs w:val="32"/>
          <w:highlight w:val="none"/>
          <w:lang w:val="en-US" w:eastAsia="zh-CN"/>
        </w:rPr>
        <w:t>3.5</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，较一季度提升1.5个百分点</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一是</w:t>
      </w:r>
      <w:r>
        <w:rPr>
          <w:rFonts w:hint="eastAsia" w:ascii="Times New Roman" w:hAnsi="Times New Roman" w:eastAsia="仿宋_GB2312" w:cs="Times New Roman"/>
          <w:sz w:val="32"/>
          <w:szCs w:val="32"/>
          <w:highlight w:val="none"/>
          <w:lang w:val="en-US" w:eastAsia="zh-CN"/>
        </w:rPr>
        <w:t>通过优惠打折、消费满减等展销活动，限上零售业销售额同比增长18.2%，超半数企业（大个体）销售额实现两位数增长。</w:t>
      </w:r>
      <w:r>
        <w:rPr>
          <w:rFonts w:hint="eastAsia" w:ascii="Times New Roman" w:hAnsi="Times New Roman" w:eastAsia="仿宋_GB2312" w:cs="Times New Roman"/>
          <w:b/>
          <w:bCs/>
          <w:sz w:val="32"/>
          <w:szCs w:val="32"/>
          <w:highlight w:val="none"/>
          <w:lang w:val="en-US" w:eastAsia="zh-CN"/>
        </w:rPr>
        <w:t>二是</w:t>
      </w:r>
      <w:r>
        <w:rPr>
          <w:rFonts w:hint="eastAsia" w:ascii="Times New Roman" w:hAnsi="Times New Roman" w:eastAsia="仿宋_GB2312" w:cs="Times New Roman"/>
          <w:sz w:val="32"/>
          <w:szCs w:val="32"/>
          <w:highlight w:val="none"/>
          <w:lang w:val="en-US" w:eastAsia="zh-CN"/>
        </w:rPr>
        <w:t>随着旅游业的持续回暖，规上其他营利性服务业营业收入稳步提升，增长16.4%。</w:t>
      </w:r>
      <w:r>
        <w:rPr>
          <w:rFonts w:hint="eastAsia" w:ascii="Times New Roman" w:hAnsi="Times New Roman" w:eastAsia="仿宋_GB2312" w:cs="Times New Roman"/>
          <w:b/>
          <w:bCs/>
          <w:sz w:val="32"/>
          <w:szCs w:val="32"/>
          <w:highlight w:val="none"/>
          <w:lang w:val="en-US" w:eastAsia="zh-CN"/>
        </w:rPr>
        <w:t>三是</w:t>
      </w:r>
      <w:r>
        <w:rPr>
          <w:rFonts w:hint="eastAsia" w:ascii="Times New Roman" w:hAnsi="Times New Roman" w:eastAsia="仿宋_GB2312" w:cs="Times New Roman"/>
          <w:b w:val="0"/>
          <w:bCs w:val="0"/>
          <w:sz w:val="32"/>
          <w:szCs w:val="32"/>
          <w:highlight w:val="none"/>
          <w:lang w:val="en-US" w:eastAsia="zh-CN"/>
        </w:rPr>
        <w:t>商品房销售面积</w:t>
      </w:r>
      <w:r>
        <w:rPr>
          <w:rFonts w:hint="eastAsia" w:ascii="Times New Roman" w:hAnsi="Times New Roman" w:eastAsia="仿宋_GB2312" w:cs="Times New Roman"/>
          <w:sz w:val="32"/>
          <w:szCs w:val="32"/>
          <w:highlight w:val="none"/>
          <w:lang w:val="en-US" w:eastAsia="zh-CN"/>
        </w:rPr>
        <w:t>增速扭负为正，通过开展购房促销费活动的同时在二季度出台县本级范围内购买新建商品房实行50%契税补贴，上半年商品房销售面积同比增长3.0%。</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560" w:lineRule="exact"/>
        <w:ind w:left="0" w:lef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固定资产投资降幅持续收窄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上半年龙胜县重点项目建设进度加快，新增入库项目18个，固定资产投资额下降10.3%，较一季度收窄45.8</w:t>
      </w:r>
      <w:bookmarkStart w:id="0" w:name="_GoBack"/>
      <w:bookmarkEnd w:id="0"/>
      <w:r>
        <w:rPr>
          <w:rFonts w:hint="default" w:ascii="Times New Roman" w:hAnsi="Times New Roman" w:eastAsia="仿宋_GB2312" w:cs="Times New Roman"/>
          <w:sz w:val="32"/>
          <w:szCs w:val="32"/>
          <w:highlight w:val="none"/>
          <w:lang w:val="en-US" w:eastAsia="zh-CN"/>
        </w:rPr>
        <w:t>个百分点。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六、居民收入稳步增长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上半年，全县居民人均可支配收入13343元，同比名义增长6.8%。其中，城镇居民人均可支配收入22443元，名义增长4.9%；农村居民人均可支配收入8389元，名义增长7.2%。</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sz w:val="32"/>
          <w:szCs w:val="32"/>
          <w:lang w:eastAsia="zh-CN"/>
        </w:rPr>
      </w:pPr>
    </w:p>
    <w:p>
      <w:pPr>
        <w:pStyle w:val="10"/>
        <w:keepNext w:val="0"/>
        <w:keepLines w:val="0"/>
        <w:pageBreakBefore w:val="0"/>
        <w:widowControl w:val="0"/>
        <w:kinsoku/>
        <w:wordWrap/>
        <w:overflowPunct/>
        <w:topLinePunct w:val="0"/>
        <w:autoSpaceDE/>
        <w:autoSpaceDN/>
        <w:bidi w:val="0"/>
        <w:spacing w:line="56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龙胜各族自治县</w:t>
      </w:r>
      <w:r>
        <w:rPr>
          <w:rFonts w:hint="default" w:ascii="Times New Roman" w:hAnsi="Times New Roman" w:eastAsia="仿宋_GB2312" w:cs="Times New Roman"/>
          <w:color w:val="auto"/>
          <w:sz w:val="32"/>
          <w:szCs w:val="32"/>
          <w:lang w:val="en-US" w:eastAsia="zh-CN"/>
        </w:rPr>
        <w:t>统计局</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日</w:t>
      </w: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4"/>
                              <w:rFonts w:hint="eastAsia"/>
                              <w:color w:val="000000"/>
                              <w:spacing w:val="-8"/>
                              <w:sz w:val="28"/>
                              <w:szCs w:val="28"/>
                            </w:rPr>
                            <w:t xml:space="preserve">—  </w:t>
                          </w:r>
                          <w:r>
                            <w:rPr>
                              <w:rFonts w:ascii="宋体" w:hAnsi="宋体"/>
                              <w:color w:val="000000"/>
                              <w:spacing w:val="-8"/>
                              <w:sz w:val="28"/>
                              <w:szCs w:val="28"/>
                            </w:rPr>
                            <w:fldChar w:fldCharType="begin"/>
                          </w:r>
                          <w:r>
                            <w:rPr>
                              <w:rStyle w:val="14"/>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4"/>
                              <w:rFonts w:ascii="宋体" w:hAnsi="宋体"/>
                              <w:color w:val="000000"/>
                              <w:spacing w:val="-8"/>
                              <w:sz w:val="28"/>
                              <w:szCs w:val="28"/>
                            </w:rPr>
                            <w:t>1</w:t>
                          </w:r>
                          <w:r>
                            <w:rPr>
                              <w:rFonts w:ascii="宋体" w:hAnsi="宋体"/>
                              <w:color w:val="000000"/>
                              <w:spacing w:val="-8"/>
                              <w:sz w:val="28"/>
                              <w:szCs w:val="28"/>
                            </w:rPr>
                            <w:fldChar w:fldCharType="end"/>
                          </w:r>
                          <w:r>
                            <w:rPr>
                              <w:rStyle w:val="14"/>
                              <w:rFonts w:hint="eastAsia" w:ascii="宋体" w:hAnsi="宋体"/>
                              <w:color w:val="000000"/>
                              <w:spacing w:val="-8"/>
                              <w:sz w:val="28"/>
                              <w:szCs w:val="28"/>
                            </w:rPr>
                            <w:t xml:space="preserve"> </w:t>
                          </w:r>
                          <w:r>
                            <w:rPr>
                              <w:rStyle w:val="14"/>
                              <w:rFonts w:hint="eastAsia"/>
                              <w:color w:val="000000"/>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4"/>
                        <w:rFonts w:hint="eastAsia"/>
                        <w:color w:val="000000"/>
                        <w:spacing w:val="-8"/>
                        <w:sz w:val="28"/>
                        <w:szCs w:val="28"/>
                      </w:rPr>
                      <w:t xml:space="preserve">—  </w:t>
                    </w:r>
                    <w:r>
                      <w:rPr>
                        <w:rFonts w:ascii="宋体" w:hAnsi="宋体"/>
                        <w:color w:val="000000"/>
                        <w:spacing w:val="-8"/>
                        <w:sz w:val="28"/>
                        <w:szCs w:val="28"/>
                      </w:rPr>
                      <w:fldChar w:fldCharType="begin"/>
                    </w:r>
                    <w:r>
                      <w:rPr>
                        <w:rStyle w:val="14"/>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4"/>
                        <w:rFonts w:ascii="宋体" w:hAnsi="宋体"/>
                        <w:color w:val="000000"/>
                        <w:spacing w:val="-8"/>
                        <w:sz w:val="28"/>
                        <w:szCs w:val="28"/>
                      </w:rPr>
                      <w:t>1</w:t>
                    </w:r>
                    <w:r>
                      <w:rPr>
                        <w:rFonts w:ascii="宋体" w:hAnsi="宋体"/>
                        <w:color w:val="000000"/>
                        <w:spacing w:val="-8"/>
                        <w:sz w:val="28"/>
                        <w:szCs w:val="28"/>
                      </w:rPr>
                      <w:fldChar w:fldCharType="end"/>
                    </w:r>
                    <w:r>
                      <w:rPr>
                        <w:rStyle w:val="14"/>
                        <w:rFonts w:hint="eastAsia" w:ascii="宋体" w:hAnsi="宋体"/>
                        <w:color w:val="000000"/>
                        <w:spacing w:val="-8"/>
                        <w:sz w:val="28"/>
                        <w:szCs w:val="28"/>
                      </w:rPr>
                      <w:t xml:space="preserve"> </w:t>
                    </w:r>
                    <w:r>
                      <w:rPr>
                        <w:rStyle w:val="14"/>
                        <w:rFonts w:hint="eastAsia"/>
                        <w:color w:val="000000"/>
                        <w:spacing w:val="-8"/>
                        <w:sz w:val="28"/>
                        <w:szCs w:val="28"/>
                      </w:rPr>
                      <w:t xml:space="preserve"> —</w:t>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55B4BF"/>
    <w:multiLevelType w:val="singleLevel"/>
    <w:tmpl w:val="CD55B4BF"/>
    <w:lvl w:ilvl="0" w:tentative="0">
      <w:start w:val="1"/>
      <w:numFmt w:val="chineseCounting"/>
      <w:suff w:val="nothing"/>
      <w:lvlText w:val="%1、"/>
      <w:lvlJc w:val="left"/>
      <w:rPr>
        <w:rFonts w:hint="eastAsia"/>
      </w:rPr>
    </w:lvl>
  </w:abstractNum>
  <w:abstractNum w:abstractNumId="1">
    <w:nsid w:val="FAC8B91D"/>
    <w:multiLevelType w:val="singleLevel"/>
    <w:tmpl w:val="FAC8B91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2QyYzY5NDYwYWJkMzkzYzA3MzkwYWVlOTYzNGIifQ=="/>
  </w:docVars>
  <w:rsids>
    <w:rsidRoot w:val="026306AC"/>
    <w:rsid w:val="0017442C"/>
    <w:rsid w:val="00E97658"/>
    <w:rsid w:val="01406BB4"/>
    <w:rsid w:val="01FD4C2B"/>
    <w:rsid w:val="02311B1D"/>
    <w:rsid w:val="023758FE"/>
    <w:rsid w:val="024944D8"/>
    <w:rsid w:val="026306AC"/>
    <w:rsid w:val="02683E76"/>
    <w:rsid w:val="029360EA"/>
    <w:rsid w:val="02B6709D"/>
    <w:rsid w:val="036E42B8"/>
    <w:rsid w:val="03952111"/>
    <w:rsid w:val="048C589E"/>
    <w:rsid w:val="048E0FA1"/>
    <w:rsid w:val="0496440A"/>
    <w:rsid w:val="04975514"/>
    <w:rsid w:val="04C4639F"/>
    <w:rsid w:val="04D87247"/>
    <w:rsid w:val="06732524"/>
    <w:rsid w:val="06D342A9"/>
    <w:rsid w:val="07104D66"/>
    <w:rsid w:val="07341358"/>
    <w:rsid w:val="07801094"/>
    <w:rsid w:val="07B36B19"/>
    <w:rsid w:val="07EB094A"/>
    <w:rsid w:val="07F558F4"/>
    <w:rsid w:val="08932345"/>
    <w:rsid w:val="08CC6344"/>
    <w:rsid w:val="09052A96"/>
    <w:rsid w:val="09295E9E"/>
    <w:rsid w:val="093976CC"/>
    <w:rsid w:val="09402B0D"/>
    <w:rsid w:val="095C2A4D"/>
    <w:rsid w:val="096A5FCE"/>
    <w:rsid w:val="09C00C04"/>
    <w:rsid w:val="0A1D6DF4"/>
    <w:rsid w:val="0A3D797F"/>
    <w:rsid w:val="0A430E0F"/>
    <w:rsid w:val="0ABE7278"/>
    <w:rsid w:val="0AE431AC"/>
    <w:rsid w:val="0B66022D"/>
    <w:rsid w:val="0B6E449C"/>
    <w:rsid w:val="0BA23811"/>
    <w:rsid w:val="0C26464F"/>
    <w:rsid w:val="0CCE6992"/>
    <w:rsid w:val="0CD25CD6"/>
    <w:rsid w:val="0D0238B7"/>
    <w:rsid w:val="0D7546FF"/>
    <w:rsid w:val="0DD53B17"/>
    <w:rsid w:val="0E202F16"/>
    <w:rsid w:val="0E6A2D0C"/>
    <w:rsid w:val="0E7362EC"/>
    <w:rsid w:val="0E7625DC"/>
    <w:rsid w:val="0E77558A"/>
    <w:rsid w:val="0EE86EA6"/>
    <w:rsid w:val="0F245666"/>
    <w:rsid w:val="0F5965CB"/>
    <w:rsid w:val="0F8A78DF"/>
    <w:rsid w:val="0FA75618"/>
    <w:rsid w:val="10250957"/>
    <w:rsid w:val="10D14A05"/>
    <w:rsid w:val="114948FA"/>
    <w:rsid w:val="11890DCD"/>
    <w:rsid w:val="12B41A2C"/>
    <w:rsid w:val="12E90B04"/>
    <w:rsid w:val="130F7B66"/>
    <w:rsid w:val="13101AC6"/>
    <w:rsid w:val="13A43DBB"/>
    <w:rsid w:val="13C04FA5"/>
    <w:rsid w:val="151C0B96"/>
    <w:rsid w:val="15B462DD"/>
    <w:rsid w:val="1601798F"/>
    <w:rsid w:val="16034264"/>
    <w:rsid w:val="171632EC"/>
    <w:rsid w:val="17896700"/>
    <w:rsid w:val="17B010FC"/>
    <w:rsid w:val="18512322"/>
    <w:rsid w:val="18534CFC"/>
    <w:rsid w:val="18A4506D"/>
    <w:rsid w:val="18AA6C52"/>
    <w:rsid w:val="18CD38A6"/>
    <w:rsid w:val="18F56C5A"/>
    <w:rsid w:val="1919393E"/>
    <w:rsid w:val="19237E96"/>
    <w:rsid w:val="1941133F"/>
    <w:rsid w:val="19951B16"/>
    <w:rsid w:val="1A4A0280"/>
    <w:rsid w:val="1AA67425"/>
    <w:rsid w:val="1B013BD1"/>
    <w:rsid w:val="1B1946DC"/>
    <w:rsid w:val="1B8F790E"/>
    <w:rsid w:val="1B964DB7"/>
    <w:rsid w:val="1CED1FC4"/>
    <w:rsid w:val="1D7E4CE6"/>
    <w:rsid w:val="1E3E4AF2"/>
    <w:rsid w:val="1E9A46DE"/>
    <w:rsid w:val="1EB00CBC"/>
    <w:rsid w:val="1F3C14D5"/>
    <w:rsid w:val="1F782821"/>
    <w:rsid w:val="1FB762ED"/>
    <w:rsid w:val="1FD661A7"/>
    <w:rsid w:val="20C074EC"/>
    <w:rsid w:val="21947A2B"/>
    <w:rsid w:val="21C01703"/>
    <w:rsid w:val="225E3353"/>
    <w:rsid w:val="22810ECB"/>
    <w:rsid w:val="229827DD"/>
    <w:rsid w:val="22E54D84"/>
    <w:rsid w:val="23034F7A"/>
    <w:rsid w:val="23174E68"/>
    <w:rsid w:val="23D6413A"/>
    <w:rsid w:val="245907A0"/>
    <w:rsid w:val="24A3442A"/>
    <w:rsid w:val="24CC3BE1"/>
    <w:rsid w:val="24EA2238"/>
    <w:rsid w:val="25C63348"/>
    <w:rsid w:val="25CD3A76"/>
    <w:rsid w:val="26211A56"/>
    <w:rsid w:val="266C5FB9"/>
    <w:rsid w:val="269F47EE"/>
    <w:rsid w:val="26DC15F0"/>
    <w:rsid w:val="2705394D"/>
    <w:rsid w:val="274B2C1C"/>
    <w:rsid w:val="276D04E5"/>
    <w:rsid w:val="27F861B2"/>
    <w:rsid w:val="281F5561"/>
    <w:rsid w:val="28246D03"/>
    <w:rsid w:val="282A5DF2"/>
    <w:rsid w:val="28CB5696"/>
    <w:rsid w:val="295C5210"/>
    <w:rsid w:val="29DE1799"/>
    <w:rsid w:val="2A274151"/>
    <w:rsid w:val="2A8704F8"/>
    <w:rsid w:val="2A8F34D9"/>
    <w:rsid w:val="2AB22486"/>
    <w:rsid w:val="2B201C64"/>
    <w:rsid w:val="2B895335"/>
    <w:rsid w:val="2BBA7F01"/>
    <w:rsid w:val="2BBD5375"/>
    <w:rsid w:val="2BFC10F0"/>
    <w:rsid w:val="2C3E00EF"/>
    <w:rsid w:val="2D1842CE"/>
    <w:rsid w:val="2D490C13"/>
    <w:rsid w:val="2D56686C"/>
    <w:rsid w:val="2D996BD8"/>
    <w:rsid w:val="2DAE2494"/>
    <w:rsid w:val="2E232138"/>
    <w:rsid w:val="2E687B85"/>
    <w:rsid w:val="2ED47230"/>
    <w:rsid w:val="2FB42704"/>
    <w:rsid w:val="30633E3B"/>
    <w:rsid w:val="3110139D"/>
    <w:rsid w:val="31322BF0"/>
    <w:rsid w:val="316B2774"/>
    <w:rsid w:val="31933420"/>
    <w:rsid w:val="320E7169"/>
    <w:rsid w:val="32340B21"/>
    <w:rsid w:val="324D12A7"/>
    <w:rsid w:val="32992587"/>
    <w:rsid w:val="32A9163A"/>
    <w:rsid w:val="33316B7B"/>
    <w:rsid w:val="33663DB1"/>
    <w:rsid w:val="338109FC"/>
    <w:rsid w:val="34BE31D9"/>
    <w:rsid w:val="352C6210"/>
    <w:rsid w:val="35713976"/>
    <w:rsid w:val="3597738F"/>
    <w:rsid w:val="359D2519"/>
    <w:rsid w:val="35A84AA3"/>
    <w:rsid w:val="361B02C4"/>
    <w:rsid w:val="365247FA"/>
    <w:rsid w:val="3653267E"/>
    <w:rsid w:val="36931E73"/>
    <w:rsid w:val="369346F7"/>
    <w:rsid w:val="36A91D74"/>
    <w:rsid w:val="36A93B22"/>
    <w:rsid w:val="36EC59B3"/>
    <w:rsid w:val="372430F0"/>
    <w:rsid w:val="372605CF"/>
    <w:rsid w:val="39334084"/>
    <w:rsid w:val="396D5FCB"/>
    <w:rsid w:val="39DD609D"/>
    <w:rsid w:val="3A3519D1"/>
    <w:rsid w:val="3AE534A1"/>
    <w:rsid w:val="3B3F60C1"/>
    <w:rsid w:val="3B7774BB"/>
    <w:rsid w:val="3C011A9C"/>
    <w:rsid w:val="3C631EA8"/>
    <w:rsid w:val="3CC93141"/>
    <w:rsid w:val="3D0D0E5C"/>
    <w:rsid w:val="3D156DCA"/>
    <w:rsid w:val="3D1B3DB0"/>
    <w:rsid w:val="3D5C1338"/>
    <w:rsid w:val="3DA43219"/>
    <w:rsid w:val="3E640D24"/>
    <w:rsid w:val="3E7F33BB"/>
    <w:rsid w:val="3E8A723B"/>
    <w:rsid w:val="3EC133A8"/>
    <w:rsid w:val="3F4011C8"/>
    <w:rsid w:val="3FD634AE"/>
    <w:rsid w:val="3FFD4CE3"/>
    <w:rsid w:val="40331F40"/>
    <w:rsid w:val="407743CC"/>
    <w:rsid w:val="4098779E"/>
    <w:rsid w:val="40C46DEE"/>
    <w:rsid w:val="411149F3"/>
    <w:rsid w:val="41B97793"/>
    <w:rsid w:val="41CC6B9D"/>
    <w:rsid w:val="420A03AD"/>
    <w:rsid w:val="422D47FC"/>
    <w:rsid w:val="42534957"/>
    <w:rsid w:val="42801A4D"/>
    <w:rsid w:val="428711BD"/>
    <w:rsid w:val="42AD7535"/>
    <w:rsid w:val="43567ECA"/>
    <w:rsid w:val="43B2201E"/>
    <w:rsid w:val="44140159"/>
    <w:rsid w:val="445E6EA4"/>
    <w:rsid w:val="450C329D"/>
    <w:rsid w:val="455E3FF6"/>
    <w:rsid w:val="456C62C1"/>
    <w:rsid w:val="470C4212"/>
    <w:rsid w:val="4741462A"/>
    <w:rsid w:val="47892B11"/>
    <w:rsid w:val="478D729D"/>
    <w:rsid w:val="47BA3586"/>
    <w:rsid w:val="490B0C38"/>
    <w:rsid w:val="49135AD5"/>
    <w:rsid w:val="4914021D"/>
    <w:rsid w:val="495579D6"/>
    <w:rsid w:val="495E195B"/>
    <w:rsid w:val="4A0753B9"/>
    <w:rsid w:val="4ABE20F3"/>
    <w:rsid w:val="4B020A6C"/>
    <w:rsid w:val="4B152ADC"/>
    <w:rsid w:val="4B902631"/>
    <w:rsid w:val="4BA40A9B"/>
    <w:rsid w:val="4BF81DD6"/>
    <w:rsid w:val="4C236EC7"/>
    <w:rsid w:val="4D083C53"/>
    <w:rsid w:val="4D407CB0"/>
    <w:rsid w:val="4D9C6D15"/>
    <w:rsid w:val="4E061EE1"/>
    <w:rsid w:val="4E8F4889"/>
    <w:rsid w:val="4ECD335E"/>
    <w:rsid w:val="4F376CDC"/>
    <w:rsid w:val="4FF61FA8"/>
    <w:rsid w:val="50125E3D"/>
    <w:rsid w:val="5056607B"/>
    <w:rsid w:val="50573072"/>
    <w:rsid w:val="509479E7"/>
    <w:rsid w:val="509505F3"/>
    <w:rsid w:val="50E9517D"/>
    <w:rsid w:val="510C35E0"/>
    <w:rsid w:val="51246452"/>
    <w:rsid w:val="51344E18"/>
    <w:rsid w:val="51562339"/>
    <w:rsid w:val="51AE127A"/>
    <w:rsid w:val="51B83CF3"/>
    <w:rsid w:val="51EE45B9"/>
    <w:rsid w:val="527D4186"/>
    <w:rsid w:val="528F7D30"/>
    <w:rsid w:val="529F33FC"/>
    <w:rsid w:val="52A14542"/>
    <w:rsid w:val="53280172"/>
    <w:rsid w:val="53843BAA"/>
    <w:rsid w:val="539320CC"/>
    <w:rsid w:val="53955D20"/>
    <w:rsid w:val="54244895"/>
    <w:rsid w:val="5483189C"/>
    <w:rsid w:val="549E65A1"/>
    <w:rsid w:val="54A76003"/>
    <w:rsid w:val="55322C20"/>
    <w:rsid w:val="557264C3"/>
    <w:rsid w:val="56445735"/>
    <w:rsid w:val="56557D2E"/>
    <w:rsid w:val="574C6D09"/>
    <w:rsid w:val="575C6DC7"/>
    <w:rsid w:val="57AB5C76"/>
    <w:rsid w:val="57F94697"/>
    <w:rsid w:val="58856DC0"/>
    <w:rsid w:val="58EB1ED0"/>
    <w:rsid w:val="59852668"/>
    <w:rsid w:val="598653AF"/>
    <w:rsid w:val="59A321FB"/>
    <w:rsid w:val="59D00770"/>
    <w:rsid w:val="5A1D0940"/>
    <w:rsid w:val="5B720443"/>
    <w:rsid w:val="5B725859"/>
    <w:rsid w:val="5BBB0DA1"/>
    <w:rsid w:val="5BF01851"/>
    <w:rsid w:val="5C725943"/>
    <w:rsid w:val="5D1E0517"/>
    <w:rsid w:val="5D6461B6"/>
    <w:rsid w:val="5EC7339B"/>
    <w:rsid w:val="5F406187"/>
    <w:rsid w:val="606D7301"/>
    <w:rsid w:val="60D7253E"/>
    <w:rsid w:val="60E73C97"/>
    <w:rsid w:val="61472EAE"/>
    <w:rsid w:val="6158259B"/>
    <w:rsid w:val="61967D72"/>
    <w:rsid w:val="61BD0250"/>
    <w:rsid w:val="62121A34"/>
    <w:rsid w:val="6274164B"/>
    <w:rsid w:val="62AB6F1C"/>
    <w:rsid w:val="62D9224B"/>
    <w:rsid w:val="63320290"/>
    <w:rsid w:val="635E024E"/>
    <w:rsid w:val="635E47D3"/>
    <w:rsid w:val="63782623"/>
    <w:rsid w:val="63984453"/>
    <w:rsid w:val="64921BDB"/>
    <w:rsid w:val="649D0321"/>
    <w:rsid w:val="64C41DD6"/>
    <w:rsid w:val="64E46A5D"/>
    <w:rsid w:val="64F465C3"/>
    <w:rsid w:val="64FB013A"/>
    <w:rsid w:val="65092C85"/>
    <w:rsid w:val="652E02BD"/>
    <w:rsid w:val="65460B7C"/>
    <w:rsid w:val="654B2F1B"/>
    <w:rsid w:val="656E4367"/>
    <w:rsid w:val="65782A18"/>
    <w:rsid w:val="658B0713"/>
    <w:rsid w:val="65F93DA4"/>
    <w:rsid w:val="66FB01B2"/>
    <w:rsid w:val="66FB7BB9"/>
    <w:rsid w:val="671B7C9A"/>
    <w:rsid w:val="6791178A"/>
    <w:rsid w:val="68096A47"/>
    <w:rsid w:val="683F60E7"/>
    <w:rsid w:val="69C55464"/>
    <w:rsid w:val="69D03453"/>
    <w:rsid w:val="6A28076F"/>
    <w:rsid w:val="6A301A03"/>
    <w:rsid w:val="6A3E24DC"/>
    <w:rsid w:val="6A4C5C19"/>
    <w:rsid w:val="6A9F76AB"/>
    <w:rsid w:val="6B266119"/>
    <w:rsid w:val="6B935978"/>
    <w:rsid w:val="6C3A5F76"/>
    <w:rsid w:val="6CA8211B"/>
    <w:rsid w:val="6CD96440"/>
    <w:rsid w:val="6CF05300"/>
    <w:rsid w:val="6D21195D"/>
    <w:rsid w:val="6D98652C"/>
    <w:rsid w:val="6DC24502"/>
    <w:rsid w:val="6DC4208B"/>
    <w:rsid w:val="6EE371A7"/>
    <w:rsid w:val="6F2464F4"/>
    <w:rsid w:val="6F3A0DE5"/>
    <w:rsid w:val="6F857913"/>
    <w:rsid w:val="6FF82BE3"/>
    <w:rsid w:val="705944D0"/>
    <w:rsid w:val="709A2CE7"/>
    <w:rsid w:val="71041D1D"/>
    <w:rsid w:val="710D6480"/>
    <w:rsid w:val="71E6030B"/>
    <w:rsid w:val="71ED72AC"/>
    <w:rsid w:val="727B245A"/>
    <w:rsid w:val="72C51426"/>
    <w:rsid w:val="73B27812"/>
    <w:rsid w:val="73DB1798"/>
    <w:rsid w:val="741B69C3"/>
    <w:rsid w:val="743A102B"/>
    <w:rsid w:val="752B5AA1"/>
    <w:rsid w:val="75730C0D"/>
    <w:rsid w:val="75A40881"/>
    <w:rsid w:val="75DD25D1"/>
    <w:rsid w:val="761675E5"/>
    <w:rsid w:val="7658419B"/>
    <w:rsid w:val="766A27F0"/>
    <w:rsid w:val="774154AC"/>
    <w:rsid w:val="777032C5"/>
    <w:rsid w:val="78A300F5"/>
    <w:rsid w:val="78AB2D85"/>
    <w:rsid w:val="78EB383A"/>
    <w:rsid w:val="794408D3"/>
    <w:rsid w:val="794A76DE"/>
    <w:rsid w:val="7A307B58"/>
    <w:rsid w:val="7AF15236"/>
    <w:rsid w:val="7B163DE4"/>
    <w:rsid w:val="7B463B06"/>
    <w:rsid w:val="7B52311E"/>
    <w:rsid w:val="7BD84537"/>
    <w:rsid w:val="7BDF09FC"/>
    <w:rsid w:val="7C472928"/>
    <w:rsid w:val="7CE67108"/>
    <w:rsid w:val="7CEB1483"/>
    <w:rsid w:val="7D005740"/>
    <w:rsid w:val="7D75315D"/>
    <w:rsid w:val="7D9200E9"/>
    <w:rsid w:val="7DD72F1A"/>
    <w:rsid w:val="7E2E3EDA"/>
    <w:rsid w:val="7E6807CB"/>
    <w:rsid w:val="7E9D6B6C"/>
    <w:rsid w:val="7F1E4EDF"/>
    <w:rsid w:val="7F620D94"/>
    <w:rsid w:val="7F844C47"/>
    <w:rsid w:val="F73E9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caption"/>
    <w:basedOn w:val="1"/>
    <w:next w:val="1"/>
    <w:qFormat/>
    <w:uiPriority w:val="0"/>
    <w:pPr>
      <w:widowControl w:val="0"/>
      <w:jc w:val="both"/>
    </w:pPr>
    <w:rPr>
      <w:rFonts w:ascii="Cambria" w:hAnsi="Cambria" w:eastAsia="黑体" w:cs="Cambria"/>
      <w:kern w:val="2"/>
      <w:sz w:val="20"/>
      <w:szCs w:val="20"/>
      <w:lang w:val="en-US" w:eastAsia="zh-CN" w:bidi="ar-SA"/>
    </w:rPr>
  </w:style>
  <w:style w:type="paragraph" w:styleId="4">
    <w:name w:val="Body Text"/>
    <w:basedOn w:val="1"/>
    <w:next w:val="1"/>
    <w:qFormat/>
    <w:uiPriority w:val="0"/>
    <w:pPr>
      <w:spacing w:after="1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60" w:after="120" w:line="560" w:lineRule="exact"/>
      <w:jc w:val="center"/>
      <w:outlineLvl w:val="0"/>
    </w:pPr>
    <w:rPr>
      <w:rFonts w:eastAsia="方正小标宋简体"/>
      <w:bCs/>
      <w:sz w:val="44"/>
    </w:rPr>
  </w:style>
  <w:style w:type="paragraph" w:styleId="10">
    <w:name w:val="Body Text First Indent"/>
    <w:basedOn w:val="4"/>
    <w:next w:val="5"/>
    <w:qFormat/>
    <w:uiPriority w:val="0"/>
    <w:pPr>
      <w:spacing w:before="100" w:beforeAutospacing="1" w:after="0" w:line="360" w:lineRule="auto"/>
      <w:ind w:firstLine="200" w:firstLineChars="200"/>
    </w:pPr>
    <w:rPr>
      <w:rFonts w:ascii="仿宋_GB2312" w:hAnsi="宋体" w:eastAsia="仿宋_GB2312" w:cs="宋体"/>
      <w:sz w:val="32"/>
      <w:szCs w:val="32"/>
    </w:rPr>
  </w:style>
  <w:style w:type="character" w:styleId="13">
    <w:name w:val="Strong"/>
    <w:basedOn w:val="12"/>
    <w:qFormat/>
    <w:uiPriority w:val="0"/>
    <w:rPr>
      <w:b/>
      <w:bCs/>
    </w:rPr>
  </w:style>
  <w:style w:type="character" w:styleId="14">
    <w:name w:val="page number"/>
    <w:qFormat/>
    <w:uiPriority w:val="0"/>
  </w:style>
  <w:style w:type="character" w:styleId="15">
    <w:name w:val="FollowedHyperlink"/>
    <w:basedOn w:val="12"/>
    <w:qFormat/>
    <w:uiPriority w:val="0"/>
    <w:rPr>
      <w:color w:val="007BFF"/>
      <w:u w:val="none"/>
    </w:rPr>
  </w:style>
  <w:style w:type="character" w:styleId="16">
    <w:name w:val="Hyperlink"/>
    <w:basedOn w:val="12"/>
    <w:qFormat/>
    <w:uiPriority w:val="0"/>
    <w:rPr>
      <w:color w:val="007BFF"/>
      <w:u w:val="none"/>
    </w:rPr>
  </w:style>
  <w:style w:type="character" w:styleId="17">
    <w:name w:val="HTML Code"/>
    <w:basedOn w:val="12"/>
    <w:qFormat/>
    <w:uiPriority w:val="0"/>
    <w:rPr>
      <w:rFonts w:hint="default" w:ascii="Consolas" w:hAnsi="Consolas" w:eastAsia="Consolas" w:cs="Consolas"/>
      <w:color w:val="E83E8C"/>
      <w:sz w:val="21"/>
      <w:szCs w:val="21"/>
    </w:rPr>
  </w:style>
  <w:style w:type="character" w:styleId="18">
    <w:name w:val="HTML Keyboard"/>
    <w:basedOn w:val="12"/>
    <w:qFormat/>
    <w:uiPriority w:val="0"/>
    <w:rPr>
      <w:rFonts w:ascii="Consolas" w:hAnsi="Consolas" w:eastAsia="Consolas" w:cs="Consolas"/>
      <w:color w:val="FFFFFF"/>
      <w:sz w:val="21"/>
      <w:szCs w:val="21"/>
      <w:shd w:val="clear" w:fill="212529"/>
    </w:rPr>
  </w:style>
  <w:style w:type="character" w:styleId="19">
    <w:name w:val="HTML Sample"/>
    <w:basedOn w:val="12"/>
    <w:qFormat/>
    <w:uiPriority w:val="0"/>
    <w:rPr>
      <w:rFonts w:hint="default" w:ascii="Consolas" w:hAnsi="Consolas" w:eastAsia="Consolas" w:cs="Consolas"/>
      <w:sz w:val="21"/>
      <w:szCs w:val="21"/>
    </w:rPr>
  </w:style>
  <w:style w:type="paragraph" w:customStyle="1" w:styleId="20">
    <w:name w:val="图表目录1"/>
    <w:basedOn w:val="21"/>
    <w:next w:val="1"/>
    <w:qFormat/>
    <w:uiPriority w:val="0"/>
    <w:pPr>
      <w:ind w:left="200" w:leftChars="200" w:hanging="200" w:hangingChars="200"/>
    </w:pPr>
    <w:rPr>
      <w:rFonts w:ascii="Times New Roman" w:hAnsi="Times New Roman" w:eastAsia="仿宋_GB2312" w:cs="Times New Roman"/>
      <w:sz w:val="32"/>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BodyText1I"/>
    <w:basedOn w:val="23"/>
    <w:qFormat/>
    <w:uiPriority w:val="0"/>
    <w:pPr>
      <w:spacing w:after="120"/>
      <w:ind w:firstLine="420" w:firstLineChars="100"/>
      <w:jc w:val="both"/>
      <w:textAlignment w:val="baseline"/>
    </w:pPr>
  </w:style>
  <w:style w:type="paragraph" w:customStyle="1" w:styleId="23">
    <w:name w:val="BodyText"/>
    <w:basedOn w:val="1"/>
    <w:next w:val="1"/>
    <w:qFormat/>
    <w:uiPriority w:val="0"/>
    <w:pPr>
      <w:spacing w:after="120"/>
      <w:jc w:val="both"/>
      <w:textAlignment w:val="baseline"/>
    </w:pPr>
  </w:style>
  <w:style w:type="paragraph" w:customStyle="1" w:styleId="24">
    <w:name w:val="列出段落1"/>
    <w:basedOn w:val="1"/>
    <w:qFormat/>
    <w:uiPriority w:val="34"/>
    <w:pPr>
      <w:ind w:firstLine="420" w:firstLineChars="200"/>
    </w:pPr>
  </w:style>
  <w:style w:type="character" w:customStyle="1" w:styleId="25">
    <w:name w:val="NormalCharacter"/>
    <w:semiHidden/>
    <w:qFormat/>
    <w:uiPriority w:val="0"/>
    <w:rPr>
      <w:rFonts w:ascii="Times New Roman" w:hAnsi="Times New Roman" w:eastAsia="仿宋_GB2312" w:cs="Times New Roman"/>
      <w:kern w:val="2"/>
      <w:sz w:val="32"/>
      <w:szCs w:val="32"/>
      <w:lang w:val="en-US" w:eastAsia="zh-CN" w:bidi="ar-SA"/>
    </w:rPr>
  </w:style>
  <w:style w:type="paragraph" w:customStyle="1" w:styleId="26">
    <w:name w:val="6正文-仿宋三号"/>
    <w:basedOn w:val="1"/>
    <w:qFormat/>
    <w:uiPriority w:val="0"/>
    <w:pPr>
      <w:adjustRightInd w:val="0"/>
      <w:snapToGrid w:val="0"/>
      <w:spacing w:line="586" w:lineRule="exact"/>
      <w:ind w:firstLine="640" w:firstLineChars="200"/>
    </w:pPr>
    <w:rPr>
      <w:rFonts w:hint="eastAsia" w:ascii="Times New Roman" w:hAnsi="Times New Roman" w:eastAsia="仿宋_GB2312" w:cs="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2202</Words>
  <Characters>2353</Characters>
  <Lines>0</Lines>
  <Paragraphs>0</Paragraphs>
  <TotalTime>45</TotalTime>
  <ScaleCrop>false</ScaleCrop>
  <LinksUpToDate>false</LinksUpToDate>
  <CharactersWithSpaces>2354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2022-06-16T18:20:00Z</dcterms:created>
  <dc:creator>Administrator</dc:creator>
  <cp:lastModifiedBy>程程</cp:lastModifiedBy>
  <cp:lastPrinted>2024-07-29T02:48:00Z</cp:lastPrinted>
  <dcterms:modified xsi:type="dcterms:W3CDTF">2024-08-19T08:10:09Z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4E35C4A56C6952E3E5DE2166062FFC22</vt:lpwstr>
  </property>
</Properties>
</file>