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/>
        </w:rPr>
        <w:t>龙胜县2021年1-9月经济运行情况分析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仿宋_GB2312" w:cs="仿宋_GB2312"/>
          <w:lang w:val="en-US" w:eastAsia="zh-CN"/>
        </w:rPr>
        <w:t>今年以来，龙胜县经济运行呈现高开低走态势。2021年1-9月，龙胜县农业生产快速增长，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工业增速放缓，</w:t>
      </w:r>
      <w:r>
        <w:rPr>
          <w:rFonts w:hint="eastAsia" w:eastAsia="仿宋_GB2312" w:cs="仿宋_GB2312"/>
          <w:color w:val="auto"/>
          <w:lang w:val="en-US" w:eastAsia="zh-CN"/>
        </w:rPr>
        <w:t>建筑业持续快速发展，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服务业恢复性增长</w:t>
      </w:r>
      <w:r>
        <w:rPr>
          <w:rFonts w:hint="eastAsia" w:ascii="Times New Roman" w:hAnsi="Times New Roman" w:eastAsia="仿宋_GB2312" w:cs="仿宋_GB231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en-US" w:eastAsia="zh-CN"/>
        </w:rPr>
        <w:t>一、主要指标运行情况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根据统一核算结果，1-9月龙胜县GDP为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43.04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亿元，按不变价格计算，同比增长10.0%；两年平均增长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4.1%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，两年平均增速比上半年回落0.3个百分点，与全市持平。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分产业看，第一产业增加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值5.64亿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元，同比增长8.4%；第二产业增加值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11.73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亿元，同比增长15.1%；第三产业增加值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25.66亿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元，同比增长8.3%。从两年平均速度看，与上半年相比全部回落。第一产业增加值平均增长7.5%，比上半年回落0.6个百分点；第二产业增加值平均增长3.9%，比上半年回落0.5个百分点；第三产业增加值平均增长3.7%，比上半年回落0.2个百分点。</w:t>
      </w:r>
    </w:p>
    <w:p>
      <w:pPr>
        <w:pStyle w:val="2"/>
        <w:jc w:val="center"/>
        <w:rPr>
          <w:rFonts w:hint="eastAsia" w:ascii="Times New Roman" w:hAnsi="Times New Roman"/>
          <w:lang w:val="en-US" w:eastAsia="zh-CN"/>
        </w:rPr>
      </w:pPr>
      <w:r>
        <w:drawing>
          <wp:inline distT="0" distB="0" distL="114300" distR="114300">
            <wp:extent cx="5099050" cy="2499995"/>
            <wp:effectExtent l="4445" t="4445" r="14605" b="10160"/>
            <wp:docPr id="1059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经济运行呈现的特点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（一）农业生产形势较好，畜牧业生产快速增长。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1-9月，全县农林牧渔业增加值同比增长8.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%，两年平均增长7.2%，低于上半年0.7个百分点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。1-9月</w:t>
      </w:r>
      <w:r>
        <w:rPr>
          <w:rFonts w:hint="eastAsia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农林牧渔业总产值同比增长9.9%，其中牧业产值增长最快，达17.9%，对农林牧渔业总产值增长的贡献率高达69.3%，拉动农林牧渔业总产值增长6.8个百分点。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（二）工业生产增速放缓。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业对GDP的拉动力由上半年的3.3个百分点减少到0.9个百分点，贡献率由上半年的27.6%减少到8.5%。1-9月，龙广、华美、桂广三大滑石公司产值占规模工业总产值4成以上，同比增长17.0%，增速比上半年回落26.6个百分点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eastAsia="楷体_GB2312" w:cs="楷体_GB2312"/>
          <w:lang w:val="en-US" w:eastAsia="zh-CN"/>
        </w:rPr>
        <w:t>（三）建筑业持续快速发展。</w:t>
      </w:r>
      <w:r>
        <w:rPr>
          <w:rFonts w:hint="eastAsia" w:ascii="Times New Roman" w:hAnsi="Times New Roman" w:eastAsia="仿宋_GB2312" w:cs="仿宋_GB2312"/>
          <w:lang w:val="en-US" w:eastAsia="zh-CN"/>
        </w:rPr>
        <w:t>建筑业拉动经济增长2.9个百分点，拉动力在GDP核算的十大行业中位列第一。两年平均增长4.7%，两年平均增速比上半年加快4.9个百分点。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（四）服务业恢复性增长。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1-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月，规模以上服务业营业收入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同比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34.2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 xml:space="preserve"> %，规模以上其他营利性服务业营业收入同比增长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25.2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营利性服务业同比增长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8.1%，对GDP贡献率4.3%，</w:t>
      </w:r>
      <w:r>
        <w:rPr>
          <w:rFonts w:ascii="Times New Roman" w:hAnsi="Times New Roman" w:eastAsia="仿宋_GB2312"/>
          <w:color w:val="auto"/>
          <w:sz w:val="32"/>
          <w:szCs w:val="32"/>
        </w:rPr>
        <w:t>非营利性服务业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同比</w:t>
      </w:r>
      <w:r>
        <w:rPr>
          <w:rFonts w:ascii="Times New Roman" w:hAnsi="Times New Roman" w:eastAsia="仿宋_GB2312"/>
          <w:color w:val="auto"/>
          <w:sz w:val="32"/>
          <w:szCs w:val="32"/>
        </w:rPr>
        <w:t>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8.5</w:t>
      </w:r>
      <w:r>
        <w:rPr>
          <w:rFonts w:ascii="Times New Roman" w:hAnsi="Times New Roman" w:eastAsia="仿宋_GB2312"/>
          <w:color w:val="auto"/>
          <w:sz w:val="32"/>
          <w:szCs w:val="32"/>
        </w:rPr>
        <w:t>%，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对GDP贡献率达18.0%。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eastAsia="楷体_GB2312" w:cs="楷体_GB2312"/>
          <w:b w:val="0"/>
          <w:bCs w:val="0"/>
          <w:kern w:val="0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32"/>
          <w:szCs w:val="32"/>
          <w:lang w:val="en-US" w:eastAsia="zh-CN"/>
        </w:rPr>
        <w:t>批零住餐业恢复较慢</w:t>
      </w:r>
      <w:r>
        <w:rPr>
          <w:rFonts w:hint="eastAsia" w:ascii="Times New Roman" w:hAnsi="Times New Roman" w:eastAsia="楷体_GB2312" w:cs="楷体_GB2312"/>
          <w:b w:val="0"/>
          <w:bCs w:val="0"/>
          <w:kern w:val="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bCs w:val="0"/>
          <w:kern w:val="0"/>
          <w:sz w:val="32"/>
          <w:szCs w:val="32"/>
          <w:lang w:eastAsia="zh-CN"/>
        </w:rPr>
        <w:t>通过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开展“龙脊开耕节”“龙脊梳秧节”“六月六 看衣秀”等一系列民俗节庆活动，带动批零住餐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业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同比分别增长9.0%、23.1%、30.2%、28.4%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两年平均分别增长-4.7%、7.8%、-16.7%、-15.0%。限额以上批发和住宿业，呈现负增长态势。消费市场还没有恢复到疫情前的水平。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</w:t>
      </w:r>
      <w:r>
        <w:rPr>
          <w:rFonts w:hint="eastAsia" w:eastAsia="楷体_GB2312" w:cs="楷体_GB231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）财政收入稳步增长。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1-9月财政收入3.46亿元，同比增长12.8%。其中税收收入2.87亿元，同比增长31.9%。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（</w:t>
      </w:r>
      <w:r>
        <w:rPr>
          <w:rFonts w:hint="eastAsia" w:eastAsia="楷体_GB2312" w:cs="楷体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楷体_GB2312" w:cs="楷体_GB2312"/>
          <w:color w:val="auto"/>
          <w:sz w:val="32"/>
          <w:szCs w:val="32"/>
          <w:lang w:val="en-US" w:eastAsia="zh-CN"/>
        </w:rPr>
        <w:t>）固定资产投资保持高位增长。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截至9月底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，固定资产投资项目在库80个，其中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今年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新增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38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个，带动固定资产投资额同比增长31.3%。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</w:t>
      </w:r>
      <w:r>
        <w:rPr>
          <w:rFonts w:hint="eastAsia" w:eastAsia="楷体_GB2312" w:cs="楷体_GB2312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）城乡居民收入持续增长。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1-9月，我县城镇居民人均可支配收入29670元，同比名义增长7.6%，两年平均增长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4.9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%。农村居民人均可支配收入9824元，同比名义增长10.1%，两年平均增长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9.5%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。农村居民收入两年平均增速快于城镇居民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4.6个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百分点。</w:t>
      </w:r>
    </w:p>
    <w:p>
      <w:pPr>
        <w:bidi w:val="0"/>
        <w:jc w:val="center"/>
        <w:rPr>
          <w:rFonts w:hint="eastAsia"/>
          <w:lang w:val="en-US" w:eastAsia="zh-CN"/>
        </w:rPr>
      </w:pPr>
      <w:r>
        <w:drawing>
          <wp:inline distT="0" distB="0" distL="114300" distR="114300">
            <wp:extent cx="5066665" cy="2494915"/>
            <wp:effectExtent l="4445" t="4445" r="8890" b="15240"/>
            <wp:docPr id="106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638" w:leftChars="304" w:firstLine="0" w:firstLineChars="0"/>
        <w:textAlignment w:val="auto"/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en-US" w:eastAsia="zh-CN"/>
        </w:rPr>
        <w:t>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eastAsia="zh-CN"/>
        </w:rPr>
        <w:t>（一）工业企业生产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受多种因素制约</w:t>
      </w:r>
      <w:r>
        <w:rPr>
          <w:rFonts w:hint="eastAsia" w:ascii="Times New Roman" w:hAnsi="Times New Roman" w:eastAsia="楷体_GB2312" w:cs="楷体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一是受供电因素影响，导致2家铁合金企业停产，当月产值下降43.0%。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二是电力生产受自然天气影响，生产不稳定，从8月份开始增速下滑。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textAlignment w:val="auto"/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eastAsia="楷体_GB2312" w:cs="楷体_GB2312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lang w:val="en-US" w:eastAsia="zh-CN"/>
        </w:rPr>
        <w:t>）建筑业企业数量少且1家</w:t>
      </w:r>
      <w:r>
        <w:rPr>
          <w:rFonts w:hint="eastAsia" w:eastAsia="楷体_GB2312" w:cs="楷体_GB2312"/>
          <w:color w:val="auto"/>
          <w:kern w:val="0"/>
          <w:sz w:val="32"/>
          <w:szCs w:val="32"/>
          <w:lang w:val="en-US" w:eastAsia="zh-CN"/>
        </w:rPr>
        <w:t>产值</w:t>
      </w: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lang w:val="en-US" w:eastAsia="zh-CN"/>
        </w:rPr>
        <w:t>占比高。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1-9月，龙胜县4家资质建筑业企业，其中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展</w:t>
      </w:r>
      <w:r>
        <w:rPr>
          <w:rFonts w:hint="eastAsia" w:eastAsia="仿宋_GB2312" w:cs="仿宋_GB2312"/>
          <w:color w:val="auto"/>
          <w:lang w:val="en-US" w:eastAsia="zh-CN"/>
        </w:rPr>
        <w:t>峰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建设有限公司产值占</w:t>
      </w:r>
      <w:r>
        <w:rPr>
          <w:rFonts w:hint="eastAsia" w:eastAsia="仿宋_GB2312" w:cs="仿宋_GB2312"/>
          <w:color w:val="auto"/>
          <w:lang w:val="en-US" w:eastAsia="zh-CN"/>
        </w:rPr>
        <w:t>资质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建筑业总产值比重达</w:t>
      </w:r>
      <w:r>
        <w:rPr>
          <w:rFonts w:hint="eastAsia" w:eastAsia="仿宋_GB2312" w:cs="仿宋_GB2312"/>
          <w:color w:val="auto"/>
          <w:lang w:val="en-US" w:eastAsia="zh-CN"/>
        </w:rPr>
        <w:t>7成以上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由于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展</w:t>
      </w:r>
      <w:r>
        <w:rPr>
          <w:rFonts w:hint="eastAsia" w:eastAsia="仿宋_GB2312" w:cs="仿宋_GB2312"/>
          <w:color w:val="auto"/>
          <w:lang w:val="en-US" w:eastAsia="zh-CN"/>
        </w:rPr>
        <w:t>峰</w:t>
      </w:r>
      <w:r>
        <w:rPr>
          <w:rFonts w:hint="eastAsia" w:ascii="Times New Roman" w:hAnsi="Times New Roman" w:eastAsia="仿宋_GB2312" w:cs="仿宋_GB2312"/>
          <w:color w:val="auto"/>
          <w:lang w:val="en-US" w:eastAsia="zh-CN"/>
        </w:rPr>
        <w:t>建设有限公司于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去年四季度入库</w:t>
      </w:r>
      <w:r>
        <w:rPr>
          <w:rFonts w:hint="eastAsia" w:eastAsia="仿宋_GB2312"/>
          <w:color w:val="auto"/>
          <w:kern w:val="0"/>
          <w:sz w:val="32"/>
          <w:szCs w:val="32"/>
          <w:lang w:val="en-US" w:eastAsia="zh-CN"/>
        </w:rPr>
        <w:t>，导致去年四季度基数大幅增加，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lang w:val="en-US" w:eastAsia="zh-CN"/>
        </w:rPr>
        <w:t>将影响今年全年增速。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（三）商品房销售持续下滑。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我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县流动人口少，加之住房需求趋于饱和，需求下降，增速明显回落。</w:t>
      </w:r>
      <w:r>
        <w:rPr>
          <w:rFonts w:hint="eastAsia" w:ascii="Times New Roman" w:hAnsi="Times New Roman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今年4月份以来，我县商品房销售面积呈现负增长，下降幅度较大。2021年1-9月，我县</w:t>
      </w:r>
      <w:r>
        <w:rPr>
          <w:rFonts w:ascii="Times New Roman" w:hAnsi="Times New Roman" w:eastAsia="仿宋_GB2312"/>
          <w:color w:val="auto"/>
          <w:sz w:val="32"/>
          <w:szCs w:val="32"/>
        </w:rPr>
        <w:t>商品房销售面积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2.85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万</w:t>
      </w:r>
      <w:r>
        <w:rPr>
          <w:rFonts w:ascii="Times New Roman" w:hAnsi="Times New Roman" w:eastAsia="仿宋_GB2312"/>
          <w:color w:val="auto"/>
          <w:sz w:val="32"/>
          <w:szCs w:val="32"/>
        </w:rPr>
        <w:t>平方米，同比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37.5%</w:t>
      </w:r>
      <w:r>
        <w:rPr>
          <w:rFonts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比上半年回落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8.1个百分点</w:t>
      </w:r>
      <w:r>
        <w:rPr>
          <w:rFonts w:ascii="Times New Roman" w:hAnsi="Times New Roman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/>
          <w:kern w:val="0"/>
          <w:sz w:val="32"/>
          <w:szCs w:val="32"/>
        </w:rPr>
        <w:t>（</w:t>
      </w:r>
      <w:r>
        <w:rPr>
          <w:rFonts w:hint="eastAsia" w:ascii="Times New Roman" w:hAnsi="Times New Roman" w:eastAsia="楷体_GB2312" w:cs="楷体_GB2312"/>
          <w:b w:val="0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楷体_GB2312" w:cs="楷体_GB2312"/>
          <w:b w:val="0"/>
          <w:bCs/>
          <w:kern w:val="0"/>
          <w:sz w:val="32"/>
          <w:szCs w:val="32"/>
        </w:rPr>
        <w:t>）</w:t>
      </w:r>
      <w:r>
        <w:rPr>
          <w:rFonts w:hint="eastAsia" w:ascii="Times New Roman" w:hAnsi="Times New Roman" w:eastAsia="楷体_GB2312" w:cs="楷体_GB2312"/>
          <w:b w:val="0"/>
          <w:bCs/>
          <w:kern w:val="0"/>
          <w:sz w:val="32"/>
          <w:szCs w:val="32"/>
          <w:lang w:eastAsia="zh-CN"/>
        </w:rPr>
        <w:t>无新增入库企业</w:t>
      </w:r>
      <w:r>
        <w:rPr>
          <w:rFonts w:hint="eastAsia" w:ascii="Times New Roman" w:hAnsi="Times New Roman" w:eastAsia="楷体_GB2312" w:cs="楷体_GB2312"/>
          <w:b w:val="0"/>
          <w:bCs/>
          <w:kern w:val="0"/>
          <w:sz w:val="32"/>
          <w:szCs w:val="32"/>
        </w:rPr>
        <w:t>。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1-9月，“四上”企业新增入库0家，退库5家，在库43家。在库企业较上年同期减少1家。今年以来无新增入库企业，经济缺乏增长活力。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32"/>
          <w:szCs w:val="32"/>
          <w:shd w:val="clear" w:color="auto" w:fill="FFFFFF"/>
          <w:lang w:val="en-US" w:eastAsia="zh-CN"/>
        </w:rPr>
        <w:t>下一步工作建议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做好能耗监测</w:t>
      </w: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为部门制定政策提供依据</w:t>
      </w:r>
      <w:r>
        <w:rPr>
          <w:rFonts w:hint="eastAsia" w:ascii="Times New Roman" w:hAnsi="Times New Roman" w:eastAsia="楷体_GB2312" w:cs="楷体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val="en-US" w:eastAsia="zh-CN"/>
        </w:rPr>
        <w:t>积极开展能源统计监测服务，为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工业企业错峰生产、交替开机生产等调度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val="en-US" w:eastAsia="zh-CN"/>
        </w:rPr>
        <w:t>提供依据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val="en-US" w:eastAsia="zh-CN"/>
        </w:rPr>
        <w:t>为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企业用电等要素保障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val="en-US" w:eastAsia="zh-CN"/>
        </w:rPr>
        <w:t>提供数据支撑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shd w:val="clear" w:color="auto" w:fill="FFFFFF"/>
          <w:lang w:val="en-US" w:eastAsia="zh-CN"/>
        </w:rPr>
        <w:t>（二）加大房地产业主体培育，促进房地产业平稳发展。</w:t>
      </w:r>
      <w:r>
        <w:rPr>
          <w:rFonts w:hint="default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抓好龙脊学府、志贤幸福里、雅居广场、宏华园等在售重点楼盘销售推介，出台优惠政策，激励群众购房。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shd w:val="clear" w:color="auto" w:fill="FFFFFF"/>
          <w:lang w:val="en-US" w:eastAsia="zh-CN"/>
        </w:rPr>
        <w:t>（三）抓项目稳投资，促财政稳收入。</w:t>
      </w:r>
      <w:r>
        <w:rPr>
          <w:rFonts w:hint="default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一是着力开展70周年县庆项目和重大项目攻坚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加快推进县庆项目建设进度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default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二是加快龙城高速公路、桂林吉福思生物科技有限公司罗汉果深加工等重中之重项目建设。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楷体_GB2312" w:cs="楷体_GB2312"/>
          <w:kern w:val="0"/>
          <w:sz w:val="32"/>
          <w:szCs w:val="32"/>
          <w:shd w:val="clear" w:color="auto" w:fill="FFFFFF"/>
          <w:lang w:val="en-US" w:eastAsia="zh-CN"/>
        </w:rPr>
        <w:t>（四）加大上规入统企业的培育力度。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落实激励政策，力争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年内完成2家工业企业、2家住宿业企业以及2家营利性服务业企业入库。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840" w:rightChars="400"/>
        <w:jc w:val="right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龙胜各族自治县统计局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1134" w:leftChars="0" w:firstLine="4160" w:firstLineChars="1300"/>
        <w:jc w:val="both"/>
        <w:textAlignment w:val="auto"/>
        <w:rPr>
          <w:rFonts w:hint="default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2021年10月2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仿宋_GB2312"/>
          <w:kern w:val="0"/>
          <w:sz w:val="32"/>
          <w:szCs w:val="32"/>
          <w:shd w:val="clear" w:color="auto" w:fill="FFFFFF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firstLine="0" w:firstLineChars="0"/>
        <w:textAlignment w:val="auto"/>
        <w:rPr>
          <w:rFonts w:ascii="Times New Roman" w:hAnsi="Times New Roman" w:eastAsia="仿宋_GB2312" w:cstheme="minorBidi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</w:p>
    <w:sectPr>
      <w:footerReference r:id="rId3" w:type="default"/>
      <w:pgSz w:w="11906" w:h="16838"/>
      <w:pgMar w:top="2098" w:right="1304" w:bottom="1304" w:left="1587" w:header="851" w:footer="1361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pacing w:val="-8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pacing w:val="-8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6654D"/>
    <w:multiLevelType w:val="singleLevel"/>
    <w:tmpl w:val="3BF6654D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</w:rPr>
    </w:lvl>
  </w:abstractNum>
  <w:abstractNum w:abstractNumId="1">
    <w:nsid w:val="727B9D24"/>
    <w:multiLevelType w:val="singleLevel"/>
    <w:tmpl w:val="727B9D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D4"/>
    <w:rsid w:val="000129CB"/>
    <w:rsid w:val="000165C4"/>
    <w:rsid w:val="0004265F"/>
    <w:rsid w:val="00071A57"/>
    <w:rsid w:val="0009260F"/>
    <w:rsid w:val="00092613"/>
    <w:rsid w:val="00106565"/>
    <w:rsid w:val="001255C0"/>
    <w:rsid w:val="001742E6"/>
    <w:rsid w:val="00175EAB"/>
    <w:rsid w:val="00182FB1"/>
    <w:rsid w:val="00190FA8"/>
    <w:rsid w:val="00193D7E"/>
    <w:rsid w:val="001970F2"/>
    <w:rsid w:val="001C2BD6"/>
    <w:rsid w:val="002115CF"/>
    <w:rsid w:val="00214E25"/>
    <w:rsid w:val="0022248E"/>
    <w:rsid w:val="002266ED"/>
    <w:rsid w:val="00232E29"/>
    <w:rsid w:val="002336CA"/>
    <w:rsid w:val="00246A26"/>
    <w:rsid w:val="0026052B"/>
    <w:rsid w:val="00275A9F"/>
    <w:rsid w:val="00296E50"/>
    <w:rsid w:val="002B5EC4"/>
    <w:rsid w:val="002C7BAE"/>
    <w:rsid w:val="002D05CB"/>
    <w:rsid w:val="002D3CF2"/>
    <w:rsid w:val="002E6AE1"/>
    <w:rsid w:val="002E71B1"/>
    <w:rsid w:val="002F69E6"/>
    <w:rsid w:val="00321E20"/>
    <w:rsid w:val="00326638"/>
    <w:rsid w:val="00333176"/>
    <w:rsid w:val="00346F51"/>
    <w:rsid w:val="00376E92"/>
    <w:rsid w:val="0038787B"/>
    <w:rsid w:val="003933A4"/>
    <w:rsid w:val="00393D19"/>
    <w:rsid w:val="00394E1F"/>
    <w:rsid w:val="003C0E1D"/>
    <w:rsid w:val="003C59A6"/>
    <w:rsid w:val="003F7069"/>
    <w:rsid w:val="003F7603"/>
    <w:rsid w:val="00401410"/>
    <w:rsid w:val="004060C6"/>
    <w:rsid w:val="00424634"/>
    <w:rsid w:val="00457510"/>
    <w:rsid w:val="00470921"/>
    <w:rsid w:val="004A346A"/>
    <w:rsid w:val="004D325A"/>
    <w:rsid w:val="004E1D82"/>
    <w:rsid w:val="004E6B57"/>
    <w:rsid w:val="00517D0C"/>
    <w:rsid w:val="0055678A"/>
    <w:rsid w:val="00581721"/>
    <w:rsid w:val="005927FE"/>
    <w:rsid w:val="005A0498"/>
    <w:rsid w:val="005A40A8"/>
    <w:rsid w:val="005A7C19"/>
    <w:rsid w:val="005C10FA"/>
    <w:rsid w:val="005D2CA5"/>
    <w:rsid w:val="005E6725"/>
    <w:rsid w:val="005F3F29"/>
    <w:rsid w:val="00605988"/>
    <w:rsid w:val="0065464A"/>
    <w:rsid w:val="006660D9"/>
    <w:rsid w:val="006A373B"/>
    <w:rsid w:val="006A7AEF"/>
    <w:rsid w:val="006B36BE"/>
    <w:rsid w:val="006B4DA2"/>
    <w:rsid w:val="006B6CA6"/>
    <w:rsid w:val="006C12D4"/>
    <w:rsid w:val="006D1020"/>
    <w:rsid w:val="0074130E"/>
    <w:rsid w:val="007500A0"/>
    <w:rsid w:val="007657E2"/>
    <w:rsid w:val="00767924"/>
    <w:rsid w:val="007934AD"/>
    <w:rsid w:val="007D07AD"/>
    <w:rsid w:val="007D72FD"/>
    <w:rsid w:val="00846574"/>
    <w:rsid w:val="008478AE"/>
    <w:rsid w:val="00850C19"/>
    <w:rsid w:val="00887B04"/>
    <w:rsid w:val="008A60D1"/>
    <w:rsid w:val="008A636D"/>
    <w:rsid w:val="008E200D"/>
    <w:rsid w:val="00910E1C"/>
    <w:rsid w:val="00913ECF"/>
    <w:rsid w:val="00947EDD"/>
    <w:rsid w:val="00953746"/>
    <w:rsid w:val="009979D5"/>
    <w:rsid w:val="009B71D2"/>
    <w:rsid w:val="009C4AB7"/>
    <w:rsid w:val="009E6D98"/>
    <w:rsid w:val="009F17D7"/>
    <w:rsid w:val="00A03417"/>
    <w:rsid w:val="00A20343"/>
    <w:rsid w:val="00A2156C"/>
    <w:rsid w:val="00A25662"/>
    <w:rsid w:val="00A348B4"/>
    <w:rsid w:val="00A42728"/>
    <w:rsid w:val="00A51FD2"/>
    <w:rsid w:val="00A6567A"/>
    <w:rsid w:val="00A94FF1"/>
    <w:rsid w:val="00A96F9F"/>
    <w:rsid w:val="00AC0EE0"/>
    <w:rsid w:val="00AD5494"/>
    <w:rsid w:val="00AF0825"/>
    <w:rsid w:val="00AF7480"/>
    <w:rsid w:val="00B0063F"/>
    <w:rsid w:val="00B03431"/>
    <w:rsid w:val="00B223B3"/>
    <w:rsid w:val="00B36F1A"/>
    <w:rsid w:val="00B638E4"/>
    <w:rsid w:val="00B977F9"/>
    <w:rsid w:val="00BA2575"/>
    <w:rsid w:val="00BA6859"/>
    <w:rsid w:val="00BB6A36"/>
    <w:rsid w:val="00C10BAC"/>
    <w:rsid w:val="00C2732D"/>
    <w:rsid w:val="00C31551"/>
    <w:rsid w:val="00C414D3"/>
    <w:rsid w:val="00C41ED3"/>
    <w:rsid w:val="00C524D9"/>
    <w:rsid w:val="00C811D9"/>
    <w:rsid w:val="00C93694"/>
    <w:rsid w:val="00CE2966"/>
    <w:rsid w:val="00D108EE"/>
    <w:rsid w:val="00D11DA6"/>
    <w:rsid w:val="00D326D6"/>
    <w:rsid w:val="00D64255"/>
    <w:rsid w:val="00D809CB"/>
    <w:rsid w:val="00DC1459"/>
    <w:rsid w:val="00DF3107"/>
    <w:rsid w:val="00E1100F"/>
    <w:rsid w:val="00E14B3F"/>
    <w:rsid w:val="00E93D20"/>
    <w:rsid w:val="00E97878"/>
    <w:rsid w:val="00EB4C9F"/>
    <w:rsid w:val="00EB4CA5"/>
    <w:rsid w:val="00ED0905"/>
    <w:rsid w:val="00F105C9"/>
    <w:rsid w:val="00F23095"/>
    <w:rsid w:val="00F74489"/>
    <w:rsid w:val="00F85035"/>
    <w:rsid w:val="00F955D1"/>
    <w:rsid w:val="00FD5E12"/>
    <w:rsid w:val="00FF3605"/>
    <w:rsid w:val="0163592B"/>
    <w:rsid w:val="017F7416"/>
    <w:rsid w:val="01B15AC8"/>
    <w:rsid w:val="01B17201"/>
    <w:rsid w:val="02401C81"/>
    <w:rsid w:val="02A8411B"/>
    <w:rsid w:val="02AC485A"/>
    <w:rsid w:val="04056CCE"/>
    <w:rsid w:val="04197870"/>
    <w:rsid w:val="052468FD"/>
    <w:rsid w:val="05760AEB"/>
    <w:rsid w:val="057A0B0D"/>
    <w:rsid w:val="064B1DA3"/>
    <w:rsid w:val="065C4D16"/>
    <w:rsid w:val="068562F2"/>
    <w:rsid w:val="06933ECE"/>
    <w:rsid w:val="069B17D7"/>
    <w:rsid w:val="06FA1B00"/>
    <w:rsid w:val="071A17A5"/>
    <w:rsid w:val="07B836EF"/>
    <w:rsid w:val="07EE23E2"/>
    <w:rsid w:val="08F37A30"/>
    <w:rsid w:val="091F3C20"/>
    <w:rsid w:val="09795747"/>
    <w:rsid w:val="09A67351"/>
    <w:rsid w:val="0A1C4BE9"/>
    <w:rsid w:val="0BF5236A"/>
    <w:rsid w:val="0BFC42E8"/>
    <w:rsid w:val="0CA827F4"/>
    <w:rsid w:val="0D890FFC"/>
    <w:rsid w:val="0E1F6BCB"/>
    <w:rsid w:val="0F130E1C"/>
    <w:rsid w:val="0F60447B"/>
    <w:rsid w:val="0FC81BB2"/>
    <w:rsid w:val="0FCE6A47"/>
    <w:rsid w:val="0FEB6E1E"/>
    <w:rsid w:val="0FFB3D8E"/>
    <w:rsid w:val="10563851"/>
    <w:rsid w:val="10B72623"/>
    <w:rsid w:val="10FC13B0"/>
    <w:rsid w:val="11702755"/>
    <w:rsid w:val="11A321C4"/>
    <w:rsid w:val="123B5DF9"/>
    <w:rsid w:val="1304723C"/>
    <w:rsid w:val="132C39A2"/>
    <w:rsid w:val="138A1B75"/>
    <w:rsid w:val="141507DB"/>
    <w:rsid w:val="14816746"/>
    <w:rsid w:val="14F50022"/>
    <w:rsid w:val="15B402B3"/>
    <w:rsid w:val="16260BC4"/>
    <w:rsid w:val="16720489"/>
    <w:rsid w:val="168926B5"/>
    <w:rsid w:val="168D5C6F"/>
    <w:rsid w:val="171528F5"/>
    <w:rsid w:val="174640CA"/>
    <w:rsid w:val="17D106BB"/>
    <w:rsid w:val="182B2135"/>
    <w:rsid w:val="18307409"/>
    <w:rsid w:val="18DF4004"/>
    <w:rsid w:val="195C0DBF"/>
    <w:rsid w:val="19B53B51"/>
    <w:rsid w:val="19C92FDD"/>
    <w:rsid w:val="19D368BD"/>
    <w:rsid w:val="19D37CA7"/>
    <w:rsid w:val="19DF025C"/>
    <w:rsid w:val="19F75D2D"/>
    <w:rsid w:val="1A573690"/>
    <w:rsid w:val="1AF96EC4"/>
    <w:rsid w:val="1B283AAB"/>
    <w:rsid w:val="1B296A72"/>
    <w:rsid w:val="1B3B25E2"/>
    <w:rsid w:val="1B50469F"/>
    <w:rsid w:val="1B5350DD"/>
    <w:rsid w:val="1D4818CD"/>
    <w:rsid w:val="1D844A4D"/>
    <w:rsid w:val="1D872D2D"/>
    <w:rsid w:val="1DBC3930"/>
    <w:rsid w:val="1DCD69BA"/>
    <w:rsid w:val="1DDE612B"/>
    <w:rsid w:val="1E862855"/>
    <w:rsid w:val="1EA5688D"/>
    <w:rsid w:val="1EB8234A"/>
    <w:rsid w:val="1F42285E"/>
    <w:rsid w:val="1FAE067D"/>
    <w:rsid w:val="1FC40E49"/>
    <w:rsid w:val="1FEC0AC1"/>
    <w:rsid w:val="20C16B44"/>
    <w:rsid w:val="20FF3FC7"/>
    <w:rsid w:val="21A03FF1"/>
    <w:rsid w:val="226C327D"/>
    <w:rsid w:val="22AF395B"/>
    <w:rsid w:val="230362D5"/>
    <w:rsid w:val="230E5EF4"/>
    <w:rsid w:val="24142603"/>
    <w:rsid w:val="24255700"/>
    <w:rsid w:val="242E372D"/>
    <w:rsid w:val="243C0850"/>
    <w:rsid w:val="24887B66"/>
    <w:rsid w:val="256032D4"/>
    <w:rsid w:val="25BE64D7"/>
    <w:rsid w:val="260E7357"/>
    <w:rsid w:val="26870AAA"/>
    <w:rsid w:val="285E5C71"/>
    <w:rsid w:val="28761382"/>
    <w:rsid w:val="28926053"/>
    <w:rsid w:val="28A420EF"/>
    <w:rsid w:val="29432379"/>
    <w:rsid w:val="296A5484"/>
    <w:rsid w:val="2A3D2667"/>
    <w:rsid w:val="2A8D50A7"/>
    <w:rsid w:val="2B1C774C"/>
    <w:rsid w:val="2B4A5619"/>
    <w:rsid w:val="2BD82662"/>
    <w:rsid w:val="2C57642F"/>
    <w:rsid w:val="2CB563CD"/>
    <w:rsid w:val="2E541C4E"/>
    <w:rsid w:val="2F081602"/>
    <w:rsid w:val="2FA87846"/>
    <w:rsid w:val="2FB16798"/>
    <w:rsid w:val="2FB80382"/>
    <w:rsid w:val="304D10F0"/>
    <w:rsid w:val="30961456"/>
    <w:rsid w:val="30CE3BFE"/>
    <w:rsid w:val="31B727A6"/>
    <w:rsid w:val="31CA0453"/>
    <w:rsid w:val="32655BF9"/>
    <w:rsid w:val="32BA3343"/>
    <w:rsid w:val="35476E9A"/>
    <w:rsid w:val="356E34EB"/>
    <w:rsid w:val="35CB5D72"/>
    <w:rsid w:val="36985755"/>
    <w:rsid w:val="37076EB2"/>
    <w:rsid w:val="373A74F6"/>
    <w:rsid w:val="377D2A0C"/>
    <w:rsid w:val="379815F4"/>
    <w:rsid w:val="37AC7DE9"/>
    <w:rsid w:val="37B52B00"/>
    <w:rsid w:val="37C062D0"/>
    <w:rsid w:val="39D476DE"/>
    <w:rsid w:val="3B902A91"/>
    <w:rsid w:val="3BD763BB"/>
    <w:rsid w:val="3BE05563"/>
    <w:rsid w:val="3C075512"/>
    <w:rsid w:val="3C0B1020"/>
    <w:rsid w:val="3C3B55C3"/>
    <w:rsid w:val="3C4D4AC7"/>
    <w:rsid w:val="3C5315E3"/>
    <w:rsid w:val="3CA90BCE"/>
    <w:rsid w:val="3CBD4CB0"/>
    <w:rsid w:val="3D797276"/>
    <w:rsid w:val="3DAB19F6"/>
    <w:rsid w:val="3E4E3839"/>
    <w:rsid w:val="3EBD4DB4"/>
    <w:rsid w:val="3F210799"/>
    <w:rsid w:val="3FB04E19"/>
    <w:rsid w:val="3FF97F74"/>
    <w:rsid w:val="40187E8B"/>
    <w:rsid w:val="404960F7"/>
    <w:rsid w:val="40795691"/>
    <w:rsid w:val="40BC54E1"/>
    <w:rsid w:val="414361F8"/>
    <w:rsid w:val="42647A96"/>
    <w:rsid w:val="429364D4"/>
    <w:rsid w:val="43125D4F"/>
    <w:rsid w:val="445B35D0"/>
    <w:rsid w:val="44794ED1"/>
    <w:rsid w:val="44CB2DBA"/>
    <w:rsid w:val="45A2279E"/>
    <w:rsid w:val="462C2738"/>
    <w:rsid w:val="46FB0017"/>
    <w:rsid w:val="4760338E"/>
    <w:rsid w:val="47A54221"/>
    <w:rsid w:val="498130A5"/>
    <w:rsid w:val="49DA5E43"/>
    <w:rsid w:val="4A18533A"/>
    <w:rsid w:val="4AD42CC8"/>
    <w:rsid w:val="4B082725"/>
    <w:rsid w:val="4C474FE6"/>
    <w:rsid w:val="4D68549B"/>
    <w:rsid w:val="4DAC6D8D"/>
    <w:rsid w:val="4DD03E71"/>
    <w:rsid w:val="4E2C750F"/>
    <w:rsid w:val="4E6E6970"/>
    <w:rsid w:val="4EBD197C"/>
    <w:rsid w:val="4F8D07BE"/>
    <w:rsid w:val="4FA357E3"/>
    <w:rsid w:val="4FD44654"/>
    <w:rsid w:val="4FDB19E5"/>
    <w:rsid w:val="5006327E"/>
    <w:rsid w:val="501976AC"/>
    <w:rsid w:val="505C5F84"/>
    <w:rsid w:val="50911BC1"/>
    <w:rsid w:val="510168CC"/>
    <w:rsid w:val="52BC219F"/>
    <w:rsid w:val="53062BFC"/>
    <w:rsid w:val="532562A1"/>
    <w:rsid w:val="533E1AAD"/>
    <w:rsid w:val="5393632D"/>
    <w:rsid w:val="53A27A58"/>
    <w:rsid w:val="543F18EA"/>
    <w:rsid w:val="54C325AF"/>
    <w:rsid w:val="54DC1D43"/>
    <w:rsid w:val="54FA4A46"/>
    <w:rsid w:val="5528607B"/>
    <w:rsid w:val="5549505B"/>
    <w:rsid w:val="55AE359A"/>
    <w:rsid w:val="55C86E70"/>
    <w:rsid w:val="55F01223"/>
    <w:rsid w:val="56073FD8"/>
    <w:rsid w:val="564B6897"/>
    <w:rsid w:val="56677DB3"/>
    <w:rsid w:val="568D2536"/>
    <w:rsid w:val="56A440C0"/>
    <w:rsid w:val="56B6590A"/>
    <w:rsid w:val="56C5798C"/>
    <w:rsid w:val="56F451BD"/>
    <w:rsid w:val="57935828"/>
    <w:rsid w:val="57D0005F"/>
    <w:rsid w:val="58585D0C"/>
    <w:rsid w:val="59BA2546"/>
    <w:rsid w:val="5A06720E"/>
    <w:rsid w:val="5A92571D"/>
    <w:rsid w:val="5B2E4D0E"/>
    <w:rsid w:val="5B6653B3"/>
    <w:rsid w:val="5BA75782"/>
    <w:rsid w:val="5BC4236F"/>
    <w:rsid w:val="5CB12FBE"/>
    <w:rsid w:val="5D5F0747"/>
    <w:rsid w:val="5E3C2780"/>
    <w:rsid w:val="5E7B6389"/>
    <w:rsid w:val="5EA93012"/>
    <w:rsid w:val="5F4C2F06"/>
    <w:rsid w:val="5F9C28AB"/>
    <w:rsid w:val="5FC37096"/>
    <w:rsid w:val="5FEB21DD"/>
    <w:rsid w:val="60950515"/>
    <w:rsid w:val="60A97F37"/>
    <w:rsid w:val="60B45272"/>
    <w:rsid w:val="622C2304"/>
    <w:rsid w:val="622F2C89"/>
    <w:rsid w:val="62746D0E"/>
    <w:rsid w:val="63461E1A"/>
    <w:rsid w:val="63B166B4"/>
    <w:rsid w:val="63B75F93"/>
    <w:rsid w:val="63DF1CF1"/>
    <w:rsid w:val="63E856DB"/>
    <w:rsid w:val="64CE65B6"/>
    <w:rsid w:val="650B0588"/>
    <w:rsid w:val="657F3689"/>
    <w:rsid w:val="65FA6426"/>
    <w:rsid w:val="666D1C49"/>
    <w:rsid w:val="66AC0376"/>
    <w:rsid w:val="66C41E36"/>
    <w:rsid w:val="67194700"/>
    <w:rsid w:val="67232BA5"/>
    <w:rsid w:val="675D3F22"/>
    <w:rsid w:val="682006E7"/>
    <w:rsid w:val="688D797A"/>
    <w:rsid w:val="69B978D3"/>
    <w:rsid w:val="69C40CF3"/>
    <w:rsid w:val="69F52EB7"/>
    <w:rsid w:val="6A3469A9"/>
    <w:rsid w:val="6B0A5CE5"/>
    <w:rsid w:val="6B2C24E4"/>
    <w:rsid w:val="6B4038B3"/>
    <w:rsid w:val="6B481BE6"/>
    <w:rsid w:val="6B8A6FC3"/>
    <w:rsid w:val="6C9A5FBB"/>
    <w:rsid w:val="6CAE6C5E"/>
    <w:rsid w:val="6CDD2C5C"/>
    <w:rsid w:val="6CE67E47"/>
    <w:rsid w:val="6CE82FF0"/>
    <w:rsid w:val="6D0F0E7E"/>
    <w:rsid w:val="6D885513"/>
    <w:rsid w:val="6F492C54"/>
    <w:rsid w:val="6F761ACC"/>
    <w:rsid w:val="6F820E6F"/>
    <w:rsid w:val="6FEE23D1"/>
    <w:rsid w:val="700F26B6"/>
    <w:rsid w:val="70792647"/>
    <w:rsid w:val="71355A27"/>
    <w:rsid w:val="71693E5E"/>
    <w:rsid w:val="716F2EDD"/>
    <w:rsid w:val="71B5635C"/>
    <w:rsid w:val="721D7C79"/>
    <w:rsid w:val="72467BF2"/>
    <w:rsid w:val="72F9049B"/>
    <w:rsid w:val="72FF2953"/>
    <w:rsid w:val="73AB2D29"/>
    <w:rsid w:val="73F93B80"/>
    <w:rsid w:val="74230DDD"/>
    <w:rsid w:val="746A1CFC"/>
    <w:rsid w:val="748A42DD"/>
    <w:rsid w:val="759C6168"/>
    <w:rsid w:val="759E745F"/>
    <w:rsid w:val="75A3211A"/>
    <w:rsid w:val="75C66B51"/>
    <w:rsid w:val="764A15DC"/>
    <w:rsid w:val="768F5A31"/>
    <w:rsid w:val="76C014BE"/>
    <w:rsid w:val="76C25790"/>
    <w:rsid w:val="76CD3B93"/>
    <w:rsid w:val="77433143"/>
    <w:rsid w:val="777C1EC3"/>
    <w:rsid w:val="77BC54D6"/>
    <w:rsid w:val="7887225F"/>
    <w:rsid w:val="78984531"/>
    <w:rsid w:val="78E43CFE"/>
    <w:rsid w:val="78E817AD"/>
    <w:rsid w:val="790433D9"/>
    <w:rsid w:val="791E2862"/>
    <w:rsid w:val="793E2EBA"/>
    <w:rsid w:val="79412210"/>
    <w:rsid w:val="794D1A58"/>
    <w:rsid w:val="79847524"/>
    <w:rsid w:val="7A77520D"/>
    <w:rsid w:val="7ABC1C82"/>
    <w:rsid w:val="7AD35DEC"/>
    <w:rsid w:val="7B605F1A"/>
    <w:rsid w:val="7B8E4C2E"/>
    <w:rsid w:val="7BBE56FE"/>
    <w:rsid w:val="7C0B54C3"/>
    <w:rsid w:val="7C7A45B0"/>
    <w:rsid w:val="7C8B289E"/>
    <w:rsid w:val="7CF638C4"/>
    <w:rsid w:val="7CFB0E4F"/>
    <w:rsid w:val="7D47471F"/>
    <w:rsid w:val="7D722953"/>
    <w:rsid w:val="7EC84AD7"/>
    <w:rsid w:val="7F7A6B0D"/>
    <w:rsid w:val="7F913A9A"/>
    <w:rsid w:val="7F9D5B5C"/>
    <w:rsid w:val="7FA65E8F"/>
    <w:rsid w:val="7FD4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rPr>
      <w:rFonts w:ascii="Times New Roman" w:hAnsi="Times New Roman" w:cs="Times New Roman"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FollowedHyperlink"/>
    <w:basedOn w:val="9"/>
    <w:unhideWhenUsed/>
    <w:qFormat/>
    <w:uiPriority w:val="99"/>
    <w:rPr>
      <w:color w:val="000000"/>
      <w:sz w:val="18"/>
      <w:szCs w:val="18"/>
      <w:u w:val="none"/>
    </w:rPr>
  </w:style>
  <w:style w:type="character" w:styleId="11">
    <w:name w:val="Hyperlink"/>
    <w:basedOn w:val="9"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15"/>
    <w:basedOn w:val="9"/>
    <w:qFormat/>
    <w:uiPriority w:val="0"/>
  </w:style>
  <w:style w:type="paragraph" w:customStyle="1" w:styleId="15">
    <w:name w:val="Char"/>
    <w:basedOn w:val="1"/>
    <w:qFormat/>
    <w:uiPriority w:val="0"/>
    <w:pPr>
      <w:spacing w:line="360" w:lineRule="auto"/>
      <w:ind w:firstLine="480" w:firstLineChars="200"/>
    </w:pPr>
    <w:rPr>
      <w:rFonts w:ascii="宋体" w:hAnsi="宋体" w:eastAsia="楷体_GB2312" w:cs="Times New Roman"/>
      <w:sz w:val="24"/>
      <w:szCs w:val="21"/>
    </w:rPr>
  </w:style>
  <w:style w:type="character" w:customStyle="1" w:styleId="16">
    <w:name w:val="NormalCharacter"/>
    <w:semiHidden/>
    <w:qFormat/>
    <w:uiPriority w:val="0"/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20998;&#26512;\2021&#24180;1-9&#26376;&#22270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&#20998;&#26512;\2021&#24180;1-9&#26376;&#22270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黑体" panose="02010609060101010101" charset="-122"/>
                <a:cs typeface="+mn-cs"/>
              </a:defRPr>
            </a:pPr>
            <a:r>
              <a:rPr lang="en-US" altLang="zh-CN" sz="1400" b="0" i="0" u="none" strike="noStrike" cap="none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Calibri" panose="020F0502020204030204" pitchFamily="2" charset="0"/>
                <a:ea typeface="黑体" panose="02010609060101010101" charset="-122"/>
                <a:cs typeface="Calibri" panose="020F0502020204030204" pitchFamily="2" charset="0"/>
              </a:rPr>
              <a:t>2021</a:t>
            </a:r>
            <a:r>
              <a:rPr altLang="en-US" sz="1400" b="0" i="0" u="none" strike="noStrike" cap="none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宋体" panose="02010600030101010101" charset="-122"/>
                <a:ea typeface="黑体" panose="02010609060101010101" charset="-122"/>
                <a:cs typeface="宋体" panose="02010600030101010101" charset="-122"/>
              </a:rPr>
              <a:t>年与</a:t>
            </a:r>
            <a:r>
              <a:rPr lang="en-US" altLang="zh-CN" sz="1400" b="0" i="0" u="none" strike="noStrike" cap="none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Calibri" panose="020F0502020204030204" pitchFamily="2" charset="0"/>
                <a:ea typeface="黑体" panose="02010609060101010101" charset="-122"/>
                <a:cs typeface="Calibri" panose="020F0502020204030204" pitchFamily="2" charset="0"/>
              </a:rPr>
              <a:t>2020</a:t>
            </a:r>
            <a:r>
              <a:rPr altLang="en-US" sz="1400" b="0" i="0" u="none" strike="noStrike" cap="none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宋体" panose="02010600030101010101" charset="-122"/>
                <a:ea typeface="黑体" panose="02010609060101010101" charset="-122"/>
                <a:cs typeface="宋体" panose="02010600030101010101" charset="-122"/>
              </a:rPr>
              <a:t>年</a:t>
            </a:r>
            <a:r>
              <a:rPr lang="en-US" altLang="zh-CN" sz="1400" b="0" i="0" u="none" strike="noStrike" cap="none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Calibri" panose="020F0502020204030204" pitchFamily="2" charset="0"/>
                <a:ea typeface="黑体" panose="02010609060101010101" charset="-122"/>
                <a:cs typeface="Calibri" panose="020F0502020204030204" pitchFamily="2" charset="0"/>
              </a:rPr>
              <a:t>GDP</a:t>
            </a:r>
            <a:r>
              <a:rPr altLang="en-US" sz="1400" b="0" i="0" u="none" strike="noStrike" cap="none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宋体" panose="02010600030101010101" charset="-122"/>
                <a:ea typeface="黑体" panose="02010609060101010101" charset="-122"/>
                <a:cs typeface="宋体" panose="02010600030101010101" charset="-122"/>
              </a:rPr>
              <a:t>增速对比图</a:t>
            </a:r>
            <a:endParaRPr altLang="en-US" sz="1200" b="0" i="0" u="none" strike="noStrike" cap="none" normalizeH="0" baseline="0">
              <a:solidFill>
                <a:schemeClr val="tx1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宋体" panose="02010600030101010101" charset="-122"/>
              <a:ea typeface="黑体" panose="02010609060101010101" charset="-122"/>
              <a:cs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'[2021年1-9月图表.xls]Sheet1'!$A$3</c:f>
              <c:strCache>
                <c:ptCount val="1"/>
                <c:pt idx="0">
                  <c:v>2021年GDP增速（%）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'[2021年1-9月图表.xls]Sheet1'!$B$2:$D$2</c:f>
              <c:strCache>
                <c:ptCount val="3"/>
                <c:pt idx="0">
                  <c:v>1-3月</c:v>
                </c:pt>
                <c:pt idx="1">
                  <c:v>1-6月</c:v>
                </c:pt>
                <c:pt idx="2">
                  <c:v>1-9月</c:v>
                </c:pt>
              </c:strCache>
            </c:strRef>
          </c:cat>
          <c:val>
            <c:numRef>
              <c:f>'[2021年1-9月图表.xls]Sheet1'!$B$3:$D$3</c:f>
              <c:numCache>
                <c:formatCode>General</c:formatCode>
                <c:ptCount val="3"/>
                <c:pt idx="0">
                  <c:v>17.4</c:v>
                </c:pt>
                <c:pt idx="1">
                  <c:v>12.1</c:v>
                </c:pt>
                <c:pt idx="2" c:formatCode="0.0_ ">
                  <c:v>10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'[2021年1-9月图表.xls]Sheet1'!$A$4</c:f>
              <c:strCache>
                <c:ptCount val="1"/>
                <c:pt idx="0">
                  <c:v>2020年GDP增速（%）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'[2021年1-9月图表.xls]Sheet1'!$B$2:$D$2</c:f>
              <c:strCache>
                <c:ptCount val="3"/>
                <c:pt idx="0">
                  <c:v>1-3月</c:v>
                </c:pt>
                <c:pt idx="1">
                  <c:v>1-6月</c:v>
                </c:pt>
                <c:pt idx="2">
                  <c:v>1-9月</c:v>
                </c:pt>
              </c:strCache>
            </c:strRef>
          </c:cat>
          <c:val>
            <c:numRef>
              <c:f>'[2021年1-9月图表.xls]Sheet1'!$B$4:$D$4</c:f>
              <c:numCache>
                <c:formatCode>General</c:formatCode>
                <c:ptCount val="3"/>
                <c:pt idx="0">
                  <c:v>-6.7</c:v>
                </c:pt>
                <c:pt idx="1">
                  <c:v>-2.7</c:v>
                </c:pt>
                <c:pt idx="2">
                  <c:v>-1.4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748739420"/>
        <c:axId val="789712629"/>
      </c:lineChart>
      <c:catAx>
        <c:axId val="748739420"/>
        <c:scaling>
          <c:orientation val="minMax"/>
        </c:scaling>
        <c:delete val="0"/>
        <c:axPos val="b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>
                    <a:lumMod val="65000"/>
                    <a:lumOff val="35000"/>
                  </a:schemeClr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89712629"/>
        <c:crosses val="autoZero"/>
        <c:auto val="1"/>
        <c:lblAlgn val="ctr"/>
        <c:lblOffset val="100"/>
        <c:noMultiLvlLbl val="0"/>
      </c:catAx>
      <c:valAx>
        <c:axId val="78971262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7487394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黑体" panose="02010609060101010101" charset="-122"/>
                <a:cs typeface="+mn-cs"/>
              </a:defRPr>
            </a:pPr>
            <a:r>
              <a:rPr lang="en-US" altLang="zh-CN" sz="1400" b="0" i="0" u="none" strike="noStrike" cap="none" normalizeH="0" baseline="0">
                <a:solidFill>
                  <a:srgbClr val="00000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Calibri" panose="020F0502020204030204" pitchFamily="2" charset="0"/>
                <a:ea typeface="Calibri" panose="020F0502020204030204" pitchFamily="2" charset="0"/>
                <a:cs typeface="Calibri" panose="020F0502020204030204" pitchFamily="2" charset="0"/>
              </a:rPr>
              <a:t>2021</a:t>
            </a:r>
            <a:r>
              <a:rPr altLang="en-US" sz="1400" b="0" i="0" u="none" strike="noStrike" cap="none" normalizeH="0" baseline="0">
                <a:solidFill>
                  <a:srgbClr val="000000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黑体" panose="02010609060101010101" charset="-122"/>
                <a:ea typeface="黑体" panose="02010609060101010101" charset="-122"/>
                <a:cs typeface="黑体" panose="02010609060101010101" charset="-122"/>
              </a:rPr>
              <a:t>年城乡居民可支配收入增速</a:t>
            </a:r>
            <a:endParaRPr altLang="en-US" sz="1200" b="0" i="0" u="none" strike="noStrike" cap="none" normalizeH="0" baseline="0">
              <a:solidFill>
                <a:srgbClr val="000000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'[2021年1-9月图表.xls]Sheet1'!$A$27</c:f>
              <c:strCache>
                <c:ptCount val="1"/>
                <c:pt idx="0">
                  <c:v>城镇居民人均可支配收入增速（%）</c:v>
                </c:pt>
              </c:strCache>
            </c:strRef>
          </c:tx>
          <c:spPr>
            <a:ln w="28575" cap="rnd" cmpd="sng" algn="ctr">
              <a:solidFill>
                <a:srgbClr val="92D05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0"/>
                  <c:y val="0.0208333333333333"/>
                </c:manualLayout>
              </c:layout>
              <c:numFmt formatCode="#,##0.0_);[Red]\(#,##0.0\)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0" tIns="19050" rIns="38100" bIns="19050" anchor="ctr" anchorCtr="1"/>
                <a:lstStyle/>
                <a:p>
                  <a:pPr>
                    <a:defRPr lang="zh-CN" sz="1000" b="0" i="0" u="none" strike="noStrike" kern="1200" cap="none" spc="0" normalizeH="0" baseline="0">
                      <a:solidFill>
                        <a:schemeClr val="tx1"/>
                      </a:solidFill>
                      <a:uFill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u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0.0173611111111111"/>
                </c:manualLayout>
              </c:layout>
              <c:numFmt formatCode="#,##0.0_);[Red]\(#,##0.0\)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0" tIns="19050" rIns="38100" bIns="19050" anchor="ctr" anchorCtr="1"/>
                <a:lstStyle/>
                <a:p>
                  <a:pPr>
                    <a:defRPr lang="zh-CN" sz="1000" b="0" i="0" u="none" strike="noStrike" kern="1200" cap="none" spc="0" normalizeH="0" baseline="0">
                      <a:solidFill>
                        <a:schemeClr val="tx1"/>
                      </a:solidFill>
                      <a:uFill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u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0.0347222222222222"/>
                </c:manualLayout>
              </c:layout>
              <c:numFmt formatCode="#,##0.0_);[Red]\(#,##0.0\)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0" tIns="19050" rIns="38100" bIns="19050" anchor="ctr" anchorCtr="1"/>
                <a:lstStyle/>
                <a:p>
                  <a:pPr>
                    <a:defRPr lang="zh-CN" sz="1000" b="0" i="0" u="none" strike="noStrike" kern="1200" cap="none" spc="0" normalizeH="0" baseline="0">
                      <a:solidFill>
                        <a:schemeClr val="tx1"/>
                      </a:solidFill>
                      <a:uFill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a:u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#,##0.0_);[Red]\(#,##0.0\)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0" tIns="19050" rIns="38100" bIns="19050" anchor="ctr" anchorCtr="1"/>
              <a:lstStyle/>
              <a:p>
                <a:pPr>
                  <a:defRPr lang="zh-CN" sz="1000" b="0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'[2021年1-9月图表.xls]Sheet1'!$B$26:$D$26</c:f>
              <c:strCache>
                <c:ptCount val="3"/>
                <c:pt idx="0">
                  <c:v>2021年1-3月</c:v>
                </c:pt>
                <c:pt idx="1">
                  <c:v>2021年1-6月</c:v>
                </c:pt>
                <c:pt idx="2">
                  <c:v>2021年1-9月</c:v>
                </c:pt>
              </c:strCache>
            </c:strRef>
          </c:cat>
          <c:val>
            <c:numRef>
              <c:f>'[2021年1-9月图表.xls]Sheet1'!$B$27:$D$27</c:f>
              <c:numCache>
                <c:formatCode>General</c:formatCode>
                <c:ptCount val="3"/>
                <c:pt idx="0">
                  <c:v>10.1</c:v>
                </c:pt>
                <c:pt idx="1">
                  <c:v>9.3</c:v>
                </c:pt>
                <c:pt idx="2">
                  <c:v>7.6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'[2021年1-9月图表.xls]Sheet1'!$A$28</c:f>
              <c:strCache>
                <c:ptCount val="1"/>
                <c:pt idx="0">
                  <c:v>农村居民人均可支配收入增速（%）</c:v>
                </c:pt>
              </c:strCache>
            </c:strRef>
          </c:tx>
          <c:spPr>
            <a:ln w="28575" cap="rnd" cmpd="sng" algn="ctr">
              <a:solidFill>
                <a:srgbClr val="FFC000"/>
              </a:solidFill>
              <a:prstDash val="solid"/>
              <a:round/>
            </a:ln>
            <a:effectLst/>
          </c:spPr>
          <c:marker>
            <c:symbol val="none"/>
          </c:marker>
          <c:dLbls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cap="none" spc="0" normalizeH="0" baseline="0">
                    <a:solidFill>
                      <a:schemeClr val="tx1"/>
                    </a:solidFill>
                    <a:uFill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u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'[2021年1-9月图表.xls]Sheet1'!$B$26:$D$26</c:f>
              <c:strCache>
                <c:ptCount val="3"/>
                <c:pt idx="0">
                  <c:v>2021年1-3月</c:v>
                </c:pt>
                <c:pt idx="1">
                  <c:v>2021年1-6月</c:v>
                </c:pt>
                <c:pt idx="2">
                  <c:v>2021年1-9月</c:v>
                </c:pt>
              </c:strCache>
            </c:strRef>
          </c:cat>
          <c:val>
            <c:numRef>
              <c:f>'[2021年1-9月图表.xls]Sheet1'!$B$28:$D$28</c:f>
              <c:numCache>
                <c:formatCode>General</c:formatCode>
                <c:ptCount val="3"/>
                <c:pt idx="0">
                  <c:v>15.6</c:v>
                </c:pt>
                <c:pt idx="1">
                  <c:v>14.1</c:v>
                </c:pt>
                <c:pt idx="2">
                  <c:v>10.1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14047753"/>
        <c:axId val="586453387"/>
      </c:lineChart>
      <c:catAx>
        <c:axId val="21404775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586453387"/>
        <c:crosses val="autoZero"/>
        <c:auto val="1"/>
        <c:lblAlgn val="ctr"/>
        <c:lblOffset val="100"/>
        <c:noMultiLvlLbl val="0"/>
      </c:catAx>
      <c:valAx>
        <c:axId val="586453387"/>
        <c:scaling>
          <c:orientation val="minMax"/>
          <c:max val="1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214047753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>
                      <a:lumMod val="65000"/>
                      <a:lumOff val="35000"/>
                    </a:schemeClr>
                  </a:solidFill>
                </a:u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6325"/>
          <c:y val="0.8305"/>
          <c:w val="0.473"/>
          <c:h val="0.1415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>
                    <a:lumMod val="65000"/>
                    <a:lumOff val="35000"/>
                  </a:schemeClr>
                </a:solidFill>
              </a:u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2001</Words>
  <Characters>2314</Characters>
  <Lines>24</Lines>
  <Paragraphs>6</Paragraphs>
  <TotalTime>0</TotalTime>
  <ScaleCrop>false</ScaleCrop>
  <LinksUpToDate>false</LinksUpToDate>
  <CharactersWithSpaces>2320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2018-03-07T02:42:00Z</dcterms:created>
  <dc:creator>Administrator</dc:creator>
  <cp:lastModifiedBy>Administrator</cp:lastModifiedBy>
  <cp:lastPrinted>2021-11-12T09:19:00Z</cp:lastPrinted>
  <dcterms:modified xsi:type="dcterms:W3CDTF">2022-01-04T03:36:31Z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0DE5AED95BB64EFDA3EDF38DF7DC701A</vt:lpwstr>
  </property>
</Properties>
</file>