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龙胜县2020年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1-12月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经济运行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情况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分析</w:t>
      </w:r>
    </w:p>
    <w:p>
      <w:pPr>
        <w:pStyle w:val="2"/>
      </w:pPr>
    </w:p>
    <w:p>
      <w:pPr>
        <w:pStyle w:val="2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textAlignment w:val="auto"/>
        <w:rPr>
          <w:rFonts w:ascii="Times New Roman" w:hAnsi="Times New Roman" w:eastAsia="仿宋_GB2312" w:cs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</w:t>
      </w:r>
    </w:p>
    <w:p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2020年，面对新冠肺炎疫情的巨大冲击和严峻的经济形势，在县委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县</w:t>
      </w:r>
      <w:bookmarkStart w:id="0" w:name="_GoBack"/>
      <w:bookmarkEnd w:id="0"/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政府的坚强领导下，全县上下科学统筹推进疫情防控和经济社会发展，有力有效地推动了生产生活恢复。总体上，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2020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1-12月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龙胜县经济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逐渐复苏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，农业稳定发展，工业持续回升，建筑业发展加快，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shd w:val="clear" w:color="auto" w:fill="FFFFFF"/>
        </w:rPr>
        <w:t>服务业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逐步复苏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全县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经济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向好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运行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发展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。</w:t>
      </w:r>
    </w:p>
    <w:p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shd w:val="clear" w:color="auto" w:fill="FFFFFF"/>
        </w:rPr>
        <w:t>一、经济运行基本情况</w:t>
      </w:r>
    </w:p>
    <w:p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初步核算，1-12月全县地区生产总值60.4亿元，同比增长2.5%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比前三季度提高3.9个百分点。分产业看，第一产业增加值13.4 亿元，增长6.9%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增速比前三季度提升0.3个百分点；第二产业增加值13.92 亿元，增长3%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增速比前三季度提高9.3个百分点；第三产业增加值33.08 亿元，增长0.6%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增速比前三季度提高1.5个百分点。从核算指标看，涉及我县的27项核算基础指标中，实现增长的有20项，占74%，增长面较前三季度扩大11个百分点。</w:t>
      </w:r>
    </w:p>
    <w:p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shd w:val="clear" w:color="auto" w:fill="FFFFFF"/>
        </w:rPr>
        <w:t>二、经济运行中的积极因素</w:t>
      </w:r>
    </w:p>
    <w:p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</w:rPr>
        <w:t>（一）农业平稳较快增长，发挥“压舱石”作用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今年以来，虽然经济受到新冠肺炎疫情的巨大冲击，但农业始终保持平稳较快的增长，发挥了“压舱石”作用，成为支撑GDP增长的主力军。1-12月，农林牧渔业增加值同比增长6.9%，拉动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shd w:val="clear" w:color="auto" w:fill="FFFFFF"/>
        </w:rPr>
        <w:t>全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GDP增长1.6个百分点，在十大行业中对GDP的拉动作用最大，对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全年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经济发展的“压舱石”作用凸显。</w:t>
      </w:r>
    </w:p>
    <w:p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shd w:val="clear" w:color="auto" w:fill="FFFFFF"/>
        </w:rPr>
        <w:t>（二）工业经济持续回升。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在系列有力政策措施的促动下，企业复工复产成效显著提升，较多企业、行业发展逐步回归正常发展轨道，市场心态积极向好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工业增长步伐加快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，规上工业累计产值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shd w:val="clear" w:color="auto" w:fill="FFFFFF"/>
        </w:rPr>
        <w:t>连续2个月实现增长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1-12月，全县规上工业总产值增长1.9%，增加值同比增长3.9%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主要行业中，1-12月，木材加工、电力、热力生产和供应业持续保持良好发展势头，总产值分别增长19%、15%。用电量持续保持稳定增长，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全年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工业用电增长16%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比前三季度提高了8.3个百分点。</w:t>
      </w:r>
    </w:p>
    <w:p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shd w:val="clear" w:color="auto" w:fill="FFFFFF"/>
        </w:rPr>
        <w:t>（三）新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shd w:val="clear" w:color="auto" w:fill="FFFFFF"/>
          <w:lang w:eastAsia="zh-CN"/>
        </w:rPr>
        <w:t>增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shd w:val="clear" w:color="auto" w:fill="FFFFFF"/>
        </w:rPr>
        <w:t>建筑业企业起到了强力支撑。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1-12月，建筑业总产值增长25.5%，较前三季度提高41.2个百分点。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shd w:val="clear" w:color="auto" w:fill="FFFFFF"/>
        </w:rPr>
        <w:t>新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引进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1家资质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shd w:val="clear" w:color="auto" w:fill="FFFFFF"/>
        </w:rPr>
        <w:t>建筑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业企业对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全县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建筑业实现较快增长起到较强力支撑作用，拉动全县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资质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建筑业总产值增长提升64.3个百分点。</w:t>
      </w:r>
    </w:p>
    <w:p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shd w:val="clear" w:color="auto" w:fill="FFFFFF"/>
        </w:rPr>
        <w:t>（四）服务业复苏步伐加快，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shd w:val="clear" w:color="auto" w:fill="FFFFFF"/>
          <w:lang w:eastAsia="zh-CN"/>
        </w:rPr>
        <w:t>第三产业增加值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shd w:val="clear" w:color="auto" w:fill="FFFFFF"/>
        </w:rPr>
        <w:t>增幅由负转正。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1-12月，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第三产业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增加值增长0.6%，比前三季度提升1.5个百分点，实现今年以来的首次正增长。一是多个行业较快发展对服务业转正形成强有力的支撑。限额以上零售业商品销售额同比增长9.4%，增速比前三季度提高24.3个百分点；商品房销售面积仍然保持较快增长，增长68.8%，增速比上年同期提高22.4个百分点；邮政业务总量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虽然同比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下降1.8%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，但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比前三季度提高13.1个百分点；电信业务总量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同比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增长32%，人民币存贷款余额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同比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增长11.6%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比前三季度提高1.8个百分点；非营利性服务业增加值增长4.9%，较上半年提高0.5个百分点。二是多个行业降幅收窄促进服务业加快发展。限额以上住宿业营业额下降37.2%，降幅比前三季度收窄9.7个百分点；限额以上餐饮业营业额下降24.6%，降幅比前三季度收窄8.5个百分点；规模以上其他营利性服务业下降45.1%，降幅比前三季度收窄5.8个百分点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公路运输周转量较上半年收窄3个百分点。</w:t>
      </w:r>
    </w:p>
    <w:p>
      <w:pPr>
        <w:pStyle w:val="2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textAlignment w:val="auto"/>
        <w:rPr>
          <w:rFonts w:ascii="Times New Roman" w:hAnsi="Times New Roman" w:eastAsia="仿宋_GB2312" w:cs="宋体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</w:rPr>
        <w:t>（五）固定资产投资稳中有进，房地产投资继续对稳投资形成强力支撑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1-12月，全县固定资产投资同比增长6.7%，今年以来持续保持稳定增长，呈现“稳中有进”的态势。从产业来看，三次产业投资结构优化，第一产业完成投资增长20.6%；第二产业完成投资增长31.9%；第三产业完成投资增长1.2%。三次产业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投资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占全县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投资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比重由去年同期4.5：19.3:76.2调整为4.0：15.6：80.7。第二产业投资占比较去年同期提高3.7个百分点。从投资规模看，5000万元以上投资同比下降5.9%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shd w:val="clear" w:color="auto" w:fill="FFFFFF"/>
        </w:rPr>
        <w:t>5000万元以下投资同比下降6.9%；房地产开发投资5.67亿元，同比增长310.7%，拉动全部投资增长12个百分点。商品房销售面积7.9万平方米，同比增长68.8%；房地产开发投资高速增长是支撑全部投资稳定增长的主要因素，房地产项目对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shd w:val="clear" w:color="auto" w:fill="FFFFFF"/>
        </w:rPr>
        <w:t xml:space="preserve">稳投资形成强力支撑。 </w:t>
      </w:r>
    </w:p>
    <w:p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shd w:val="clear" w:color="auto" w:fill="FFFFFF"/>
        </w:rPr>
        <w:t>（六）“四上”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highlight w:val="none"/>
          <w:shd w:val="clear" w:color="auto" w:fill="FFFFFF"/>
        </w:rPr>
        <w:t>新开企业较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highlight w:val="none"/>
          <w:shd w:val="clear" w:color="auto" w:fill="FFFFFF"/>
          <w:lang w:eastAsia="zh-CN"/>
        </w:rPr>
        <w:t>上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highlight w:val="none"/>
          <w:shd w:val="clear" w:color="auto" w:fill="FFFFFF"/>
        </w:rPr>
        <w:t>年同期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shd w:val="clear" w:color="auto" w:fill="FFFFFF"/>
        </w:rPr>
        <w:t>增多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shd w:val="clear" w:color="auto" w:fill="FFFFFF"/>
        </w:rPr>
        <w:t>1-12月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shd w:val="clear" w:color="auto" w:fill="FFFFFF"/>
        </w:rPr>
        <w:t>龙胜县“四上”新开企业 5家，同比增长25 %。分行业看，零售业新增企业 1家，同比增长100%，房地产开发经营业新增企业 3家，与去年持平，建筑业新增l家，同比增长100％。</w:t>
      </w:r>
    </w:p>
    <w:p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三、需要重视的问题</w:t>
      </w:r>
    </w:p>
    <w:p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textAlignment w:val="auto"/>
        <w:rPr>
          <w:rFonts w:ascii="Times New Roman" w:hAnsi="Times New Roman" w:eastAsia="仿宋_GB2312" w:cs="宋体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（一）工业稳增长的后劲仍待加强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</w:rPr>
        <w:t>工业企业生产受国外疫情蔓延、贸易摩擦等因素影响，造成生产订单减少、出口受阻、需求下降，工业稳增长仍然存在诸多不确定因素。全县18家规模以上工业企业，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lang w:eastAsia="zh-CN"/>
        </w:rPr>
        <w:t>份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</w:rPr>
        <w:t>产值只有7家正增长，18家企业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lang w:eastAsia="zh-CN"/>
        </w:rPr>
        <w:t>份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</w:rPr>
        <w:t>产值增速仍然下降。特别是滑石产业，受疫情、中美贸易战及阿富汗、印度等国家滑石生产成本低价格低等外部市场影响，滑石产品的市场价格、出口销售等方面受到严重冲击。工业结构单一，受自然资源影响大。规模工业企业多为资源型传统企业，产值上依赖滑石行业、水电行业，这些行业受矿产、天气等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lang w:eastAsia="zh-CN"/>
        </w:rPr>
        <w:t>环境、气候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</w:rPr>
        <w:t>影响较大，一旦这些行业增速低于预期，则影响到全县规模以上工业产值及增速。当前大部分工业企业产业链上下游延伸不够，初级产品多，多数处于价值链的中低端，高附加值和高科技含量的比重偏低。</w:t>
      </w:r>
    </w:p>
    <w:p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textAlignment w:val="auto"/>
        <w:rPr>
          <w:rFonts w:ascii="Times New Roman" w:hAnsi="Times New Roman" w:eastAsia="仿宋_GB2312" w:cs="宋体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（二）以旅游业为龙头的服务业尚未全面复苏  限上住餐恢复缓慢。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</w:rPr>
        <w:t>一是以旅游为主的6家规模企业恢复迟缓。1-11月份，2家规模旅游企业营业收入同比下降分别为44%和47.8%。二是旅行社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lang w:eastAsia="zh-CN"/>
        </w:rPr>
        <w:t>经营状况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</w:rPr>
        <w:t>低迷，客流远低于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lang w:eastAsia="zh-CN"/>
        </w:rPr>
        <w:t>上年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</w:rPr>
        <w:t>水平，直接导致住宿餐饮消费明显回落。住宿单位入住率和餐饮单位上座率仍未明显提升，1-12月，限上住宿、餐饮行业营业额同比分别下降37.2%和24.6%。三是重点服务业企业降幅没有得到缓解，其他营利性服务业营业收入同比降幅仍达40%以上。新增限上和规上服务业企业少，难以弥补企业疫情期间造成的损失。</w:t>
      </w:r>
    </w:p>
    <w:p>
      <w:pPr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）财政收支压力大，固定资产投资后劲不足。</w:t>
      </w:r>
      <w:r>
        <w:rPr>
          <w:rFonts w:hint="eastAsia" w:ascii="Times New Roman" w:hAnsi="Times New Roman" w:eastAsia="仿宋_GB2312" w:cs="宋体"/>
          <w:sz w:val="32"/>
          <w:szCs w:val="32"/>
        </w:rPr>
        <w:t>财政收支矛盾突出，财政收入同比下降12.6%，一般公共预算支出同比增长6.2%，财政增收压力大；固定资产中小项目投资降幅仍然持续，计划总投资500-5000万元项目1-12月份完成投资同比仍然下降，下降幅6.9%。小项目依然存在资金到位难、人员到位率低等问题，部分企业（项目）没有如期复工复产，即便复工后也很难恢复施工进度。</w:t>
      </w:r>
    </w:p>
    <w:p>
      <w:pPr>
        <w:pStyle w:val="3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86" w:lineRule="exact"/>
        <w:ind w:left="420" w:leftChars="200" w:firstLine="320" w:firstLineChars="1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、措施建议</w:t>
      </w:r>
    </w:p>
    <w:p>
      <w:pPr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86" w:lineRule="exact"/>
        <w:ind w:firstLine="600"/>
        <w:jc w:val="left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（一）工业方面：</w:t>
      </w:r>
      <w:r>
        <w:rPr>
          <w:rFonts w:hint="eastAsia" w:ascii="Times New Roman" w:hAnsi="Times New Roman" w:eastAsia="仿宋_GB2312" w:cs="宋体"/>
          <w:sz w:val="32"/>
          <w:szCs w:val="32"/>
        </w:rPr>
        <w:t>精准施策确保工业稳增长势头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宋体"/>
          <w:sz w:val="32"/>
          <w:szCs w:val="32"/>
        </w:rPr>
        <w:t>促进工业企业生产销售持续恢复和各项惠企政策落地实施，精准施策，加大帮扶企业力度。不断优化企业发展环境，全面落实减税降费政策，着力缓解融资难融资贵问题，为更多企业实质性减轻负担。做好各项生产要素保障，增强发展后劲，继续保持工业经济稳步增长势头。</w:t>
      </w:r>
    </w:p>
    <w:p>
      <w:pPr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86" w:lineRule="exact"/>
        <w:ind w:firstLine="600"/>
        <w:jc w:val="left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（二）投资方面：</w:t>
      </w:r>
      <w:r>
        <w:rPr>
          <w:rFonts w:hint="eastAsia" w:ascii="Times New Roman" w:hAnsi="Times New Roman" w:eastAsia="仿宋_GB2312" w:cs="宋体"/>
          <w:sz w:val="32"/>
          <w:szCs w:val="32"/>
        </w:rPr>
        <w:t>一是优化营商环境，拓宽项目资金投入渠道，力促投资进度缓慢的项目加快建设进度和结算进度；二是做好项目及时入库工作。对已经动工建设但尚未纳入统计的项目完善入库资料及时纳入统计。三是统计部门将进一步加强业务培训、指导和网报监测、审核及入库入统跟踪服务工作。</w:t>
      </w:r>
    </w:p>
    <w:p>
      <w:pPr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（三）建筑业方面：</w:t>
      </w:r>
      <w:r>
        <w:rPr>
          <w:rFonts w:hint="eastAsia" w:ascii="Times New Roman" w:hAnsi="Times New Roman" w:eastAsia="仿宋_GB2312" w:cs="宋体"/>
          <w:sz w:val="32"/>
          <w:szCs w:val="32"/>
        </w:rPr>
        <w:t>住建部门督促建筑企业及时结转工程建设进度，并提供完善的凭证资料。做好建筑业分析监测，及时掌握企业的运行动态。继续加强对四家资质建筑业企业的服务及监测力度，加强指导新入库的企业做好报表填报工作。</w:t>
      </w:r>
    </w:p>
    <w:p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ind w:firstLine="640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商贸业方面：</w:t>
      </w:r>
      <w:r>
        <w:rPr>
          <w:rFonts w:hint="eastAsia" w:ascii="Times New Roman" w:hAnsi="Times New Roman" w:eastAsia="仿宋_GB2312" w:cs="宋体"/>
          <w:sz w:val="32"/>
          <w:szCs w:val="32"/>
        </w:rPr>
        <w:t>进一步激发消费市场活力。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各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eastAsia="zh-CN"/>
        </w:rPr>
        <w:t>有关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部门</w:t>
      </w:r>
      <w:r>
        <w:rPr>
          <w:rFonts w:hint="eastAsia" w:ascii="Times New Roman" w:hAnsi="Times New Roman" w:eastAsia="仿宋_GB2312" w:cs="宋体"/>
          <w:sz w:val="32"/>
          <w:szCs w:val="32"/>
        </w:rPr>
        <w:t>要进一步优化消费环境，降低消费障碍，引导企业行业进一步开拓农村市场，释放农村消费潜力。适应消费新业态和不断升级的消费需求，丰富和细化消费品种类，提高消费服务质量，不断壮大消费新增长点，全力以赴推进消费加速回暖。</w:t>
      </w:r>
    </w:p>
    <w:p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（五）重点服务业方面：</w:t>
      </w:r>
      <w:r>
        <w:rPr>
          <w:rFonts w:hint="eastAsia" w:ascii="Times New Roman" w:hAnsi="Times New Roman" w:eastAsia="仿宋_GB2312" w:cs="宋体"/>
          <w:sz w:val="32"/>
          <w:szCs w:val="32"/>
        </w:rPr>
        <w:t>重点服务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业</w:t>
      </w:r>
      <w:r>
        <w:rPr>
          <w:rFonts w:hint="eastAsia" w:ascii="Times New Roman" w:hAnsi="Times New Roman" w:eastAsia="仿宋_GB2312" w:cs="宋体"/>
          <w:sz w:val="32"/>
          <w:szCs w:val="32"/>
        </w:rPr>
        <w:t>是拉动经济增长的主要行业，有关部门要重点关注，尽量挖掘服务业的潜力，促使降幅收窄。</w:t>
      </w:r>
    </w:p>
    <w:p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textAlignment w:val="auto"/>
        <w:rPr>
          <w:rFonts w:ascii="Times New Roman" w:hAnsi="Times New Roman" w:eastAsia="仿宋_GB2312" w:cs="宋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（六）继续抓好“四上”企业入库工作。</w:t>
      </w:r>
      <w:r>
        <w:rPr>
          <w:rFonts w:hint="eastAsia" w:ascii="Times New Roman" w:hAnsi="Times New Roman" w:eastAsia="仿宋_GB2312" w:cs="宋体"/>
          <w:sz w:val="32"/>
          <w:szCs w:val="32"/>
        </w:rPr>
        <w:t>继续抓好“四上”企业基本单位名录的维护更新，加强与部门沟通协调，继续切实强化部门协同联动，充分发挥发改、市场监管、工信、税务等部门职能优势，强化企业培育入库工作，制定培育方案，建立企业培育库，开展针对性的帮扶指导。</w:t>
      </w:r>
    </w:p>
    <w:p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ind w:firstLine="960" w:firstLineChars="300"/>
        <w:textAlignment w:val="auto"/>
        <w:rPr>
          <w:rFonts w:ascii="Times New Roman" w:hAnsi="Times New Roman" w:eastAsia="仿宋_GB2312" w:cs="宋体"/>
          <w:sz w:val="32"/>
          <w:szCs w:val="32"/>
        </w:rPr>
      </w:pPr>
    </w:p>
    <w:p>
      <w:pPr>
        <w:pStyle w:val="2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textAlignment w:val="auto"/>
        <w:rPr>
          <w:rFonts w:ascii="Times New Roman" w:hAnsi="Times New Roman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840" w:rightChars="400" w:firstLine="640" w:firstLineChars="200"/>
        <w:jc w:val="right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龙胜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各族自治</w:t>
      </w:r>
      <w:r>
        <w:rPr>
          <w:rFonts w:hint="eastAsia" w:ascii="Times New Roman" w:hAnsi="Times New Roman" w:eastAsia="仿宋_GB2312" w:cs="宋体"/>
          <w:sz w:val="32"/>
          <w:szCs w:val="32"/>
        </w:rPr>
        <w:t>县统计局</w:t>
      </w:r>
    </w:p>
    <w:p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center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宋体"/>
          <w:sz w:val="32"/>
          <w:szCs w:val="32"/>
        </w:rPr>
        <w:t>2021年1月22日</w:t>
      </w:r>
    </w:p>
    <w:p>
      <w:pPr>
        <w:pStyle w:val="2"/>
        <w:rPr>
          <w:rFonts w:ascii="宋体" w:hAnsi="宋体" w:eastAsia="宋体" w:cs="宋体"/>
          <w:sz w:val="30"/>
          <w:szCs w:val="30"/>
        </w:rPr>
      </w:pPr>
    </w:p>
    <w:p>
      <w:pPr>
        <w:spacing w:line="600" w:lineRule="exact"/>
        <w:ind w:firstLine="900" w:firstLineChars="300"/>
        <w:rPr>
          <w:rFonts w:ascii="宋体" w:hAnsi="宋体" w:eastAsia="宋体" w:cs="宋体"/>
          <w:sz w:val="30"/>
          <w:szCs w:val="30"/>
        </w:rPr>
      </w:pPr>
    </w:p>
    <w:p>
      <w:pPr>
        <w:spacing w:line="600" w:lineRule="exact"/>
        <w:ind w:firstLine="900" w:firstLineChars="300"/>
        <w:rPr>
          <w:rFonts w:ascii="宋体" w:hAnsi="宋体" w:eastAsia="宋体" w:cs="宋体"/>
          <w:sz w:val="30"/>
          <w:szCs w:val="30"/>
        </w:rPr>
      </w:pPr>
    </w:p>
    <w:p>
      <w:pPr>
        <w:widowControl/>
        <w:spacing w:line="500" w:lineRule="exact"/>
        <w:ind w:firstLine="600" w:firstLineChars="20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sectPr>
      <w:pgSz w:w="11906" w:h="16838"/>
      <w:pgMar w:top="2098" w:right="1304" w:bottom="1304" w:left="1587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1421"/>
    <w:rsid w:val="00221421"/>
    <w:rsid w:val="00716A36"/>
    <w:rsid w:val="00786B92"/>
    <w:rsid w:val="00810CC1"/>
    <w:rsid w:val="00817527"/>
    <w:rsid w:val="00867D76"/>
    <w:rsid w:val="008702D8"/>
    <w:rsid w:val="00876D28"/>
    <w:rsid w:val="00B55574"/>
    <w:rsid w:val="00B67A4F"/>
    <w:rsid w:val="00B82574"/>
    <w:rsid w:val="00BE237C"/>
    <w:rsid w:val="00DC28AE"/>
    <w:rsid w:val="00E674C1"/>
    <w:rsid w:val="00E77DC7"/>
    <w:rsid w:val="00F802B2"/>
    <w:rsid w:val="011D48DA"/>
    <w:rsid w:val="03CA44FB"/>
    <w:rsid w:val="04706A92"/>
    <w:rsid w:val="05C440FC"/>
    <w:rsid w:val="067F2DDA"/>
    <w:rsid w:val="08CC2D61"/>
    <w:rsid w:val="08DE62BE"/>
    <w:rsid w:val="0B410200"/>
    <w:rsid w:val="0DF249D0"/>
    <w:rsid w:val="0F2960F0"/>
    <w:rsid w:val="10316405"/>
    <w:rsid w:val="11FD083B"/>
    <w:rsid w:val="127143FD"/>
    <w:rsid w:val="14B3643F"/>
    <w:rsid w:val="173065BC"/>
    <w:rsid w:val="17854624"/>
    <w:rsid w:val="17EE3346"/>
    <w:rsid w:val="1931009E"/>
    <w:rsid w:val="1E450F3F"/>
    <w:rsid w:val="224F5892"/>
    <w:rsid w:val="23247576"/>
    <w:rsid w:val="27654FAD"/>
    <w:rsid w:val="294213EE"/>
    <w:rsid w:val="297E3466"/>
    <w:rsid w:val="2B0E6AA3"/>
    <w:rsid w:val="2BEA3B9F"/>
    <w:rsid w:val="2D910154"/>
    <w:rsid w:val="2E453916"/>
    <w:rsid w:val="313A1E03"/>
    <w:rsid w:val="341F59F7"/>
    <w:rsid w:val="3814318B"/>
    <w:rsid w:val="3836582E"/>
    <w:rsid w:val="3E78508B"/>
    <w:rsid w:val="412F3B43"/>
    <w:rsid w:val="438F0161"/>
    <w:rsid w:val="43B01942"/>
    <w:rsid w:val="442E00FA"/>
    <w:rsid w:val="46BD7CDC"/>
    <w:rsid w:val="46EA5EE6"/>
    <w:rsid w:val="47757E8F"/>
    <w:rsid w:val="487339A1"/>
    <w:rsid w:val="4A4E2F8E"/>
    <w:rsid w:val="4DBE23BB"/>
    <w:rsid w:val="4F12015E"/>
    <w:rsid w:val="4FE84FA2"/>
    <w:rsid w:val="51833135"/>
    <w:rsid w:val="51FC5229"/>
    <w:rsid w:val="53904931"/>
    <w:rsid w:val="550E78F3"/>
    <w:rsid w:val="56CE2DF4"/>
    <w:rsid w:val="582761D2"/>
    <w:rsid w:val="5883738C"/>
    <w:rsid w:val="5BEE3ADC"/>
    <w:rsid w:val="5C5033FD"/>
    <w:rsid w:val="5DA63320"/>
    <w:rsid w:val="5F73731D"/>
    <w:rsid w:val="608D2CF9"/>
    <w:rsid w:val="625D4F50"/>
    <w:rsid w:val="62964CA4"/>
    <w:rsid w:val="63683E65"/>
    <w:rsid w:val="64252B2E"/>
    <w:rsid w:val="67F237B0"/>
    <w:rsid w:val="6A070817"/>
    <w:rsid w:val="6C6A5DBC"/>
    <w:rsid w:val="70D96DA2"/>
    <w:rsid w:val="71C27526"/>
    <w:rsid w:val="73477E70"/>
    <w:rsid w:val="73CD7857"/>
    <w:rsid w:val="750554A2"/>
    <w:rsid w:val="76CC23B6"/>
    <w:rsid w:val="775E2F48"/>
    <w:rsid w:val="79A7525A"/>
    <w:rsid w:val="79D754EE"/>
    <w:rsid w:val="7D937924"/>
    <w:rsid w:val="7FF4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unhideWhenUsed/>
    <w:qFormat/>
    <w:uiPriority w:val="99"/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4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unhideWhenUsed/>
    <w:qFormat/>
    <w:uiPriority w:val="99"/>
    <w:rPr>
      <w:color w:val="333333"/>
      <w:u w:val="none"/>
    </w:rPr>
  </w:style>
  <w:style w:type="character" w:styleId="12">
    <w:name w:val="Hyperlink"/>
    <w:basedOn w:val="9"/>
    <w:unhideWhenUsed/>
    <w:qFormat/>
    <w:uiPriority w:val="99"/>
    <w:rPr>
      <w:color w:val="333333"/>
      <w:u w:val="none"/>
    </w:rPr>
  </w:style>
  <w:style w:type="character" w:customStyle="1" w:styleId="13">
    <w:name w:val="bsharetext"/>
    <w:basedOn w:val="9"/>
    <w:qFormat/>
    <w:uiPriority w:val="0"/>
  </w:style>
  <w:style w:type="character" w:customStyle="1" w:styleId="14">
    <w:name w:val="mq-111"/>
    <w:qFormat/>
    <w:uiPriority w:val="0"/>
    <w:rPr>
      <w:rFonts w:hint="eastAsia" w:ascii="仿宋_GB2312" w:eastAsia="仿宋_GB2312"/>
      <w:sz w:val="32"/>
      <w:szCs w:val="32"/>
    </w:rPr>
  </w:style>
  <w:style w:type="character" w:customStyle="1" w:styleId="15">
    <w:name w:val="页眉 Char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510</Words>
  <Characters>2911</Characters>
  <Lines>24</Lines>
  <Paragraphs>6</Paragraphs>
  <TotalTime>63</TotalTime>
  <ScaleCrop>false</ScaleCrop>
  <LinksUpToDate>false</LinksUpToDate>
  <CharactersWithSpaces>3415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2020-06-04T03:00:00Z</dcterms:created>
  <dc:creator>Administrator</dc:creator>
  <cp:lastModifiedBy>Administrator</cp:lastModifiedBy>
  <dcterms:modified xsi:type="dcterms:W3CDTF">2021-04-02T02:38:01Z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