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981D0">
      <w:pPr>
        <w:shd w:val="clear"/>
        <w:adjustRightInd w:val="0"/>
        <w:snapToGrid w:val="0"/>
        <w:spacing w:line="570" w:lineRule="exact"/>
        <w:jc w:val="center"/>
        <w:rPr>
          <w:rFonts w:hint="eastAsia" w:ascii="方正小标宋_GBK" w:eastAsia="方正小标宋_GBK"/>
          <w:sz w:val="44"/>
          <w:szCs w:val="44"/>
          <w:highlight w:val="none"/>
          <w:lang w:eastAsia="zh-CN"/>
        </w:rPr>
      </w:pPr>
      <w:bookmarkStart w:id="0" w:name="_GoBack"/>
      <w:bookmarkEnd w:id="0"/>
      <w:r>
        <w:rPr>
          <w:rFonts w:hint="eastAsia" w:ascii="方正小标宋_GBK" w:eastAsia="方正小标宋_GBK" w:cs="方正小标宋_GBK"/>
          <w:sz w:val="44"/>
          <w:szCs w:val="44"/>
          <w:highlight w:val="none"/>
          <w:lang w:eastAsia="zh-CN"/>
        </w:rPr>
        <w:t>乐江镇人民政府</w:t>
      </w:r>
      <w:r>
        <w:rPr>
          <w:rFonts w:hint="eastAsia" w:ascii="方正小标宋_GBK" w:eastAsia="方正小标宋_GBK" w:cs="方正小标宋_GBK"/>
          <w:sz w:val="44"/>
          <w:szCs w:val="44"/>
          <w:highlight w:val="none"/>
        </w:rPr>
        <w:t>权责清单</w:t>
      </w:r>
    </w:p>
    <w:tbl>
      <w:tblPr>
        <w:tblStyle w:val="7"/>
        <w:tblW w:w="21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505"/>
        <w:gridCol w:w="1871"/>
        <w:gridCol w:w="5658"/>
        <w:gridCol w:w="2035"/>
        <w:gridCol w:w="3826"/>
        <w:gridCol w:w="532"/>
        <w:gridCol w:w="381"/>
      </w:tblGrid>
      <w:tr w14:paraId="6949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restart"/>
            <w:vAlign w:val="center"/>
          </w:tcPr>
          <w:p w14:paraId="04BFF162">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r>
              <w:rPr>
                <w:rFonts w:hint="eastAsia" w:ascii="方正黑体_GBK" w:hAnsi="黑体" w:eastAsia="方正黑体_GBK" w:cs="方正黑体_GBK"/>
                <w:color w:val="auto"/>
                <w:kern w:val="0"/>
                <w:sz w:val="20"/>
                <w:szCs w:val="20"/>
                <w:highlight w:val="none"/>
              </w:rPr>
              <w:t>序号</w:t>
            </w:r>
          </w:p>
        </w:tc>
        <w:tc>
          <w:tcPr>
            <w:tcW w:w="308" w:type="dxa"/>
            <w:vMerge w:val="restart"/>
            <w:vAlign w:val="center"/>
          </w:tcPr>
          <w:p w14:paraId="181A72AF">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权力分类</w:t>
            </w:r>
          </w:p>
        </w:tc>
        <w:tc>
          <w:tcPr>
            <w:tcW w:w="6529" w:type="dxa"/>
            <w:gridSpan w:val="5"/>
            <w:vAlign w:val="center"/>
          </w:tcPr>
          <w:p w14:paraId="281AE259">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权力清单</w:t>
            </w:r>
          </w:p>
        </w:tc>
        <w:tc>
          <w:tcPr>
            <w:tcW w:w="13922" w:type="dxa"/>
            <w:gridSpan w:val="5"/>
            <w:vAlign w:val="center"/>
          </w:tcPr>
          <w:p w14:paraId="341E3872">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责任清单</w:t>
            </w:r>
          </w:p>
        </w:tc>
        <w:tc>
          <w:tcPr>
            <w:tcW w:w="381" w:type="dxa"/>
            <w:vMerge w:val="restart"/>
            <w:vAlign w:val="center"/>
          </w:tcPr>
          <w:p w14:paraId="3C8AE019">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备注</w:t>
            </w:r>
          </w:p>
        </w:tc>
      </w:tr>
      <w:tr w14:paraId="74F5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continue"/>
            <w:vAlign w:val="center"/>
          </w:tcPr>
          <w:p w14:paraId="63DE9F01">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p>
        </w:tc>
        <w:tc>
          <w:tcPr>
            <w:tcW w:w="308" w:type="dxa"/>
            <w:vMerge w:val="continue"/>
            <w:vAlign w:val="center"/>
          </w:tcPr>
          <w:p w14:paraId="016F22EF">
            <w:pPr>
              <w:shd w:val="clear"/>
              <w:adjustRightInd w:val="0"/>
              <w:snapToGrid w:val="0"/>
              <w:spacing w:line="300" w:lineRule="exact"/>
              <w:jc w:val="center"/>
              <w:rPr>
                <w:rFonts w:ascii="方正黑体_GBK" w:hAnsi="黑体" w:eastAsia="方正黑体_GBK"/>
                <w:color w:val="auto"/>
                <w:kern w:val="0"/>
                <w:sz w:val="20"/>
                <w:szCs w:val="20"/>
                <w:highlight w:val="none"/>
              </w:rPr>
            </w:pPr>
          </w:p>
        </w:tc>
        <w:tc>
          <w:tcPr>
            <w:tcW w:w="504" w:type="dxa"/>
            <w:vAlign w:val="center"/>
          </w:tcPr>
          <w:p w14:paraId="14169A0A">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项目名称</w:t>
            </w:r>
          </w:p>
        </w:tc>
        <w:tc>
          <w:tcPr>
            <w:tcW w:w="546" w:type="dxa"/>
            <w:vAlign w:val="center"/>
          </w:tcPr>
          <w:p w14:paraId="49E9C693">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子项名称</w:t>
            </w:r>
          </w:p>
        </w:tc>
        <w:tc>
          <w:tcPr>
            <w:tcW w:w="966" w:type="dxa"/>
            <w:vAlign w:val="center"/>
          </w:tcPr>
          <w:p w14:paraId="2E10DCE6">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实施主体</w:t>
            </w:r>
          </w:p>
        </w:tc>
        <w:tc>
          <w:tcPr>
            <w:tcW w:w="1008" w:type="dxa"/>
            <w:vAlign w:val="center"/>
          </w:tcPr>
          <w:p w14:paraId="404DC39D">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承办的</w:t>
            </w:r>
          </w:p>
          <w:p w14:paraId="0B6D1A9A">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内设机构</w:t>
            </w:r>
          </w:p>
        </w:tc>
        <w:tc>
          <w:tcPr>
            <w:tcW w:w="3505" w:type="dxa"/>
            <w:vAlign w:val="center"/>
          </w:tcPr>
          <w:p w14:paraId="190073F2">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实施依据</w:t>
            </w:r>
          </w:p>
        </w:tc>
        <w:tc>
          <w:tcPr>
            <w:tcW w:w="1871" w:type="dxa"/>
            <w:vAlign w:val="center"/>
          </w:tcPr>
          <w:p w14:paraId="0F6CF1AC">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w:t>
            </w:r>
          </w:p>
          <w:p w14:paraId="24390BC3">
            <w:pPr>
              <w:shd w:val="clear"/>
              <w:adjustRightInd w:val="0"/>
              <w:snapToGrid w:val="0"/>
              <w:spacing w:line="300" w:lineRule="exact"/>
              <w:jc w:val="center"/>
              <w:rPr>
                <w:rFonts w:ascii="方正黑体_GBK" w:hAnsi="黑体" w:eastAsia="方正黑体_GBK" w:cs="方正黑体_GBK"/>
                <w:color w:val="auto"/>
                <w:kern w:val="0"/>
                <w:sz w:val="20"/>
                <w:szCs w:val="20"/>
                <w:highlight w:val="none"/>
              </w:rPr>
            </w:pPr>
            <w:r>
              <w:rPr>
                <w:rFonts w:ascii="方正黑体_GBK" w:hAnsi="黑体" w:eastAsia="方正黑体_GBK" w:cs="方正黑体_GBK"/>
                <w:color w:val="auto"/>
                <w:kern w:val="0"/>
                <w:sz w:val="20"/>
                <w:szCs w:val="20"/>
                <w:highlight w:val="none"/>
              </w:rPr>
              <w:t>(</w:t>
            </w:r>
            <w:r>
              <w:rPr>
                <w:rFonts w:hint="eastAsia" w:ascii="方正黑体_GBK" w:hAnsi="黑体" w:eastAsia="方正黑体_GBK" w:cs="方正黑体_GBK"/>
                <w:color w:val="auto"/>
                <w:kern w:val="0"/>
                <w:sz w:val="20"/>
                <w:szCs w:val="20"/>
                <w:highlight w:val="none"/>
              </w:rPr>
              <w:t>明确责任主体</w:t>
            </w:r>
            <w:r>
              <w:rPr>
                <w:rFonts w:ascii="方正黑体_GBK" w:hAnsi="黑体" w:eastAsia="方正黑体_GBK" w:cs="方正黑体_GBK"/>
                <w:color w:val="auto"/>
                <w:kern w:val="0"/>
                <w:sz w:val="20"/>
                <w:szCs w:val="20"/>
                <w:highlight w:val="none"/>
              </w:rPr>
              <w:t>)</w:t>
            </w:r>
          </w:p>
        </w:tc>
        <w:tc>
          <w:tcPr>
            <w:tcW w:w="5658" w:type="dxa"/>
            <w:vAlign w:val="center"/>
          </w:tcPr>
          <w:p w14:paraId="3697E063">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责任事项依据</w:t>
            </w:r>
          </w:p>
        </w:tc>
        <w:tc>
          <w:tcPr>
            <w:tcW w:w="2035" w:type="dxa"/>
            <w:vAlign w:val="center"/>
          </w:tcPr>
          <w:p w14:paraId="08DB33C6">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追责情形（明确内部追责主体）</w:t>
            </w:r>
          </w:p>
        </w:tc>
        <w:tc>
          <w:tcPr>
            <w:tcW w:w="3826" w:type="dxa"/>
            <w:vAlign w:val="center"/>
          </w:tcPr>
          <w:p w14:paraId="54941CE7">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追责依据</w:t>
            </w:r>
          </w:p>
        </w:tc>
        <w:tc>
          <w:tcPr>
            <w:tcW w:w="532" w:type="dxa"/>
            <w:vAlign w:val="center"/>
          </w:tcPr>
          <w:p w14:paraId="51BAA813">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免责事项</w:t>
            </w:r>
          </w:p>
        </w:tc>
        <w:tc>
          <w:tcPr>
            <w:tcW w:w="381" w:type="dxa"/>
            <w:vMerge w:val="continue"/>
            <w:vAlign w:val="center"/>
          </w:tcPr>
          <w:p w14:paraId="42B9B0AA">
            <w:pPr>
              <w:shd w:val="clear"/>
              <w:adjustRightInd w:val="0"/>
              <w:snapToGrid w:val="0"/>
              <w:spacing w:line="300" w:lineRule="exact"/>
              <w:jc w:val="center"/>
              <w:rPr>
                <w:rFonts w:ascii="方正黑体_GBK" w:hAnsi="黑体" w:eastAsia="方正黑体_GBK"/>
                <w:color w:val="auto"/>
                <w:kern w:val="0"/>
                <w:sz w:val="20"/>
                <w:szCs w:val="20"/>
                <w:highlight w:val="none"/>
              </w:rPr>
            </w:pPr>
          </w:p>
        </w:tc>
      </w:tr>
      <w:tr w14:paraId="6A2B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95" w:hRule="atLeast"/>
          <w:jc w:val="center"/>
        </w:trPr>
        <w:tc>
          <w:tcPr>
            <w:tcW w:w="406" w:type="dxa"/>
            <w:vAlign w:val="center"/>
          </w:tcPr>
          <w:p w14:paraId="5F354763">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w:t>
            </w:r>
          </w:p>
        </w:tc>
        <w:tc>
          <w:tcPr>
            <w:tcW w:w="308" w:type="dxa"/>
            <w:vAlign w:val="center"/>
          </w:tcPr>
          <w:p w14:paraId="091460D1">
            <w:pPr>
              <w:widowControl/>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rPr>
            </w:pPr>
            <w:r>
              <w:rPr>
                <w:rFonts w:hint="eastAsia" w:eastAsia="仿宋_GB2312" w:cs="宋体"/>
                <w:color w:val="auto"/>
                <w:kern w:val="0"/>
                <w:sz w:val="20"/>
                <w:szCs w:val="20"/>
                <w:highlight w:val="none"/>
                <w:lang w:val="en-US" w:eastAsia="zh-CN"/>
              </w:rPr>
              <w:t>行政许可</w:t>
            </w:r>
          </w:p>
        </w:tc>
        <w:tc>
          <w:tcPr>
            <w:tcW w:w="504" w:type="dxa"/>
            <w:vAlign w:val="center"/>
          </w:tcPr>
          <w:p w14:paraId="0096C172">
            <w:pPr>
              <w:widowControl/>
              <w:shd w:val="clear"/>
              <w:adjustRightInd w:val="0"/>
              <w:snapToGrid w:val="0"/>
              <w:spacing w:line="300" w:lineRule="exact"/>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在村庄、集镇规划区内公共场所修建临时建筑等设施审批</w:t>
            </w:r>
          </w:p>
        </w:tc>
        <w:tc>
          <w:tcPr>
            <w:tcW w:w="546" w:type="dxa"/>
            <w:vAlign w:val="center"/>
          </w:tcPr>
          <w:p w14:paraId="43794243">
            <w:pPr>
              <w:widowControl/>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14:paraId="64C5FBB1">
            <w:pPr>
              <w:shd w:val="clear"/>
              <w:adjustRightInd w:val="0"/>
              <w:snapToGrid w:val="0"/>
              <w:spacing w:line="300" w:lineRule="exac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000000"/>
                <w:sz w:val="20"/>
                <w:szCs w:val="20"/>
                <w:highlight w:val="none"/>
                <w:lang w:eastAsia="zh-CN"/>
              </w:rPr>
              <w:t>乐江镇人民政府</w:t>
            </w:r>
          </w:p>
        </w:tc>
        <w:tc>
          <w:tcPr>
            <w:tcW w:w="1008" w:type="dxa"/>
            <w:vAlign w:val="center"/>
          </w:tcPr>
          <w:p w14:paraId="4F3D3648">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仿宋_GB2312"/>
                <w:snapToGrid w:val="0"/>
                <w:color w:val="000000"/>
                <w:sz w:val="20"/>
                <w:szCs w:val="20"/>
                <w:highlight w:val="none"/>
                <w:lang w:eastAsia="zh-CN"/>
              </w:rPr>
              <w:t>乐江镇</w:t>
            </w:r>
            <w:r>
              <w:rPr>
                <w:rFonts w:hint="eastAsia" w:eastAsia="仿宋_GB2312" w:cs="宋体"/>
                <w:kern w:val="0"/>
                <w:sz w:val="20"/>
                <w:szCs w:val="20"/>
                <w:highlight w:val="none"/>
                <w:lang w:eastAsia="zh-CN"/>
              </w:rPr>
              <w:t>经济发展办公室</w:t>
            </w:r>
          </w:p>
        </w:tc>
        <w:tc>
          <w:tcPr>
            <w:tcW w:w="3505" w:type="dxa"/>
            <w:vAlign w:val="center"/>
          </w:tcPr>
          <w:p w14:paraId="53833FEF">
            <w:pPr>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eastAsia="仿宋_GB2312"/>
                <w:color w:val="auto"/>
                <w:kern w:val="0"/>
                <w:sz w:val="20"/>
                <w:szCs w:val="20"/>
                <w:highlight w:val="none"/>
              </w:rPr>
              <w:t>【行政法规】《村庄和集镇规划建设管理条例》第三十二条</w:t>
            </w: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rPr>
              <w:t>未经乡级人民政府批准，任何单位和个人不得擅自在村庄、集镇规划区内的街道、广场、市场和车站等场所修建临时建筑物、构筑物和其他设施。</w:t>
            </w:r>
          </w:p>
        </w:tc>
        <w:tc>
          <w:tcPr>
            <w:tcW w:w="1871" w:type="dxa"/>
            <w:vAlign w:val="center"/>
          </w:tcPr>
          <w:p w14:paraId="727D4F6E">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1.受理责任：公示依法应当提交的材料；一次性告知补正材料；依法受理或不予受理（不予受理应当告知理由）。</w:t>
            </w:r>
          </w:p>
          <w:p w14:paraId="452F7745">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14:paraId="42354F84">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3.决定责任：作出行政许可或者不予行政许可决定，法定告知（不予许可的应当书面告知理由）。</w:t>
            </w:r>
          </w:p>
          <w:p w14:paraId="1DC8E539">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4.送达责任：准予许可的制发送达审批决定；信息公开。</w:t>
            </w:r>
          </w:p>
          <w:p w14:paraId="781A9953">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5.事后监管责任：建立实施监督检查的运行机制和管理制度，开展定期和不定期检查，依法采取相关处置措施。</w:t>
            </w:r>
          </w:p>
          <w:p w14:paraId="14748D2D">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6.其他法律法规规章文件规定应履行的责任。</w:t>
            </w:r>
          </w:p>
          <w:p w14:paraId="668A3F53">
            <w:pPr>
              <w:shd w:val="clear"/>
              <w:adjustRightInd w:val="0"/>
              <w:snapToGrid w:val="0"/>
              <w:spacing w:line="300" w:lineRule="exact"/>
              <w:ind w:firstLine="400" w:firstLineChars="200"/>
              <w:rPr>
                <w:rFonts w:hint="eastAsia" w:eastAsia="仿宋_GB2312"/>
                <w:color w:val="auto"/>
                <w:kern w:val="0"/>
                <w:sz w:val="20"/>
                <w:szCs w:val="20"/>
                <w:highlight w:val="none"/>
              </w:rPr>
            </w:pPr>
          </w:p>
          <w:p w14:paraId="12470A06">
            <w:pPr>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eastAsia="zh-CN"/>
              </w:rPr>
              <w:t>（乐江镇经济发展办公室）</w:t>
            </w:r>
          </w:p>
        </w:tc>
        <w:tc>
          <w:tcPr>
            <w:tcW w:w="5658" w:type="dxa"/>
            <w:vAlign w:val="center"/>
          </w:tcPr>
          <w:p w14:paraId="17E43886">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5953C09D">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7A0CCB8">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73DF1287">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14:paraId="59BF36EF">
            <w:pPr>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14:paraId="462258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14:paraId="6A149B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14:paraId="22CBBD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14:paraId="5CA6DE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14:paraId="0A99C28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14:paraId="6776A83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14:paraId="0806B87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14:paraId="4F8014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14:paraId="1E1E59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14:paraId="08217D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14:paraId="0685EDA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14:paraId="1EA9C45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14:paraId="23123E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14:paraId="40885D7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14:paraId="1ACE93C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B6383F3">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76B2CF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749AA68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57E7C96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30C252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5F8932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6A2C14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0AF3C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11F94A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12E775F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3F1EA296">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29FF1884">
            <w:pPr>
              <w:widowControl/>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6BA77C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14ED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95" w:hRule="atLeast"/>
          <w:jc w:val="center"/>
        </w:trPr>
        <w:tc>
          <w:tcPr>
            <w:tcW w:w="406" w:type="dxa"/>
            <w:vAlign w:val="center"/>
          </w:tcPr>
          <w:p w14:paraId="7B721FD2">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2</w:t>
            </w:r>
          </w:p>
        </w:tc>
        <w:tc>
          <w:tcPr>
            <w:tcW w:w="308" w:type="dxa"/>
            <w:vAlign w:val="center"/>
          </w:tcPr>
          <w:p w14:paraId="1BA7DD10">
            <w:pPr>
              <w:widowControl/>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行政许可</w:t>
            </w:r>
          </w:p>
        </w:tc>
        <w:tc>
          <w:tcPr>
            <w:tcW w:w="504" w:type="dxa"/>
            <w:vAlign w:val="center"/>
          </w:tcPr>
          <w:p w14:paraId="6A4B437B">
            <w:pPr>
              <w:widowControl/>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再生育审批（三孩及以上）</w:t>
            </w:r>
          </w:p>
        </w:tc>
        <w:tc>
          <w:tcPr>
            <w:tcW w:w="546" w:type="dxa"/>
            <w:vAlign w:val="center"/>
          </w:tcPr>
          <w:p w14:paraId="2DB31D33">
            <w:pPr>
              <w:widowControl/>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14:paraId="2FFB3AC4">
            <w:pPr>
              <w:shd w:val="clear"/>
              <w:adjustRightInd w:val="0"/>
              <w:snapToGrid w:val="0"/>
              <w:spacing w:line="300" w:lineRule="exac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000000"/>
                <w:sz w:val="20"/>
                <w:szCs w:val="20"/>
                <w:highlight w:val="none"/>
                <w:lang w:eastAsia="zh-CN"/>
              </w:rPr>
              <w:t>乐江镇人民政府</w:t>
            </w:r>
          </w:p>
        </w:tc>
        <w:tc>
          <w:tcPr>
            <w:tcW w:w="1008" w:type="dxa"/>
            <w:vAlign w:val="center"/>
          </w:tcPr>
          <w:p w14:paraId="2554B983">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kern w:val="0"/>
                <w:sz w:val="20"/>
                <w:szCs w:val="20"/>
                <w:highlight w:val="none"/>
                <w:lang w:eastAsia="zh-CN"/>
              </w:rPr>
              <w:t>乐江镇社会事务服务办公室</w:t>
            </w:r>
          </w:p>
        </w:tc>
        <w:tc>
          <w:tcPr>
            <w:tcW w:w="3505" w:type="dxa"/>
            <w:vAlign w:val="center"/>
          </w:tcPr>
          <w:p w14:paraId="7FCB08C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国家提倡一对夫妻生育两个子女。符合法律、法规规定条件的，可以要求安排再生育子女。具体办法由省、自治区、直辖市人民代表大会或者其常务委员会规定。</w:t>
            </w:r>
          </w:p>
          <w:p w14:paraId="7D1DBD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14:paraId="313FB1B2">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第十七条第二款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符合本条例第十四条第一款规定再生育子女的夫妻，在领取再生育证的同时，免费领取计划生育服务手册。</w:t>
            </w:r>
          </w:p>
        </w:tc>
        <w:tc>
          <w:tcPr>
            <w:tcW w:w="1871" w:type="dxa"/>
            <w:vAlign w:val="center"/>
          </w:tcPr>
          <w:p w14:paraId="64D3B04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14:paraId="065AA5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14:paraId="73D5E3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14:paraId="546D81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14:paraId="426474D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5.监管责任：建立实施监督检查的运行机制和管理制度，开展定期和不定期检查，依法采取相关处置措施。</w:t>
            </w:r>
          </w:p>
          <w:p w14:paraId="4E38B6C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14:paraId="5A2C51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16C5A8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r>
              <w:rPr>
                <w:rFonts w:hint="eastAsia" w:eastAsia="仿宋_GB2312"/>
                <w:color w:val="auto"/>
                <w:kern w:val="0"/>
                <w:sz w:val="20"/>
                <w:szCs w:val="20"/>
                <w:highlight w:val="none"/>
                <w:lang w:eastAsia="zh-CN"/>
              </w:rPr>
              <w:t>（乐江镇社会事务服务办公室）</w:t>
            </w:r>
          </w:p>
          <w:p w14:paraId="064DEC0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5658" w:type="dxa"/>
            <w:vAlign w:val="center"/>
          </w:tcPr>
          <w:p w14:paraId="25B4E2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462838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20C7AB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2.【行政法规】《医疗机构管理条例》第十九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14:paraId="112F560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1C36C69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14:paraId="2FF07B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14:paraId="7E640B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14:paraId="098DD7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03BB45A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14:paraId="124826B9">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14:paraId="58C800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14:paraId="5906647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14:paraId="0EAB97E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14:paraId="75B599C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14:paraId="24160D9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14:paraId="4CD1C14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14:paraId="4B2C0B7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14:paraId="4D30936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14:paraId="6D8986E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14:paraId="03BAAA3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14:paraId="0F825A4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14:paraId="758E3D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14:paraId="64A256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14:paraId="78E685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14:paraId="674A3C7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5BC8264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15C360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47CDD5C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3DED5A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5B14A8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125CF4B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D0CF9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451228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31473B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20391B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4AB0AD85">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5E9D7D8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7243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4667FDDC">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w:t>
            </w:r>
          </w:p>
        </w:tc>
        <w:tc>
          <w:tcPr>
            <w:tcW w:w="308" w:type="dxa"/>
            <w:vAlign w:val="center"/>
          </w:tcPr>
          <w:p w14:paraId="2ECE3C7A">
            <w:pPr>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行政许可</w:t>
            </w:r>
          </w:p>
        </w:tc>
        <w:tc>
          <w:tcPr>
            <w:tcW w:w="504" w:type="dxa"/>
            <w:vAlign w:val="center"/>
          </w:tcPr>
          <w:p w14:paraId="36B14F4D">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林木采伐许可证核发</w:t>
            </w:r>
          </w:p>
        </w:tc>
        <w:tc>
          <w:tcPr>
            <w:tcW w:w="546" w:type="dxa"/>
            <w:vAlign w:val="center"/>
          </w:tcPr>
          <w:p w14:paraId="5E954EBD">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14:paraId="6DF52341">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乐江镇人民政府</w:t>
            </w:r>
          </w:p>
        </w:tc>
        <w:tc>
          <w:tcPr>
            <w:tcW w:w="1008" w:type="dxa"/>
            <w:vAlign w:val="center"/>
          </w:tcPr>
          <w:p w14:paraId="6E8E4A04">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乐江镇经济发展办公室</w:t>
            </w:r>
          </w:p>
        </w:tc>
        <w:tc>
          <w:tcPr>
            <w:tcW w:w="3505" w:type="dxa"/>
            <w:vAlign w:val="center"/>
          </w:tcPr>
          <w:p w14:paraId="5085C575">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森林法》第五十六条：采伐林地上的林木应当申请采伐许可证，并按照采伐许可证的规定进行采伐；采伐自然保护区以外的竹林，不需要申请采伐许可证，但应当符合林木采伐技术规程。</w:t>
            </w:r>
          </w:p>
          <w:p w14:paraId="0F5C1FF0">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农村居民采伐自留地和房前屋后个人所有的零星林木，不需要申请采伐许可证。</w:t>
            </w:r>
          </w:p>
          <w:p w14:paraId="2538B051">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非林地上的农田防护林、防风固沙林、护路林、护岸护堤林和城镇林木等的更新采伐，由有关主管部门按照有关规定管理。  采挖移植林木按照采伐林木管理。具体办法由国务院林业主管部门制定。</w:t>
            </w:r>
          </w:p>
          <w:p w14:paraId="7868B50F">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禁止伪造、变造、买卖、租借采伐许可证。</w:t>
            </w:r>
          </w:p>
          <w:p w14:paraId="4AC597A8">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第五十七条：采伐许可证由县级以上人民政府林业主管部门核发。</w:t>
            </w:r>
          </w:p>
          <w:p w14:paraId="1650C4E8">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县级以上人民政府林业主管部门应当采取措施，方便申请人办理采伐许可证。</w:t>
            </w:r>
          </w:p>
          <w:p w14:paraId="39C9B9FA">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农村居民采伐自留山和个人承包集体林地上的林木，由县级人民政府林业主管部门或者其委托的乡镇人民政府核发采伐许可证。</w:t>
            </w:r>
          </w:p>
          <w:p w14:paraId="01E41E8A">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2.【行政法规】《中华人民共和国森林法实施条例》（2000年国务院</w:t>
            </w:r>
            <w:r>
              <w:rPr>
                <w:rFonts w:hint="eastAsia" w:eastAsia="仿宋_GB2312"/>
                <w:color w:val="auto"/>
                <w:kern w:val="0"/>
                <w:sz w:val="20"/>
                <w:szCs w:val="20"/>
                <w:highlight w:val="none"/>
                <w:lang w:eastAsia="zh-CN"/>
              </w:rPr>
              <w:t>令第</w:t>
            </w:r>
            <w:r>
              <w:rPr>
                <w:rFonts w:hint="eastAsia" w:eastAsia="仿宋_GB2312"/>
                <w:color w:val="auto"/>
                <w:kern w:val="0"/>
                <w:sz w:val="20"/>
                <w:szCs w:val="20"/>
                <w:highlight w:val="none"/>
              </w:rPr>
              <w:t>278号发布，2018年国务院</w:t>
            </w:r>
            <w:r>
              <w:rPr>
                <w:rFonts w:hint="eastAsia" w:eastAsia="仿宋_GB2312"/>
                <w:color w:val="auto"/>
                <w:kern w:val="0"/>
                <w:sz w:val="20"/>
                <w:szCs w:val="20"/>
                <w:highlight w:val="none"/>
                <w:lang w:eastAsia="zh-CN"/>
              </w:rPr>
              <w:t>令第</w:t>
            </w:r>
            <w:r>
              <w:rPr>
                <w:rFonts w:hint="eastAsia" w:eastAsia="仿宋_GB2312"/>
                <w:color w:val="auto"/>
                <w:kern w:val="0"/>
                <w:sz w:val="20"/>
                <w:szCs w:val="20"/>
                <w:highlight w:val="none"/>
              </w:rPr>
              <w:t>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14:paraId="0D904AD8">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p w14:paraId="67A1BC11">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tc>
        <w:tc>
          <w:tcPr>
            <w:tcW w:w="1871" w:type="dxa"/>
            <w:vAlign w:val="center"/>
          </w:tcPr>
          <w:p w14:paraId="6221121A">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1.受理责任：公示依法应当提交的材料；一次性告知补正材料；依法受理或不予受理（不予受理应当告知理由）。</w:t>
            </w:r>
          </w:p>
          <w:p w14:paraId="3F1C6672">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14:paraId="65AD00B2">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3.决定责任：作出行政许可或者不予行政许可决定，法定告知（不予许可的应当书面告知理由）。</w:t>
            </w:r>
          </w:p>
          <w:p w14:paraId="2C68EF48">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4.送达责任：准予许可的制发送达审批决定；信息公开。</w:t>
            </w:r>
          </w:p>
          <w:p w14:paraId="0251AE1E">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5.事后监管责任：建立实施监督检查的运行机制和管理制度，开展定期和不定期检查，依法采取相关处置措施。</w:t>
            </w:r>
          </w:p>
          <w:p w14:paraId="190CE44A">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6.其他法律法规规章文件规定应履行的责任。</w:t>
            </w:r>
          </w:p>
          <w:p w14:paraId="1F134417">
            <w:pPr>
              <w:shd w:val="clear"/>
              <w:adjustRightInd w:val="0"/>
              <w:snapToGrid w:val="0"/>
              <w:spacing w:line="300" w:lineRule="exact"/>
              <w:ind w:firstLine="400" w:firstLineChars="200"/>
              <w:rPr>
                <w:rFonts w:hint="eastAsia" w:eastAsia="仿宋_GB2312"/>
                <w:color w:val="auto"/>
                <w:kern w:val="0"/>
                <w:sz w:val="20"/>
                <w:szCs w:val="20"/>
                <w:highlight w:val="none"/>
              </w:rPr>
            </w:pPr>
          </w:p>
          <w:p w14:paraId="02DAC10C">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（乐江镇经济发展办公室）</w:t>
            </w:r>
          </w:p>
        </w:tc>
        <w:tc>
          <w:tcPr>
            <w:tcW w:w="5658" w:type="dxa"/>
            <w:vAlign w:val="center"/>
          </w:tcPr>
          <w:p w14:paraId="558CB9C6">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644C237B">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AE07356">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7F4289D7">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14:paraId="3EA4DF9A">
            <w:pPr>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14:paraId="4E3B3EF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14:paraId="0411CFC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14:paraId="310D91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14:paraId="165DE7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14:paraId="185DB7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14:paraId="697D865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14:paraId="64C0149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14:paraId="29C46E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14:paraId="4D3D3C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14:paraId="7C1199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14:paraId="54E29AA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14:paraId="524D18A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14:paraId="10F67C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14:paraId="355CCA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14:paraId="58D8CFE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7BB55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6A0A812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2111E8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056546C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3C8FAA5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678306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7241752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7DC2B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437AF9C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4DFF2D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3F8F370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4727A6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7255C9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0223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43D52E2B">
            <w:pPr>
              <w:shd w:val="clear"/>
              <w:adjustRightInd w:val="0"/>
              <w:snapToGrid w:val="0"/>
              <w:spacing w:line="300" w:lineRule="exact"/>
              <w:jc w:val="center"/>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eastAsia" w:eastAsia="仿宋_GB2312" w:cs="Times New Roman"/>
                <w:color w:val="auto"/>
                <w:kern w:val="2"/>
                <w:sz w:val="20"/>
                <w:szCs w:val="20"/>
                <w:highlight w:val="none"/>
                <w:lang w:val="en-US" w:eastAsia="zh-CN" w:bidi="ar-SA"/>
              </w:rPr>
              <w:t>4</w:t>
            </w:r>
          </w:p>
        </w:tc>
        <w:tc>
          <w:tcPr>
            <w:tcW w:w="308" w:type="dxa"/>
            <w:vAlign w:val="center"/>
          </w:tcPr>
          <w:p w14:paraId="149AD99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s="宋体"/>
                <w:color w:val="auto"/>
                <w:kern w:val="0"/>
                <w:sz w:val="20"/>
                <w:szCs w:val="20"/>
                <w:highlight w:val="none"/>
              </w:rPr>
              <w:t>行政许可</w:t>
            </w:r>
          </w:p>
        </w:tc>
        <w:tc>
          <w:tcPr>
            <w:tcW w:w="504" w:type="dxa"/>
            <w:vAlign w:val="center"/>
          </w:tcPr>
          <w:p w14:paraId="4251A59B">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农村村民宅基地审批</w:t>
            </w:r>
          </w:p>
        </w:tc>
        <w:tc>
          <w:tcPr>
            <w:tcW w:w="546" w:type="dxa"/>
            <w:vAlign w:val="center"/>
          </w:tcPr>
          <w:p w14:paraId="134C416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27E6114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3FB6DDD">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乐江镇经济发展办公室</w:t>
            </w:r>
          </w:p>
        </w:tc>
        <w:tc>
          <w:tcPr>
            <w:tcW w:w="3505" w:type="dxa"/>
            <w:vAlign w:val="center"/>
          </w:tcPr>
          <w:p w14:paraId="6BE9FEBC">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【法律】《中华人民共和国土地管理法》第六十二条：农村村民一户只能拥有一处宅基地，其宅基地的面积不得超过省、自治区、直辖市规定</w:t>
            </w:r>
            <w:r>
              <w:rPr>
                <w:rFonts w:hint="default" w:ascii="Times New Roman" w:hAnsi="Times New Roman" w:eastAsia="仿宋_GB2312"/>
                <w:color w:val="auto"/>
                <w:kern w:val="0"/>
                <w:sz w:val="20"/>
                <w:szCs w:val="20"/>
                <w:highlight w:val="none"/>
              </w:rPr>
              <w:t>的标准。</w:t>
            </w:r>
          </w:p>
          <w:p w14:paraId="78820D86">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人均土地少、不能保障一户拥有一处宅基地的地区，县级人民政府在充分尊重农村村民意愿的基础上，可以采取措施，按照省、自治区、直辖市规定的标准保障农村村民实现</w:t>
            </w:r>
            <w:r>
              <w:rPr>
                <w:rFonts w:hint="eastAsia" w:ascii="Times New Roman" w:hAnsi="Times New Roman" w:eastAsia="仿宋_GB2312"/>
                <w:color w:val="auto"/>
                <w:kern w:val="0"/>
                <w:sz w:val="20"/>
                <w:szCs w:val="20"/>
                <w:highlight w:val="none"/>
              </w:rPr>
              <w:t>户</w:t>
            </w:r>
            <w:r>
              <w:rPr>
                <w:rFonts w:hint="default" w:ascii="Times New Roman" w:hAnsi="Times New Roman" w:eastAsia="仿宋_GB2312"/>
                <w:color w:val="auto"/>
                <w:kern w:val="0"/>
                <w:sz w:val="20"/>
                <w:szCs w:val="20"/>
                <w:highlight w:val="none"/>
              </w:rPr>
              <w:t>有所居。</w:t>
            </w:r>
          </w:p>
          <w:p w14:paraId="1CA493F5">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Fonts w:hint="eastAsia" w:ascii="Times New Roman" w:hAnsi="Times New Roman" w:eastAsia="仿宋_GB2312"/>
                <w:color w:val="auto"/>
                <w:kern w:val="0"/>
                <w:sz w:val="20"/>
                <w:szCs w:val="20"/>
                <w:highlight w:val="none"/>
              </w:rPr>
              <w:t>境</w:t>
            </w:r>
            <w:r>
              <w:rPr>
                <w:rFonts w:hint="default" w:ascii="Times New Roman" w:hAnsi="Times New Roman" w:eastAsia="仿宋_GB2312"/>
                <w:color w:val="auto"/>
                <w:kern w:val="0"/>
                <w:sz w:val="20"/>
                <w:szCs w:val="20"/>
                <w:highlight w:val="none"/>
              </w:rPr>
              <w:t>和条件。</w:t>
            </w:r>
          </w:p>
          <w:p w14:paraId="5C093C0E">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农村村民住宅用地，由乡（镇）人民政府审核批准；其中，涉及占用农用地的，依照本法第四十四条的规定办理</w:t>
            </w:r>
            <w:r>
              <w:rPr>
                <w:rFonts w:hint="eastAsia" w:ascii="Times New Roman" w:hAnsi="Times New Roman" w:eastAsia="仿宋_GB2312"/>
                <w:color w:val="auto"/>
                <w:kern w:val="0"/>
                <w:sz w:val="20"/>
                <w:szCs w:val="20"/>
                <w:highlight w:val="none"/>
              </w:rPr>
              <w:t>审</w:t>
            </w:r>
            <w:r>
              <w:rPr>
                <w:rFonts w:hint="default" w:ascii="Times New Roman" w:hAnsi="Times New Roman" w:eastAsia="仿宋_GB2312"/>
                <w:color w:val="auto"/>
                <w:kern w:val="0"/>
                <w:sz w:val="20"/>
                <w:szCs w:val="20"/>
                <w:highlight w:val="none"/>
              </w:rPr>
              <w:t>批手续。</w:t>
            </w:r>
          </w:p>
          <w:p w14:paraId="624310DD">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农村村民出卖、出租、赠与住宅后，再申请宅基地的，</w:t>
            </w:r>
            <w:r>
              <w:rPr>
                <w:rFonts w:hint="eastAsia" w:ascii="Times New Roman" w:hAnsi="Times New Roman" w:eastAsia="仿宋_GB2312"/>
                <w:color w:val="auto"/>
                <w:kern w:val="0"/>
                <w:sz w:val="20"/>
                <w:szCs w:val="20"/>
                <w:highlight w:val="none"/>
              </w:rPr>
              <w:t>不</w:t>
            </w:r>
            <w:r>
              <w:rPr>
                <w:rFonts w:hint="default" w:ascii="Times New Roman" w:hAnsi="Times New Roman" w:eastAsia="仿宋_GB2312"/>
                <w:color w:val="auto"/>
                <w:kern w:val="0"/>
                <w:sz w:val="20"/>
                <w:szCs w:val="20"/>
                <w:highlight w:val="none"/>
              </w:rPr>
              <w:t>予批准。</w:t>
            </w:r>
          </w:p>
          <w:p w14:paraId="5F53F8E0">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国家允许进城落户的农村村民依法自愿有偿退出宅基地，鼓励农村集体经济组织及其成员盘活利用闲置宅基地和</w:t>
            </w:r>
            <w:r>
              <w:rPr>
                <w:rFonts w:hint="eastAsia" w:ascii="Times New Roman" w:hAnsi="Times New Roman" w:eastAsia="仿宋_GB2312"/>
                <w:color w:val="auto"/>
                <w:kern w:val="0"/>
                <w:sz w:val="20"/>
                <w:szCs w:val="20"/>
                <w:highlight w:val="none"/>
              </w:rPr>
              <w:t>闲</w:t>
            </w:r>
            <w:r>
              <w:rPr>
                <w:rFonts w:hint="default" w:ascii="Times New Roman" w:hAnsi="Times New Roman" w:eastAsia="仿宋_GB2312"/>
                <w:color w:val="auto"/>
                <w:kern w:val="0"/>
                <w:sz w:val="20"/>
                <w:szCs w:val="20"/>
                <w:highlight w:val="none"/>
              </w:rPr>
              <w:t>置住宅。</w:t>
            </w:r>
          </w:p>
          <w:p w14:paraId="632D352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国务院农业农村主管部门负责全国农村宅基地改革和管理有关工作。</w:t>
            </w:r>
          </w:p>
        </w:tc>
        <w:tc>
          <w:tcPr>
            <w:tcW w:w="1871" w:type="dxa"/>
            <w:vAlign w:val="center"/>
          </w:tcPr>
          <w:p w14:paraId="467B6F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1.受理责任：公示应当提交的材料，一次性告知补正材料，依法受理或不予受理（不予受理应当告</w:t>
            </w:r>
            <w:r>
              <w:rPr>
                <w:rFonts w:hint="eastAsia" w:ascii="Times New Roman" w:hAnsi="Times New Roman" w:eastAsia="仿宋_GB2312"/>
                <w:color w:val="auto"/>
                <w:kern w:val="0"/>
                <w:sz w:val="20"/>
                <w:szCs w:val="20"/>
                <w:highlight w:val="none"/>
              </w:rPr>
              <w:t>知理由）。</w:t>
            </w:r>
          </w:p>
          <w:p w14:paraId="665560F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2.审查责任：审查申请材料，组织</w:t>
            </w:r>
            <w:r>
              <w:rPr>
                <w:rFonts w:hint="eastAsia" w:ascii="Times New Roman" w:hAnsi="Times New Roman" w:eastAsia="仿宋_GB2312"/>
                <w:color w:val="auto"/>
                <w:kern w:val="0"/>
                <w:sz w:val="20"/>
                <w:szCs w:val="20"/>
                <w:highlight w:val="none"/>
              </w:rPr>
              <w:t>现场检查。</w:t>
            </w:r>
          </w:p>
          <w:p w14:paraId="7EA749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3.决定责任：作出行政许可或者不予行政许可决定，法定告知（不予许可的应当书面告</w:t>
            </w:r>
            <w:r>
              <w:rPr>
                <w:rFonts w:hint="eastAsia" w:ascii="Times New Roman" w:hAnsi="Times New Roman" w:eastAsia="仿宋_GB2312"/>
                <w:color w:val="auto"/>
                <w:kern w:val="0"/>
                <w:sz w:val="20"/>
                <w:szCs w:val="20"/>
                <w:highlight w:val="none"/>
              </w:rPr>
              <w:t>知理由）。</w:t>
            </w:r>
          </w:p>
          <w:p w14:paraId="2905A9B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4.送达责任：准予许可的，制发许可证书或批件，送达并</w:t>
            </w:r>
            <w:r>
              <w:rPr>
                <w:rFonts w:hint="eastAsia" w:ascii="Times New Roman" w:hAnsi="Times New Roman" w:eastAsia="仿宋_GB2312"/>
                <w:color w:val="auto"/>
                <w:kern w:val="0"/>
                <w:sz w:val="20"/>
                <w:szCs w:val="20"/>
                <w:highlight w:val="none"/>
              </w:rPr>
              <w:t>信息公开。</w:t>
            </w:r>
          </w:p>
          <w:p w14:paraId="402632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5.监管责任：建立实施监督检查的运行机制和管理制度，开展定期和不定期检查，依法采取相关</w:t>
            </w:r>
            <w:r>
              <w:rPr>
                <w:rFonts w:hint="eastAsia" w:ascii="Times New Roman" w:hAnsi="Times New Roman" w:eastAsia="仿宋_GB2312"/>
                <w:color w:val="auto"/>
                <w:kern w:val="0"/>
                <w:sz w:val="20"/>
                <w:szCs w:val="20"/>
                <w:highlight w:val="none"/>
              </w:rPr>
              <w:t>处置措施。</w:t>
            </w:r>
          </w:p>
          <w:p w14:paraId="3B5215C8">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6.其他法律法规规章文件规定应履行的责任。</w:t>
            </w:r>
          </w:p>
          <w:p w14:paraId="49E752A2">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14:paraId="617DC03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乐江镇经济发展办公室</w:t>
            </w:r>
            <w:r>
              <w:rPr>
                <w:rFonts w:hint="eastAsia" w:eastAsia="仿宋_GB2312"/>
                <w:color w:val="auto"/>
                <w:kern w:val="0"/>
                <w:sz w:val="20"/>
                <w:szCs w:val="20"/>
                <w:highlight w:val="none"/>
                <w:lang w:eastAsia="zh-CN"/>
              </w:rPr>
              <w:t>）</w:t>
            </w:r>
          </w:p>
        </w:tc>
        <w:tc>
          <w:tcPr>
            <w:tcW w:w="5658" w:type="dxa"/>
            <w:vAlign w:val="center"/>
          </w:tcPr>
          <w:p w14:paraId="2F30FE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Fonts w:hint="eastAsia" w:ascii="Times New Roman" w:hAnsi="Times New Roman" w:eastAsia="仿宋_GB2312"/>
                <w:color w:val="auto"/>
                <w:kern w:val="0"/>
                <w:sz w:val="20"/>
                <w:szCs w:val="20"/>
                <w:highlight w:val="none"/>
              </w:rPr>
              <w:t>书面凭证。</w:t>
            </w:r>
          </w:p>
          <w:p w14:paraId="582671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Fonts w:hint="eastAsia" w:ascii="Times New Roman" w:hAnsi="Times New Roman" w:eastAsia="仿宋_GB2312"/>
                <w:color w:val="auto"/>
                <w:kern w:val="0"/>
                <w:sz w:val="20"/>
                <w:szCs w:val="20"/>
                <w:highlight w:val="none"/>
              </w:rPr>
              <w:t>进行核查。</w:t>
            </w:r>
          </w:p>
          <w:p w14:paraId="1CC5907C">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十七条：行政机关对行政许可申请进行审查后，除当场作出行政许可决定的外，应当在法定期限内按照规定程序作出行政</w:t>
            </w:r>
            <w:r>
              <w:rPr>
                <w:rFonts w:hint="eastAsia" w:ascii="Times New Roman" w:hAnsi="Times New Roman" w:eastAsia="仿宋_GB2312"/>
                <w:color w:val="auto"/>
                <w:kern w:val="0"/>
                <w:sz w:val="20"/>
                <w:szCs w:val="20"/>
                <w:highlight w:val="none"/>
              </w:rPr>
              <w:t>许可决</w:t>
            </w:r>
            <w:r>
              <w:rPr>
                <w:rFonts w:hint="default" w:ascii="Times New Roman" w:hAnsi="Times New Roman" w:eastAsia="仿宋_GB2312"/>
                <w:color w:val="auto"/>
                <w:kern w:val="0"/>
                <w:sz w:val="20"/>
                <w:szCs w:val="20"/>
                <w:highlight w:val="none"/>
              </w:rPr>
              <w:t>定。</w:t>
            </w:r>
          </w:p>
          <w:p w14:paraId="005309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Fonts w:hint="eastAsia" w:ascii="Times New Roman" w:hAnsi="Times New Roman" w:eastAsia="仿宋_GB2312"/>
                <w:color w:val="auto"/>
                <w:kern w:val="0"/>
                <w:sz w:val="20"/>
                <w:szCs w:val="20"/>
                <w:highlight w:val="none"/>
              </w:rPr>
              <w:t>讼的权利。</w:t>
            </w:r>
          </w:p>
          <w:p w14:paraId="78CD4BA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4.【法律】《中华人民共和国行政许可法》</w:t>
            </w:r>
            <w:r>
              <w:rPr>
                <w:rFonts w:hint="eastAsia" w:ascii="Times New Roman" w:hAnsi="Times New Roman" w:eastAsia="仿宋_GB2312"/>
                <w:color w:val="auto"/>
                <w:kern w:val="0"/>
                <w:sz w:val="20"/>
                <w:szCs w:val="20"/>
                <w:highlight w:val="none"/>
              </w:rPr>
              <w:t>第四</w:t>
            </w:r>
            <w:r>
              <w:rPr>
                <w:rFonts w:hint="default" w:ascii="Times New Roman" w:hAnsi="Times New Roman" w:eastAsia="仿宋_GB2312"/>
                <w:color w:val="auto"/>
                <w:kern w:val="0"/>
                <w:sz w:val="20"/>
                <w:szCs w:val="20"/>
                <w:highlight w:val="none"/>
              </w:rPr>
              <w:t>十四条：行政机关作出准予行政许可的决定，应当自作出决定之日起十日内向申请人颁发、送达行政许可证件，或者加贴标签、加盖检验、检测、</w:t>
            </w:r>
            <w:r>
              <w:rPr>
                <w:rFonts w:hint="eastAsia" w:ascii="Times New Roman" w:hAnsi="Times New Roman" w:eastAsia="仿宋_GB2312"/>
                <w:color w:val="auto"/>
                <w:kern w:val="0"/>
                <w:sz w:val="20"/>
                <w:szCs w:val="20"/>
                <w:highlight w:val="none"/>
              </w:rPr>
              <w:t>检疫印章。</w:t>
            </w:r>
          </w:p>
          <w:p w14:paraId="7831949A">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5.【法律】《中华人民共和国土地管理法》第七十八条：农村村民未经批准或者采取欺骗手段骗取批准，非法占用土地建住宅的，由县级以上人民政府农业农村主管部门责</w:t>
            </w:r>
            <w:r>
              <w:rPr>
                <w:rFonts w:hint="eastAsia" w:eastAsia="仿宋_GB2312"/>
                <w:color w:val="auto"/>
                <w:kern w:val="0"/>
                <w:sz w:val="20"/>
                <w:szCs w:val="20"/>
                <w:highlight w:val="none"/>
                <w:lang w:eastAsia="zh-CN"/>
              </w:rPr>
              <w:t>令第</w:t>
            </w:r>
            <w:r>
              <w:rPr>
                <w:rFonts w:hint="default" w:ascii="Times New Roman" w:hAnsi="Times New Roman" w:eastAsia="仿宋_GB2312"/>
                <w:color w:val="auto"/>
                <w:kern w:val="0"/>
                <w:sz w:val="20"/>
                <w:szCs w:val="20"/>
                <w:highlight w:val="none"/>
              </w:rPr>
              <w:t>退还非法占用的土地，限期拆除在非法占用的土地上新</w:t>
            </w:r>
            <w:r>
              <w:rPr>
                <w:rFonts w:hint="eastAsia" w:ascii="Times New Roman" w:hAnsi="Times New Roman" w:eastAsia="仿宋_GB2312"/>
                <w:color w:val="auto"/>
                <w:kern w:val="0"/>
                <w:sz w:val="20"/>
                <w:szCs w:val="20"/>
                <w:highlight w:val="none"/>
              </w:rPr>
              <w:t>建</w:t>
            </w:r>
            <w:r>
              <w:rPr>
                <w:rFonts w:hint="default" w:ascii="Times New Roman" w:hAnsi="Times New Roman" w:eastAsia="仿宋_GB2312"/>
                <w:color w:val="auto"/>
                <w:kern w:val="0"/>
                <w:sz w:val="20"/>
                <w:szCs w:val="20"/>
                <w:highlight w:val="none"/>
              </w:rPr>
              <w:t>的房屋。</w:t>
            </w:r>
          </w:p>
          <w:p w14:paraId="68E6761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超过省、自治区、直辖市规定的标准，多占的土地以非法占用</w:t>
            </w:r>
            <w:r>
              <w:rPr>
                <w:rFonts w:hint="eastAsia" w:ascii="Times New Roman" w:hAnsi="Times New Roman" w:eastAsia="仿宋_GB2312"/>
                <w:color w:val="auto"/>
                <w:kern w:val="0"/>
                <w:sz w:val="20"/>
                <w:szCs w:val="20"/>
                <w:highlight w:val="none"/>
              </w:rPr>
              <w:t>土地论处。</w:t>
            </w:r>
          </w:p>
        </w:tc>
        <w:tc>
          <w:tcPr>
            <w:tcW w:w="2035" w:type="dxa"/>
            <w:vAlign w:val="center"/>
          </w:tcPr>
          <w:p w14:paraId="5EFB29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14:paraId="7016CA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14:paraId="788C841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14:paraId="23DDBA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14:paraId="47A014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14:paraId="463D73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14:paraId="5FE18E8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14:paraId="12E7BB3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14:paraId="711A99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14:paraId="1248E65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14:paraId="62C700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10.在实施行政许可过程中，擅自收费或者不按照法定项目和标准收费的；</w:t>
            </w:r>
          </w:p>
          <w:p w14:paraId="2AAB1C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11.截留、挪用、私分或者变相私分实施行政许可依法收取的费用的；</w:t>
            </w:r>
          </w:p>
          <w:p w14:paraId="009AB0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12.不依法履行监督职责或者监督不力，造成严重后果的。</w:t>
            </w:r>
          </w:p>
          <w:p w14:paraId="164606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D43ADE8">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160B03A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3151552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7D0C8B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0C30060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37B595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76B902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5E14812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0947C1A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40D510D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177151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30B7052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14834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3C38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1C1B6699">
            <w:pPr>
              <w:widowControl/>
              <w:shd w:val="clear"/>
              <w:adjustRightInd w:val="0"/>
              <w:snapToGrid w:val="0"/>
              <w:spacing w:line="272"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5</w:t>
            </w:r>
          </w:p>
        </w:tc>
        <w:tc>
          <w:tcPr>
            <w:tcW w:w="308" w:type="dxa"/>
            <w:vAlign w:val="center"/>
          </w:tcPr>
          <w:p w14:paraId="7A9F5B3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s="宋体"/>
                <w:color w:val="auto"/>
                <w:kern w:val="0"/>
                <w:sz w:val="20"/>
                <w:szCs w:val="20"/>
                <w:highlight w:val="none"/>
              </w:rPr>
              <w:t>行政许可</w:t>
            </w:r>
          </w:p>
        </w:tc>
        <w:tc>
          <w:tcPr>
            <w:tcW w:w="504" w:type="dxa"/>
            <w:vAlign w:val="center"/>
          </w:tcPr>
          <w:p w14:paraId="35DD4DDD">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涉路施工许可</w:t>
            </w:r>
          </w:p>
        </w:tc>
        <w:tc>
          <w:tcPr>
            <w:tcW w:w="546" w:type="dxa"/>
            <w:vAlign w:val="center"/>
          </w:tcPr>
          <w:p w14:paraId="6298D4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5E99E25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335C312E">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乐江镇经济发展办公室</w:t>
            </w:r>
          </w:p>
        </w:tc>
        <w:tc>
          <w:tcPr>
            <w:tcW w:w="3505" w:type="dxa"/>
            <w:vAlign w:val="center"/>
          </w:tcPr>
          <w:p w14:paraId="6354C627">
            <w:pPr>
              <w:widowControl/>
              <w:numPr>
                <w:ilvl w:val="0"/>
                <w:numId w:val="0"/>
              </w:numPr>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lang w:val="en-US" w:eastAsia="zh-CN"/>
              </w:rPr>
              <w:t>【法律】《中华人民共和国公路法》 第四十四条</w:t>
            </w:r>
            <w:r>
              <w:rPr>
                <w:rFonts w:hint="eastAsia" w:eastAsia="仿宋_GB2312"/>
                <w:color w:val="auto"/>
                <w:kern w:val="0"/>
                <w:sz w:val="20"/>
                <w:szCs w:val="20"/>
                <w:highlight w:val="none"/>
                <w:lang w:val="en-US" w:eastAsia="zh-CN"/>
              </w:rPr>
              <w:t>：</w:t>
            </w:r>
            <w:r>
              <w:rPr>
                <w:rFonts w:hint="eastAsia" w:ascii="Times New Roman" w:hAnsi="Times New Roman" w:eastAsia="仿宋_GB2312"/>
                <w:color w:val="auto"/>
                <w:kern w:val="0"/>
                <w:sz w:val="20"/>
                <w:szCs w:val="20"/>
                <w:highlight w:val="none"/>
                <w:lang w:val="en-US" w:eastAsia="zh-CN"/>
              </w:rPr>
              <w:t>任何单位和个人不得擅自占用、挖掘公路。 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14:paraId="027B39AE">
            <w:pPr>
              <w:widowControl/>
              <w:numPr>
                <w:ilvl w:val="0"/>
                <w:numId w:val="0"/>
              </w:numPr>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第四十五条</w:t>
            </w:r>
            <w:r>
              <w:rPr>
                <w:rFonts w:hint="eastAsia" w:eastAsia="仿宋_GB2312"/>
                <w:color w:val="auto"/>
                <w:kern w:val="0"/>
                <w:sz w:val="20"/>
                <w:szCs w:val="20"/>
                <w:highlight w:val="none"/>
                <w:lang w:val="en-US" w:eastAsia="zh-CN"/>
              </w:rPr>
              <w:t>：</w:t>
            </w:r>
            <w:r>
              <w:rPr>
                <w:rFonts w:hint="eastAsia" w:ascii="Times New Roman" w:hAnsi="Times New Roman" w:eastAsia="仿宋_GB2312"/>
                <w:color w:val="auto"/>
                <w:kern w:val="0"/>
                <w:sz w:val="20"/>
                <w:szCs w:val="20"/>
                <w:highlight w:val="none"/>
                <w:lang w:val="en-US" w:eastAsia="zh-CN"/>
              </w:rPr>
              <w:t xml:space="preserve">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p>
          <w:p w14:paraId="05D1B9AB">
            <w:pPr>
              <w:widowControl/>
              <w:numPr>
                <w:ilvl w:val="0"/>
                <w:numId w:val="0"/>
              </w:numPr>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第五十五条：在公路上增设平面交叉道口，必须按照国家有关规定经过批准，并按照国家规定的技术标准建设。</w:t>
            </w:r>
            <w:r>
              <w:rPr>
                <w:rFonts w:hint="eastAsia" w:eastAsia="仿宋_GB2312"/>
                <w:color w:val="auto"/>
                <w:kern w:val="0"/>
                <w:sz w:val="20"/>
                <w:szCs w:val="20"/>
                <w:highlight w:val="none"/>
                <w:lang w:val="en-US" w:eastAsia="zh-CN"/>
              </w:rPr>
              <w:t xml:space="preserve">   </w:t>
            </w:r>
            <w:r>
              <w:rPr>
                <w:rFonts w:hint="eastAsia" w:ascii="Times New Roman" w:hAnsi="Times New Roman" w:eastAsia="仿宋_GB2312"/>
                <w:color w:val="auto"/>
                <w:kern w:val="0"/>
                <w:sz w:val="20"/>
                <w:szCs w:val="20"/>
                <w:highlight w:val="none"/>
                <w:lang w:val="en-US" w:eastAsia="zh-CN"/>
              </w:rPr>
              <w:t>第五十六条：除公路防护、养护需要的以外，禁止在公路两侧的建筑控制区内修建建筑物和地面构筑物；需要在建筑控制区内埋设管线、电缆等设施的，应当事先经县级以上地方人民政府交通主管部门批准。</w:t>
            </w:r>
          </w:p>
          <w:p w14:paraId="6353D8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p w14:paraId="65C8B6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lang w:val="en-US" w:eastAsia="zh-CN"/>
              </w:rPr>
              <w:t>【法规】《公路安全保护条例》（2011年2月16日国务院</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593号） 第二十七条:进行下列涉路施工活动，建设单位应当向公路管理机构提出申请：</w:t>
            </w:r>
          </w:p>
          <w:p w14:paraId="47C2FF5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p w14:paraId="22BD41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tc>
        <w:tc>
          <w:tcPr>
            <w:tcW w:w="1871" w:type="dxa"/>
            <w:vAlign w:val="center"/>
          </w:tcPr>
          <w:p w14:paraId="6170FBD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1．受理责任：公示在公路增设或改造平面交叉道口审批依法应当提交的材料；一次性告知补正材料；依法受理或不予受理（不予受理应当告知理由）。</w:t>
            </w:r>
          </w:p>
          <w:p w14:paraId="4C2651C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14:paraId="68F6109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14:paraId="540D1C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14:paraId="2DFA97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5.事后监管责任：加强在公路增设或改造平面交叉道口审批的监督检查，保护公路路产路权免遭破坏。</w:t>
            </w:r>
          </w:p>
          <w:p w14:paraId="5966DA5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14:paraId="5E43213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乐江镇经济发展办公室</w:t>
            </w:r>
            <w:r>
              <w:rPr>
                <w:rFonts w:hint="eastAsia" w:eastAsia="仿宋_GB2312"/>
                <w:color w:val="auto"/>
                <w:kern w:val="0"/>
                <w:sz w:val="20"/>
                <w:szCs w:val="20"/>
                <w:highlight w:val="none"/>
                <w:lang w:eastAsia="zh-CN"/>
              </w:rPr>
              <w:t>）</w:t>
            </w:r>
          </w:p>
        </w:tc>
        <w:tc>
          <w:tcPr>
            <w:tcW w:w="5658" w:type="dxa"/>
            <w:vAlign w:val="center"/>
          </w:tcPr>
          <w:p w14:paraId="315B4A6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41D755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BE824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14:paraId="723802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4080550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14:paraId="0EAF3E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14:paraId="483103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14:paraId="4191382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14:paraId="3624733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14:paraId="32FB1E2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14:paraId="1EBC2A8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14:paraId="57EF7A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14:paraId="6754835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14:paraId="622509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14:paraId="3A8452F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14:paraId="0B0FCF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14:paraId="2BA4630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14:paraId="20D5ED8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14:paraId="3D175C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14:paraId="401F52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14:paraId="707EB6DC">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p>
          <w:p w14:paraId="5FFDA87B">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147418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79BF148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73C78B4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24AB1B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72D29F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122560C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83A99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485864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65CC4A7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5D8624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5FA770F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99BFA2A">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乡</w:t>
            </w:r>
            <w:r>
              <w:rPr>
                <w:rFonts w:hint="eastAsia" w:ascii="Times New Roman" w:hAnsi="Times New Roman" w:eastAsia="仿宋_GB2312"/>
                <w:color w:val="auto"/>
                <w:kern w:val="0"/>
                <w:sz w:val="20"/>
                <w:szCs w:val="20"/>
                <w:highlight w:val="none"/>
              </w:rPr>
              <w:t>道、村道的审批权由乡镇人民政府（街道办事处）实施。</w:t>
            </w:r>
          </w:p>
        </w:tc>
      </w:tr>
      <w:tr w14:paraId="292B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shd w:val="clear" w:color="auto" w:fill="auto"/>
            <w:vAlign w:val="center"/>
          </w:tcPr>
          <w:p w14:paraId="58FE5419">
            <w:pPr>
              <w:widowControl/>
              <w:shd w:val="clear"/>
              <w:adjustRightInd w:val="0"/>
              <w:snapToGrid w:val="0"/>
              <w:spacing w:line="298"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6</w:t>
            </w:r>
          </w:p>
        </w:tc>
        <w:tc>
          <w:tcPr>
            <w:tcW w:w="308" w:type="dxa"/>
            <w:shd w:val="clear" w:color="auto" w:fill="auto"/>
            <w:vAlign w:val="center"/>
          </w:tcPr>
          <w:p w14:paraId="3F9149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rPr>
              <w:t>行行政许可</w:t>
            </w:r>
          </w:p>
        </w:tc>
        <w:tc>
          <w:tcPr>
            <w:tcW w:w="504" w:type="dxa"/>
            <w:shd w:val="clear" w:color="auto" w:fill="auto"/>
            <w:vAlign w:val="center"/>
          </w:tcPr>
          <w:p w14:paraId="775DAC0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工商企业等社会资本通过流转取得土地经营权审批</w:t>
            </w:r>
          </w:p>
        </w:tc>
        <w:tc>
          <w:tcPr>
            <w:tcW w:w="546" w:type="dxa"/>
            <w:shd w:val="clear" w:color="auto" w:fill="auto"/>
            <w:vAlign w:val="center"/>
          </w:tcPr>
          <w:p w14:paraId="75899D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shd w:val="clear" w:color="auto" w:fill="auto"/>
            <w:vAlign w:val="center"/>
          </w:tcPr>
          <w:p w14:paraId="34A02C4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shd w:val="clear" w:color="auto" w:fill="auto"/>
            <w:vAlign w:val="center"/>
          </w:tcPr>
          <w:p w14:paraId="475B1428">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乐江镇经济发展办公室</w:t>
            </w:r>
          </w:p>
        </w:tc>
        <w:tc>
          <w:tcPr>
            <w:tcW w:w="3505" w:type="dxa"/>
            <w:shd w:val="clear" w:color="auto" w:fill="auto"/>
            <w:vAlign w:val="center"/>
          </w:tcPr>
          <w:p w14:paraId="7E24FD1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1.【法律】《中华人民共和国农村土地承包法》（2018年修正）</w:t>
            </w:r>
          </w:p>
          <w:p w14:paraId="1B5F3B3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第四十五条 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p>
          <w:p w14:paraId="5E51E1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2.【部门规章】《农村土地经营权流转管理办法》（2021年农业农村部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1号）</w:t>
            </w:r>
          </w:p>
          <w:p w14:paraId="1BCADB2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第二十九条 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 受让主体农业经营能力，以及经营项目是否符合粮食生产等产业规划等进行审查审核，并于受理之日起20个工作日内作出审查审核意见</w:t>
            </w:r>
          </w:p>
        </w:tc>
        <w:tc>
          <w:tcPr>
            <w:tcW w:w="1871" w:type="dxa"/>
            <w:shd w:val="clear" w:color="auto" w:fill="auto"/>
            <w:vAlign w:val="center"/>
          </w:tcPr>
          <w:p w14:paraId="47DBE72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1．受理责任：公示设置非公路标志审批依法应当提交的材料；一次性告知补正材料；依法受理或不予受理（不予受理应当告知理由）。</w:t>
            </w:r>
          </w:p>
          <w:p w14:paraId="620BC6D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14:paraId="77D8121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14:paraId="543F76F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14:paraId="6A3C8E9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5.事后监管责任：加强设置非公路标志的监督检查，保护公路路产路权免遭破坏。</w:t>
            </w:r>
          </w:p>
          <w:p w14:paraId="3EF3A5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14:paraId="3BFFBB5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乐江镇经济发展办公室</w:t>
            </w:r>
            <w:r>
              <w:rPr>
                <w:rFonts w:hint="eastAsia" w:eastAsia="仿宋_GB2312"/>
                <w:color w:val="auto"/>
                <w:kern w:val="0"/>
                <w:sz w:val="20"/>
                <w:szCs w:val="20"/>
                <w:highlight w:val="none"/>
                <w:lang w:eastAsia="zh-CN"/>
              </w:rPr>
              <w:t>）</w:t>
            </w:r>
          </w:p>
        </w:tc>
        <w:tc>
          <w:tcPr>
            <w:tcW w:w="5658" w:type="dxa"/>
            <w:shd w:val="clear" w:color="auto" w:fill="auto"/>
            <w:vAlign w:val="center"/>
          </w:tcPr>
          <w:p w14:paraId="29247A9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63CD50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64225A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14:paraId="2249F25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7590D3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14:paraId="10058D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shd w:val="clear" w:color="auto" w:fill="auto"/>
            <w:vAlign w:val="center"/>
          </w:tcPr>
          <w:p w14:paraId="7BAF24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14:paraId="647551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14:paraId="73612C3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14:paraId="292490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14:paraId="551FAB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14:paraId="4A175D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14:paraId="354044C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14:paraId="643D0E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14:paraId="7B1227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14:paraId="03DB7D6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14:paraId="2F9FF34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14:paraId="590A31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14:paraId="12A277C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14:paraId="4DEA51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14:paraId="7DCF78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A41833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shd w:val="clear" w:color="auto" w:fill="auto"/>
            <w:vAlign w:val="center"/>
          </w:tcPr>
          <w:p w14:paraId="182D7C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726FF15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1B825B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277000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320686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2A9579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A9816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22A3AA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0BAD53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48DBAC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shd w:val="clear" w:color="auto" w:fill="auto"/>
            <w:vAlign w:val="center"/>
          </w:tcPr>
          <w:p w14:paraId="4687455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shd w:val="clear" w:color="auto" w:fill="auto"/>
            <w:vAlign w:val="center"/>
          </w:tcPr>
          <w:p w14:paraId="11C117E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14:paraId="29E1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7FD353AE">
            <w:pPr>
              <w:widowControl/>
              <w:shd w:val="clear"/>
              <w:adjustRightInd w:val="0"/>
              <w:snapToGrid w:val="0"/>
              <w:spacing w:line="299"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7</w:t>
            </w:r>
          </w:p>
        </w:tc>
        <w:tc>
          <w:tcPr>
            <w:tcW w:w="308" w:type="dxa"/>
            <w:vAlign w:val="center"/>
          </w:tcPr>
          <w:p w14:paraId="7FB6A25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rPr>
              <w:t>行行政许可</w:t>
            </w:r>
          </w:p>
        </w:tc>
        <w:tc>
          <w:tcPr>
            <w:tcW w:w="504" w:type="dxa"/>
            <w:vAlign w:val="center"/>
          </w:tcPr>
          <w:p w14:paraId="3F73BA3A">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乡村建设规划许可证核发</w:t>
            </w:r>
          </w:p>
        </w:tc>
        <w:tc>
          <w:tcPr>
            <w:tcW w:w="546" w:type="dxa"/>
            <w:vAlign w:val="center"/>
          </w:tcPr>
          <w:p w14:paraId="0345662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37CD4C63">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6A2D94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乐江镇经济发展办公室</w:t>
            </w:r>
          </w:p>
        </w:tc>
        <w:tc>
          <w:tcPr>
            <w:tcW w:w="3505" w:type="dxa"/>
            <w:vAlign w:val="center"/>
          </w:tcPr>
          <w:p w14:paraId="0E9AF9F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14:paraId="1CC0E60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14:paraId="54EB30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第三十八条：村民在乡、村庄规划区范围内进行住宅建设的，应当办理乡村建设规划许可证。</w:t>
            </w:r>
          </w:p>
          <w:p w14:paraId="49BEB83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14:paraId="590EA7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14:paraId="708CEA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14:paraId="6A2EB1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14:paraId="0F8AD9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县级人民政府城乡规划主管部门可以委托乡（镇）人民政府核发乡村建设规划许可证。</w:t>
            </w:r>
          </w:p>
          <w:p w14:paraId="04968C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在乡、村庄规划区内进行本条第一款规定的建设，应当在取得乡村建设规划许可证后，依法办理用地审批手续。</w:t>
            </w:r>
          </w:p>
          <w:p w14:paraId="5E8730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871" w:type="dxa"/>
            <w:vAlign w:val="center"/>
          </w:tcPr>
          <w:p w14:paraId="55DBE28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1.受理责任：公示应当提交的材料；一次性告知补正材料；依法受理或不予受理（不予受理应当告知理由）。</w:t>
            </w:r>
          </w:p>
          <w:p w14:paraId="30BFB40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14:paraId="2440EF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3.决定责任：作出行政许可或者不予行政许可决定,法定告知（不予许可的应当书面告知理由）。</w:t>
            </w:r>
          </w:p>
          <w:p w14:paraId="0A7CA41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4．送达责任：准予许可的制发送达审批决定。</w:t>
            </w:r>
          </w:p>
          <w:p w14:paraId="5144934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5．事后监管环节责任：分管领导对审批后的相关事宜实施监督管理</w:t>
            </w:r>
          </w:p>
          <w:p w14:paraId="0C0D3D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14:paraId="5BCB8C8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5C345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乐江镇经济发展办公室</w:t>
            </w:r>
            <w:r>
              <w:rPr>
                <w:rFonts w:hint="eastAsia" w:eastAsia="仿宋_GB2312"/>
                <w:color w:val="auto"/>
                <w:kern w:val="0"/>
                <w:sz w:val="20"/>
                <w:szCs w:val="20"/>
                <w:highlight w:val="none"/>
                <w:lang w:eastAsia="zh-CN"/>
              </w:rPr>
              <w:t>）</w:t>
            </w:r>
          </w:p>
        </w:tc>
        <w:tc>
          <w:tcPr>
            <w:tcW w:w="5658" w:type="dxa"/>
            <w:vAlign w:val="center"/>
          </w:tcPr>
          <w:p w14:paraId="72BC9A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BDF37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2F76D0C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40A61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14:paraId="6746C3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3—1.【法律】《中华人民共和国行政许可法》第三十七条：行政机关对行政许可申请进行审.查后，除了当场作出行政许可决定的，应在法定期限内按照规定程序作出行政许可决定。</w:t>
            </w:r>
          </w:p>
          <w:p w14:paraId="3EFF60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BCA24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4—1.【法律】《中华人民共和国行政许可法》第四十条：行政机关作出的准予行政许可决定，应当予以公开，公众有权查阅。</w:t>
            </w:r>
          </w:p>
          <w:p w14:paraId="6709C3D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4-2【法律】《中华人民共和国行政许可法》第四十四条：行政机关作出准予行政许可的决定，应当自作出决定之日起十日内向申请人颁发、送达行政许可证件、或者加贴标签、加盖检验、检测、检疫印章。</w:t>
            </w:r>
          </w:p>
          <w:p w14:paraId="10961A6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14:paraId="5469C81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14:paraId="17622B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1.对符合条件的不予受理或不予审核通过；</w:t>
            </w:r>
          </w:p>
          <w:p w14:paraId="252FE8A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2.对不符合条件而通过审核的；</w:t>
            </w:r>
          </w:p>
          <w:p w14:paraId="7DA961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3.未在法定时限做出审核结论，产生不良影响的；</w:t>
            </w:r>
          </w:p>
          <w:p w14:paraId="587EB04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4.对审核中发现问题，不及时处理的； </w:t>
            </w:r>
          </w:p>
          <w:p w14:paraId="7BFE9A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5.工作人员滥用职权、徇私舞弊、玩忽职守的；</w:t>
            </w:r>
          </w:p>
          <w:p w14:paraId="48B7341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6.其他违反法律法规政策规定的行为。</w:t>
            </w:r>
          </w:p>
          <w:p w14:paraId="3F7575D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995EE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77F2247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411BEA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5F594F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61E8B61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38D0EC9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001E4F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5650B0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2491371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786FC9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2A80BD8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001CAC1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75B180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3216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295A356C">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8</w:t>
            </w:r>
          </w:p>
        </w:tc>
        <w:tc>
          <w:tcPr>
            <w:tcW w:w="308" w:type="dxa"/>
            <w:vAlign w:val="center"/>
          </w:tcPr>
          <w:p w14:paraId="2B69EC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14:paraId="3960D67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w:t>
            </w:r>
          </w:p>
        </w:tc>
        <w:tc>
          <w:tcPr>
            <w:tcW w:w="546" w:type="dxa"/>
            <w:vAlign w:val="center"/>
          </w:tcPr>
          <w:p w14:paraId="760CC95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3E1687DD">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3EB839B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4EA13E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 第七十六条第二款：滥伐林木的，由县级以上人民政府林业主管部门</w:t>
            </w:r>
            <w:r>
              <w:rPr>
                <w:rFonts w:hint="eastAsia" w:eastAsia="仿宋_GB2312"/>
                <w:color w:val="auto"/>
                <w:kern w:val="0"/>
                <w:sz w:val="20"/>
                <w:szCs w:val="20"/>
                <w:highlight w:val="none"/>
                <w:lang w:eastAsia="zh-CN"/>
              </w:rPr>
              <w:t>责令限期</w:t>
            </w:r>
            <w:r>
              <w:rPr>
                <w:rFonts w:hint="eastAsia" w:ascii="Times New Roman" w:hAnsi="Times New Roman" w:eastAsia="仿宋_GB2312"/>
                <w:color w:val="auto"/>
                <w:kern w:val="0"/>
                <w:sz w:val="20"/>
                <w:szCs w:val="20"/>
                <w:highlight w:val="none"/>
              </w:rPr>
              <w:t>在原地或者异地补种滥伐株数一倍以上三倍以下的树木，可以处滥伐林木价值三倍以上五倍以下的罚款。</w:t>
            </w:r>
          </w:p>
          <w:p w14:paraId="6DD209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规范性文件】《自治区党委编办关于印发〈广西赋予乡镇（街道）部分县级管理权限清单（第一批）〉的通知》（桂编办发〔2019〕195号）“对滥伐森林或者其他林木行为的处罚”赋权至乡镇人民政府（街道办事处）实施。</w:t>
            </w:r>
          </w:p>
        </w:tc>
        <w:tc>
          <w:tcPr>
            <w:tcW w:w="1871" w:type="dxa"/>
            <w:vAlign w:val="center"/>
          </w:tcPr>
          <w:p w14:paraId="6A44A0D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1.立案责任：通过举报、巡查（或者下级林业部门上报及其他机关移送的违法案件等），发现涉嫌的违法行为，予以审查，决定是否立案。</w:t>
            </w:r>
          </w:p>
          <w:p w14:paraId="545B6F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2.调查取证责任：指定专人负责，及时组织调查取证，通过搜集证据、现场了解核实情况等进行调查，制作笔录。调查时应出示执法证件，执法人员不得少于二人，依法回避。</w:t>
            </w:r>
          </w:p>
          <w:p w14:paraId="33A7F9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3.审查责任：审查案件调查报告，对案件违法事实、证据、调查取证程序、法律适用、处罚种类和幅度、当事人陈述和申辩理由等方面进行审查，提出处理意见。</w:t>
            </w:r>
          </w:p>
          <w:p w14:paraId="1AF1D48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4.告知责任：作出行政处罚决定前，应制作《行政处罚告知书》送达当事人，告知违法事实及其享有的陈述、申辩等权利。符合听证规定的，告知听证权。</w:t>
            </w:r>
          </w:p>
          <w:p w14:paraId="0D28C14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5.决定责任：据案件审查情况决定是否予以行政处罚。依法给予处罚的，制作行政处罚决定书。 对情节复杂或者重大违法行为给予较重的行政处罚，行政机关的负责人应当集体讨论决定。</w:t>
            </w:r>
          </w:p>
          <w:p w14:paraId="739C71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6.送达责任：当场送达或在七日内依照民事诉讼法的有关规定送达。</w:t>
            </w:r>
          </w:p>
          <w:p w14:paraId="72F364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7.执行责任：依照生效的行政处罚决定，自觉履行或强制执行。</w:t>
            </w:r>
          </w:p>
          <w:p w14:paraId="129491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8.其他法律法规规章文件规定应履行的责任。</w:t>
            </w:r>
          </w:p>
          <w:p w14:paraId="2928508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A786B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32E529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1.【部门规章】《林业行政处罚程序规定》（1996年林业部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14:paraId="15C9B4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556A4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14:paraId="5D28C8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C751B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2—2.【部门规章】《林业行政处罚程序规定》（1996年林业部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8号）第十五条：林业行政执法人员在调查处理林业行政处罚案件时与当事人有利害关系的，应当自行回避。</w:t>
            </w:r>
          </w:p>
          <w:p w14:paraId="58AA04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3.【部门规章】《林业行政处罚程序规定》（1996年林业部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14:paraId="41BCB9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238E76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4—2.【部门规章】《林业行政处罚程序规定》（1996年林业部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8号）第三十七条：林业行政主管部门作出责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14:paraId="3E1C9F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5—1.同3.</w:t>
            </w:r>
          </w:p>
          <w:p w14:paraId="3DADAAA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5—2.【法律】《中华人民共和国行政处罚法》第三十九条：行政机关依照本法第三十八条的规定给予行政处罚，应当制作行政处罚决定书。</w:t>
            </w:r>
          </w:p>
          <w:p w14:paraId="426642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6.【部门规章】《林业行政处罚程序规定》（1996年林业部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14:paraId="10EE3D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2035" w:type="dxa"/>
            <w:vAlign w:val="center"/>
          </w:tcPr>
          <w:p w14:paraId="5DE7FD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14:paraId="418516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14:paraId="243DB6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14:paraId="63C930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14:paraId="2F784E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14:paraId="085EC80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14:paraId="05B66E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14:paraId="5F2A9F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14:paraId="26060C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14:paraId="0869F1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14:paraId="5FFA56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10.其他违反法律法规政策规定的行为。</w:t>
            </w:r>
          </w:p>
          <w:p w14:paraId="60601A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5348B0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639896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5F2F7E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18F7FB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70663F2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128C9EE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78ED1D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77C272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5314150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4F991A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0F14BC8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2B48D41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24E1BF5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148581C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1F2D4E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7F6E004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018BED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653265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507AC0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5F89B2B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1D1A9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与《自治区党委编办关于印发〈广西赋予乡镇（街道）部分县级管理权限清单（第一批）〉的通知》（桂编办发〔2019〕195号）中的“对滥伐森林或者其他林木行为的处罚”为同一事项。</w:t>
            </w:r>
          </w:p>
        </w:tc>
      </w:tr>
      <w:tr w14:paraId="0A38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2D12911F">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9</w:t>
            </w:r>
          </w:p>
        </w:tc>
        <w:tc>
          <w:tcPr>
            <w:tcW w:w="308" w:type="dxa"/>
            <w:vAlign w:val="center"/>
          </w:tcPr>
          <w:p w14:paraId="5EAF05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14:paraId="7840413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违反乡村清洁规定行为的处罚</w:t>
            </w:r>
          </w:p>
        </w:tc>
        <w:tc>
          <w:tcPr>
            <w:tcW w:w="546" w:type="dxa"/>
            <w:vAlign w:val="center"/>
          </w:tcPr>
          <w:p w14:paraId="05EAF6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2E388554">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11403F3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253B59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【地方性法规】《广西壮族自治区乡村清洁</w:t>
            </w:r>
            <w:r>
              <w:rPr>
                <w:rFonts w:hint="eastAsia" w:ascii="Times New Roman" w:hAnsi="Times New Roman" w:eastAsia="仿宋_GB2312"/>
                <w:color w:val="auto"/>
                <w:kern w:val="0"/>
                <w:sz w:val="20"/>
                <w:szCs w:val="20"/>
                <w:highlight w:val="none"/>
              </w:rPr>
              <w:t>条例》（201</w:t>
            </w:r>
            <w:r>
              <w:rPr>
                <w:rFonts w:hint="default" w:ascii="Times New Roman" w:hAnsi="Times New Roman" w:eastAsia="仿宋_GB2312"/>
                <w:color w:val="auto"/>
                <w:kern w:val="0"/>
                <w:sz w:val="20"/>
                <w:szCs w:val="20"/>
                <w:highlight w:val="none"/>
              </w:rPr>
              <w:t>6年广西壮族自治区第十二届人民代表大</w:t>
            </w:r>
            <w:r>
              <w:rPr>
                <w:rFonts w:hint="eastAsia" w:ascii="Times New Roman" w:hAnsi="Times New Roman" w:eastAsia="仿宋_GB2312"/>
                <w:color w:val="auto"/>
                <w:kern w:val="0"/>
                <w:sz w:val="20"/>
                <w:szCs w:val="20"/>
                <w:highlight w:val="none"/>
              </w:rPr>
              <w:t>会公</w:t>
            </w:r>
            <w:r>
              <w:rPr>
                <w:rFonts w:hint="default" w:ascii="Times New Roman" w:hAnsi="Times New Roman" w:eastAsia="仿宋_GB2312"/>
                <w:color w:val="auto"/>
                <w:kern w:val="0"/>
                <w:sz w:val="20"/>
                <w:szCs w:val="20"/>
                <w:highlight w:val="none"/>
              </w:rPr>
              <w:t>告第13号</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第十二条：任何单位和个人不得侵占、损坏、擅自拆除、擅自关闭乡村卫生公厕、垃圾和污水处理等乡村清洁设施，或者擅自改变</w:t>
            </w:r>
            <w:r>
              <w:rPr>
                <w:rFonts w:hint="eastAsia" w:ascii="Times New Roman" w:hAnsi="Times New Roman" w:eastAsia="仿宋_GB2312"/>
                <w:color w:val="auto"/>
                <w:kern w:val="0"/>
                <w:sz w:val="20"/>
                <w:szCs w:val="20"/>
                <w:highlight w:val="none"/>
              </w:rPr>
              <w:t>其用途。</w:t>
            </w:r>
          </w:p>
          <w:p w14:paraId="2AAAAA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Fonts w:hint="eastAsia" w:ascii="Times New Roman" w:hAnsi="Times New Roman" w:eastAsia="仿宋_GB2312"/>
                <w:color w:val="auto"/>
                <w:kern w:val="0"/>
                <w:sz w:val="20"/>
                <w:szCs w:val="20"/>
                <w:highlight w:val="none"/>
              </w:rPr>
              <w:t>的行为。</w:t>
            </w:r>
          </w:p>
          <w:p w14:paraId="3CF86BD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第十九</w:t>
            </w:r>
            <w:r>
              <w:rPr>
                <w:rFonts w:hint="eastAsia" w:ascii="Times New Roman" w:hAnsi="Times New Roman" w:eastAsia="仿宋_GB2312"/>
                <w:color w:val="auto"/>
                <w:kern w:val="0"/>
                <w:sz w:val="20"/>
                <w:szCs w:val="20"/>
                <w:highlight w:val="none"/>
              </w:rPr>
              <w:t>条第</w:t>
            </w:r>
            <w:r>
              <w:rPr>
                <w:rFonts w:hint="default" w:ascii="Times New Roman" w:hAnsi="Times New Roman" w:eastAsia="仿宋_GB2312"/>
                <w:color w:val="auto"/>
                <w:kern w:val="0"/>
                <w:sz w:val="20"/>
                <w:szCs w:val="20"/>
                <w:highlight w:val="none"/>
              </w:rPr>
              <w:t>三款：任何单位和个人不得在非指定地点倾倒、抛撒或者堆放建</w:t>
            </w:r>
            <w:r>
              <w:rPr>
                <w:rFonts w:hint="eastAsia" w:ascii="Times New Roman" w:hAnsi="Times New Roman" w:eastAsia="仿宋_GB2312"/>
                <w:color w:val="auto"/>
                <w:kern w:val="0"/>
                <w:sz w:val="20"/>
                <w:szCs w:val="20"/>
                <w:highlight w:val="none"/>
              </w:rPr>
              <w:t>筑垃圾。</w:t>
            </w:r>
          </w:p>
          <w:p w14:paraId="198B33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第三十九条：违反本条例第十二条规定，侵占、损坏、擅自拆除、擅自关闭乡村卫生公厕、垃圾和污水处理等乡村清洁设施或者擅自改变其用途的，由乡镇人民政府或者其委托的乡镇综合执法机构责</w:t>
            </w:r>
            <w:r>
              <w:rPr>
                <w:rFonts w:hint="eastAsia" w:eastAsia="仿宋_GB2312"/>
                <w:color w:val="auto"/>
                <w:kern w:val="0"/>
                <w:sz w:val="20"/>
                <w:szCs w:val="20"/>
                <w:highlight w:val="none"/>
                <w:lang w:eastAsia="zh-CN"/>
              </w:rPr>
              <w:t>令第</w:t>
            </w:r>
            <w:r>
              <w:rPr>
                <w:rFonts w:hint="default" w:ascii="Times New Roman" w:hAnsi="Times New Roman" w:eastAsia="仿宋_GB2312"/>
                <w:color w:val="auto"/>
                <w:kern w:val="0"/>
                <w:sz w:val="20"/>
                <w:szCs w:val="20"/>
                <w:highlight w:val="none"/>
              </w:rPr>
              <w:t>恢复原状，对单位可以并处一千元以上一万元以下罚款，对个人可以并处十元以上一百元以</w:t>
            </w:r>
            <w:r>
              <w:rPr>
                <w:rFonts w:hint="eastAsia" w:ascii="Times New Roman" w:hAnsi="Times New Roman" w:eastAsia="仿宋_GB2312"/>
                <w:color w:val="auto"/>
                <w:kern w:val="0"/>
                <w:sz w:val="20"/>
                <w:szCs w:val="20"/>
                <w:highlight w:val="none"/>
              </w:rPr>
              <w:t>下罚款。</w:t>
            </w:r>
          </w:p>
          <w:p w14:paraId="2FEA68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第四十条：违反本条例第十七条第一项、第二项、第三项、第六项规定，有下列行为之一的，由乡镇人民政府或者其委托的乡镇综合执法机构给予警告，并</w:t>
            </w:r>
            <w:r>
              <w:rPr>
                <w:rFonts w:hint="eastAsia" w:eastAsia="仿宋_GB2312"/>
                <w:color w:val="auto"/>
                <w:kern w:val="0"/>
                <w:sz w:val="20"/>
                <w:szCs w:val="20"/>
                <w:highlight w:val="none"/>
                <w:lang w:eastAsia="zh-CN"/>
              </w:rPr>
              <w:t>责令限期</w:t>
            </w:r>
            <w:r>
              <w:rPr>
                <w:rFonts w:hint="default" w:ascii="Times New Roman" w:hAnsi="Times New Roman" w:eastAsia="仿宋_GB2312"/>
                <w:color w:val="auto"/>
                <w:kern w:val="0"/>
                <w:sz w:val="20"/>
                <w:szCs w:val="20"/>
                <w:highlight w:val="none"/>
              </w:rPr>
              <w:t>改正；逾期未改正的，对单位处五十元以上五百元以下罚款，对个人处五十元以下罚款；多次有下列行为之一的，对单位处五百元以上五千元以下罚款，对个人处五十元以上二百元</w:t>
            </w:r>
            <w:r>
              <w:rPr>
                <w:rFonts w:hint="eastAsia" w:ascii="Times New Roman" w:hAnsi="Times New Roman" w:eastAsia="仿宋_GB2312"/>
                <w:color w:val="auto"/>
                <w:kern w:val="0"/>
                <w:sz w:val="20"/>
                <w:szCs w:val="20"/>
                <w:highlight w:val="none"/>
              </w:rPr>
              <w:t>以</w:t>
            </w:r>
            <w:r>
              <w:rPr>
                <w:rFonts w:hint="default" w:ascii="Times New Roman" w:hAnsi="Times New Roman" w:eastAsia="仿宋_GB2312"/>
                <w:color w:val="auto"/>
                <w:kern w:val="0"/>
                <w:sz w:val="20"/>
                <w:szCs w:val="20"/>
                <w:highlight w:val="none"/>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Fonts w:hint="eastAsia" w:ascii="Times New Roman" w:hAnsi="Times New Roman" w:eastAsia="仿宋_GB2312"/>
                <w:color w:val="auto"/>
                <w:kern w:val="0"/>
                <w:sz w:val="20"/>
                <w:szCs w:val="20"/>
                <w:highlight w:val="none"/>
              </w:rPr>
              <w:t>行为的。</w:t>
            </w:r>
          </w:p>
          <w:p w14:paraId="1FDEFB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第四十一条：违反本条例第十九条第三款规定，在非指定地点倾倒、抛撒或者堆放建筑垃圾的，由乡镇人民政府或者其委托的乡镇综合执法机构</w:t>
            </w:r>
            <w:r>
              <w:rPr>
                <w:rFonts w:hint="eastAsia" w:eastAsia="仿宋_GB2312"/>
                <w:color w:val="auto"/>
                <w:kern w:val="0"/>
                <w:sz w:val="20"/>
                <w:szCs w:val="20"/>
                <w:highlight w:val="none"/>
                <w:lang w:eastAsia="zh-CN"/>
              </w:rPr>
              <w:t>责令限期</w:t>
            </w:r>
            <w:r>
              <w:rPr>
                <w:rFonts w:hint="default" w:ascii="Times New Roman" w:hAnsi="Times New Roman" w:eastAsia="仿宋_GB2312"/>
                <w:color w:val="auto"/>
                <w:kern w:val="0"/>
                <w:sz w:val="20"/>
                <w:szCs w:val="20"/>
                <w:highlight w:val="none"/>
              </w:rPr>
              <w:t>改正；逾期未改正的，对单位处一千元以上一万元以下罚款，对个人处二十元以上二百元以下罚款；情节严重的，对单位处一万元以上五万元以下罚款，对个人处二百元以上一千元以下罚款。</w:t>
            </w:r>
          </w:p>
        </w:tc>
        <w:tc>
          <w:tcPr>
            <w:tcW w:w="1871" w:type="dxa"/>
            <w:vAlign w:val="center"/>
          </w:tcPr>
          <w:p w14:paraId="6A146CE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14:paraId="3630FA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14:paraId="649017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14:paraId="68E68A8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14:paraId="4127DF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14:paraId="627923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14:paraId="6A7B8D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14:paraId="0E9713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14:paraId="4B4BEAB6">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9.其他法律法规规章文件规定应履行的责任。</w:t>
            </w:r>
          </w:p>
          <w:p w14:paraId="63AF8BB9">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14:paraId="746209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6A6FD52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14:paraId="1A7D36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14:paraId="1C2276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A31ED2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14:paraId="2F8D75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14:paraId="0A52EF9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E9BB4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14:paraId="0CD7321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14:paraId="4CFFBC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97C16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14:paraId="468BA2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14:paraId="79CF32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8.【法律】《中华人民共和国行政处罚法》第五十四条：行政机关应当建立健全对行政处罚的监督制度。县级以上人民政府应当加强对行政处罚的监督检查。</w:t>
            </w:r>
          </w:p>
        </w:tc>
        <w:tc>
          <w:tcPr>
            <w:tcW w:w="2035" w:type="dxa"/>
            <w:vAlign w:val="center"/>
          </w:tcPr>
          <w:p w14:paraId="4792835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14:paraId="4CB56C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14:paraId="546A9B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14:paraId="176D1A3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14:paraId="5372C9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14:paraId="46975D1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14:paraId="4963C15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14:paraId="02A513C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14:paraId="70EEB9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14:paraId="4D05C01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14:paraId="6DEF80B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14:paraId="4FA5A43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5829667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344D6F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392D61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308B825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55FE41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26070C5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57E44CC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1E0868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03E977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47299B1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39A5AE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0E259CC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29FDEEC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114A98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672B3BD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37CE816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3CFB11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1A3D3C2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7B64CC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09AAAC6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3487BD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0716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1E5114A0">
            <w:pPr>
              <w:shd w:val="clear"/>
              <w:adjustRightInd w:val="0"/>
              <w:snapToGrid w:val="0"/>
              <w:spacing w:line="262"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10</w:t>
            </w:r>
          </w:p>
        </w:tc>
        <w:tc>
          <w:tcPr>
            <w:tcW w:w="308" w:type="dxa"/>
            <w:vAlign w:val="center"/>
          </w:tcPr>
          <w:p w14:paraId="4A808B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14:paraId="1DCF4B8C">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对违反规定擅自占用和损坏乡村公共设施行为的处罚</w:t>
            </w:r>
          </w:p>
        </w:tc>
        <w:tc>
          <w:tcPr>
            <w:tcW w:w="546" w:type="dxa"/>
            <w:vAlign w:val="center"/>
          </w:tcPr>
          <w:p w14:paraId="61FBBC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1F567A3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1E386E6E">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23358C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【地方性法规】《广西壮族自治区乡村规划建设管理条例》（2018年广西壮族自治区第十三届人民代表大会常务委员会公告第13号）第五十条第二款：任何单位和个人不得擅自占用和损坏乡村公</w:t>
            </w:r>
            <w:r>
              <w:rPr>
                <w:rFonts w:hint="eastAsia" w:ascii="Times New Roman" w:hAnsi="Times New Roman" w:eastAsia="仿宋_GB2312"/>
                <w:color w:val="auto"/>
                <w:kern w:val="0"/>
                <w:sz w:val="20"/>
                <w:szCs w:val="20"/>
                <w:highlight w:val="none"/>
              </w:rPr>
              <w:t>共设施。</w:t>
            </w:r>
          </w:p>
          <w:p w14:paraId="60D10D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六十</w:t>
            </w:r>
            <w:r>
              <w:rPr>
                <w:rFonts w:hint="default" w:ascii="Times New Roman" w:hAnsi="Times New Roman" w:eastAsia="仿宋_GB2312"/>
                <w:color w:val="auto"/>
                <w:kern w:val="0"/>
                <w:sz w:val="20"/>
                <w:szCs w:val="20"/>
                <w:highlight w:val="none"/>
              </w:rPr>
              <w:t>二条： 违反本条例第五十条第二款规定，擅自占用和损坏乡村公共设施的，由乡（镇）人民政府或者其委托的乡（镇）综合执法机构责</w:t>
            </w:r>
            <w:r>
              <w:rPr>
                <w:rFonts w:hint="eastAsia" w:eastAsia="仿宋_GB2312"/>
                <w:color w:val="auto"/>
                <w:kern w:val="0"/>
                <w:sz w:val="20"/>
                <w:szCs w:val="20"/>
                <w:highlight w:val="none"/>
                <w:lang w:eastAsia="zh-CN"/>
              </w:rPr>
              <w:t>令第</w:t>
            </w:r>
            <w:r>
              <w:rPr>
                <w:rFonts w:hint="default" w:ascii="Times New Roman" w:hAnsi="Times New Roman" w:eastAsia="仿宋_GB2312"/>
                <w:color w:val="auto"/>
                <w:kern w:val="0"/>
                <w:sz w:val="20"/>
                <w:szCs w:val="20"/>
                <w:highlight w:val="none"/>
              </w:rPr>
              <w:t>恢复原状，对单位可以处一千元以上一万元以下罚款，对个人可以处十元以上一百元以下罚款；造成损失的，应当依法承担赔</w:t>
            </w:r>
            <w:r>
              <w:rPr>
                <w:rFonts w:hint="eastAsia" w:ascii="Times New Roman" w:hAnsi="Times New Roman" w:eastAsia="仿宋_GB2312"/>
                <w:color w:val="auto"/>
                <w:kern w:val="0"/>
                <w:sz w:val="20"/>
                <w:szCs w:val="20"/>
                <w:highlight w:val="none"/>
              </w:rPr>
              <w:t>偿责任。</w:t>
            </w:r>
          </w:p>
        </w:tc>
        <w:tc>
          <w:tcPr>
            <w:tcW w:w="1871" w:type="dxa"/>
            <w:vAlign w:val="center"/>
          </w:tcPr>
          <w:p w14:paraId="41B4644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14:paraId="1D0800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14:paraId="14147E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14:paraId="3649D2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14:paraId="09F5D8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14:paraId="605AEB7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14:paraId="0C70544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14:paraId="2851D5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14:paraId="4FF6BA5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w:t>
            </w:r>
            <w:r>
              <w:rPr>
                <w:rFonts w:hint="eastAsia" w:ascii="Times New Roman" w:hAnsi="Times New Roman" w:eastAsia="仿宋_GB2312"/>
                <w:color w:val="auto"/>
                <w:kern w:val="0"/>
                <w:sz w:val="20"/>
                <w:szCs w:val="20"/>
                <w:highlight w:val="none"/>
              </w:rPr>
              <w:t>履行的责任。</w:t>
            </w:r>
          </w:p>
          <w:p w14:paraId="2C929CB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5536C1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23DFFA70">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14:paraId="3E76F11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14:paraId="34D0F7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EB20DA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14:paraId="79B5939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14:paraId="7D2EDB5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4D51F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14:paraId="2FA7E5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p>
          <w:p w14:paraId="04D1C5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14:paraId="499554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4E8CE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14:paraId="2BCFDE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14:paraId="43A7FB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w:t>
            </w:r>
            <w:r>
              <w:rPr>
                <w:rFonts w:hint="eastAsia" w:ascii="Times New Roman" w:hAnsi="Times New Roman" w:eastAsia="仿宋_GB2312"/>
                <w:color w:val="auto"/>
                <w:kern w:val="0"/>
                <w:sz w:val="20"/>
                <w:szCs w:val="20"/>
                <w:highlight w:val="none"/>
              </w:rPr>
              <w:t>的监督检查。</w:t>
            </w:r>
          </w:p>
        </w:tc>
        <w:tc>
          <w:tcPr>
            <w:tcW w:w="2035" w:type="dxa"/>
            <w:vAlign w:val="center"/>
          </w:tcPr>
          <w:p w14:paraId="4703BC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因不履行或不正确履行行政职责，有下列情形的，行政机关及相关工作人员应承担相应责任：</w:t>
            </w:r>
          </w:p>
          <w:p w14:paraId="198953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1.对应当予以制止和处罚的违法行为不予制止、处罚的；</w:t>
            </w:r>
          </w:p>
          <w:p w14:paraId="5F0489F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2.没有法律和事实依据实施行政处罚的；</w:t>
            </w:r>
          </w:p>
          <w:p w14:paraId="39E64C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3.因处罚不当给当事人造成损失的；</w:t>
            </w:r>
          </w:p>
          <w:p w14:paraId="45EA7DA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4.执法人员玩忽职守，对应当予以制止和处罚的违法行为不予制止、处罚，致使公民、法人或者其他组织的合法权益、公共利益和社会秩序遭受损害的；</w:t>
            </w:r>
          </w:p>
          <w:p w14:paraId="032F04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5.不具备行政执法资格实施行政处罚的；</w:t>
            </w:r>
          </w:p>
          <w:p w14:paraId="372E19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6.擅自改变行政处罚种类、幅度的；</w:t>
            </w:r>
          </w:p>
          <w:p w14:paraId="39111A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7.违反法定的行政处罚程序的；</w:t>
            </w:r>
          </w:p>
          <w:p w14:paraId="02685C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8.符合听证条件、行政管理相对人要求听证，应予组织听证而不组织听证的；</w:t>
            </w:r>
          </w:p>
          <w:p w14:paraId="7E45433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9.在行政处罚过程中发生腐败行为的；</w:t>
            </w:r>
          </w:p>
          <w:p w14:paraId="524FA5C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14:paraId="3E249BC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1BD50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19D64C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1DE0668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30D7075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26168B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5673F2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743C86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17985A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0D14D6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6978C4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56E00B3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7C96DD1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082D4A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660B6A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25F991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2359E07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58408B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360B2C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7DEF56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3030089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28E74C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000E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3635261">
            <w:pPr>
              <w:shd w:val="clear"/>
              <w:adjustRightInd w:val="0"/>
              <w:snapToGrid w:val="0"/>
              <w:spacing w:line="267" w:lineRule="exact"/>
              <w:jc w:val="center"/>
              <w:rPr>
                <w:rFonts w:hint="eastAsia"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11</w:t>
            </w:r>
          </w:p>
        </w:tc>
        <w:tc>
          <w:tcPr>
            <w:tcW w:w="308" w:type="dxa"/>
            <w:vAlign w:val="center"/>
          </w:tcPr>
          <w:p w14:paraId="6BE1185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政强制</w:t>
            </w:r>
          </w:p>
        </w:tc>
        <w:tc>
          <w:tcPr>
            <w:tcW w:w="504" w:type="dxa"/>
            <w:vAlign w:val="center"/>
          </w:tcPr>
          <w:p w14:paraId="0FC541DE">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w:t>
            </w:r>
          </w:p>
        </w:tc>
        <w:tc>
          <w:tcPr>
            <w:tcW w:w="546" w:type="dxa"/>
            <w:vAlign w:val="center"/>
          </w:tcPr>
          <w:p w14:paraId="28657F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543E7B5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42BD8D54">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18ED1BE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14:paraId="7320616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恢复植被和林业生产条件、树木补种的标准，由省级以上人民政府林业主管部门制定。</w:t>
            </w:r>
          </w:p>
          <w:p w14:paraId="5FFED52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2.【行政法规】《中华人民共和国森林法实施条例》（2000年国务院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278号发布，2018年国务院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698号修订）第四十一条：违反本条例规定，毁林采种或者违反操作技术规程采脂、挖笋、掘根、剥树皮及过度修枝，致使森林、林木受到毁坏的，依法赔偿损失，由县级以上人民政府林业主管部门责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停止违法行为，补种毁坏株数1倍至3倍的树木，可以处毁坏林木价值1倍至5倍的罚款；拒不补种树木或者补种不符合国家有关规定的，由县级以上人民政府林业主管部门组织代为补种，所需费用由违法者支付。</w:t>
            </w:r>
          </w:p>
          <w:p w14:paraId="2B6AC2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违反森林法和本条例规定，擅自开垦林地，致使森林、林木受到毁坏的，依照森林法第四十四条的规定予以处罚……。</w:t>
            </w:r>
          </w:p>
          <w:p w14:paraId="2B294E88">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3.【规范性文件】《自治区党委编办关于印发〈广西赋予乡镇（街道）部分县级管理权限清单（第一批）〉的通知》（桂编办发〔2019〕195号） “代为补种树木”赋权至乡镇人民政府（街道办事处）实施。</w:t>
            </w:r>
          </w:p>
        </w:tc>
        <w:tc>
          <w:tcPr>
            <w:tcW w:w="1871" w:type="dxa"/>
            <w:vAlign w:val="center"/>
          </w:tcPr>
          <w:p w14:paraId="2D84172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1.审查催告责任：审查当事人是否逾期未履行义务；书面催告当事人履行义务的期限、方式（涉及金钱给付的，明确告知金额和给付方式）及享有的陈述权和申辩权，催告当事人履行义务。</w:t>
            </w:r>
          </w:p>
          <w:p w14:paraId="7E1E91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2.决定责任：充分听取当事人提出的事实、理由和证据，进行记录和复核，无正当理由的，向本行政机关负责人报告，经批准作出代履行决定书并送达当事人。</w:t>
            </w:r>
          </w:p>
          <w:p w14:paraId="7B14F1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3.代履行责任：代履行三日前，催告当事人履行，当事人履行的，停止代履行；代履行时到场监督；代履行完毕，到场监督的工作人员、代履行人和当事人或者见证人在执行文书上签名或者盖章。</w:t>
            </w:r>
          </w:p>
          <w:p w14:paraId="407703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4.追缴代履行费用责任：核算代履行费用，并向被履行单位追缴费用。</w:t>
            </w:r>
          </w:p>
          <w:p w14:paraId="5C77D1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0F23DB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56DF8E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587FA2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2C09D1C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14:paraId="4F88C5E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14:paraId="50CB4D0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4.【法律】《中华人民共和国行政强制法》第五十一条第二款：代履行的费用按照成本合理确定，由当事人承担。但是，法律另有规定的除外。</w:t>
            </w:r>
          </w:p>
        </w:tc>
        <w:tc>
          <w:tcPr>
            <w:tcW w:w="2035" w:type="dxa"/>
            <w:vAlign w:val="center"/>
          </w:tcPr>
          <w:p w14:paraId="6B08F7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行政机关实施行政强制，有下列情形之一的，由上级行政机关或者有关部门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48621F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1.没有法律、法规依据的；</w:t>
            </w:r>
          </w:p>
          <w:p w14:paraId="5EBF115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2.改变行政强制对象、条件、方式的；</w:t>
            </w:r>
          </w:p>
          <w:p w14:paraId="639486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3.违反法定程序实施行政强制的；</w:t>
            </w:r>
          </w:p>
          <w:p w14:paraId="2B74FD6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4.在夜间或者法定节假日实施行政强制执行的；</w:t>
            </w:r>
          </w:p>
          <w:p w14:paraId="6E898E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5.对居民生活采取停止供水、供电、供热、供燃气等方式迫使当事人履行相关行政决定的；</w:t>
            </w:r>
          </w:p>
          <w:p w14:paraId="12BD95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6.扩大查封、扣押、冻结范围的；</w:t>
            </w:r>
          </w:p>
          <w:p w14:paraId="70BC70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7.使用或者损毁查封、扣押场所、设施或者财物的；</w:t>
            </w:r>
          </w:p>
          <w:p w14:paraId="7EE238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8.在查封、扣押法定期间不作出处理决定或者未依法及时解除查封、扣押的；</w:t>
            </w:r>
          </w:p>
          <w:p w14:paraId="2162ED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9.在冻结存款、汇款法定期间不作出处理决定或者未依法及时解除冻结的；</w:t>
            </w:r>
          </w:p>
          <w:p w14:paraId="579072C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10.将查封、扣押的财物或者划拨的存款、汇款以及拍卖和依法处理所得的款项，截留、私分或者变相私分的；</w:t>
            </w:r>
          </w:p>
          <w:p w14:paraId="22D961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11.利用职务上的便利，将查封、扣押的场所、设施或者财物据为己有的；</w:t>
            </w:r>
          </w:p>
          <w:p w14:paraId="49B7600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12.利用行政强制权为单位或者个人谋取利益的；</w:t>
            </w:r>
          </w:p>
          <w:p w14:paraId="1668F8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13.违反法律规定，给公民、法人或者其他组织造成损失的；</w:t>
            </w:r>
          </w:p>
          <w:p w14:paraId="11790D1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14.有其他违法实施行政强制情形的。</w:t>
            </w:r>
          </w:p>
          <w:p w14:paraId="1FA2750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889B7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p w14:paraId="3C0CC0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3826" w:type="dxa"/>
            <w:vAlign w:val="center"/>
          </w:tcPr>
          <w:p w14:paraId="65828F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1.【法律】《中华人民共和国行政强制法》  </w:t>
            </w:r>
          </w:p>
          <w:p w14:paraId="34BED0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行政机关实施行政强制，有下列情形之一的，由上级行政机关或者有关部门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6E24CD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违反本法规定，行政机关有下列情形之一的，由上级行政机关或者有关部门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4AB987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3A9C40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2CA637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行政机关工作人员利用职务上的便利，将查封、扣押的场所、设施或者财物据为己有的，由上级行政机关或者有关部门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，依法给予记大过、降级、撤职或者开除的处分。</w:t>
            </w:r>
          </w:p>
          <w:p w14:paraId="5FE1399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行政机关及其工作人员利用行政强制权为单位或者个人谋取利益的，由上级行政机关或者有关部门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614E3B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192EA1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534E02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与《自治区党委编办关于印发〈广西赋予乡镇（街道）部分县级管理权限清单（第一批）〉的通知》（桂编办发〔2019〕195号）中的“代为补种树木”为同一事项。</w:t>
            </w:r>
          </w:p>
        </w:tc>
      </w:tr>
      <w:tr w14:paraId="20D6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71D5A174">
            <w:pPr>
              <w:shd w:val="clear"/>
              <w:adjustRightInd w:val="0"/>
              <w:snapToGrid w:val="0"/>
              <w:spacing w:line="30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12</w:t>
            </w:r>
          </w:p>
        </w:tc>
        <w:tc>
          <w:tcPr>
            <w:tcW w:w="308" w:type="dxa"/>
            <w:vAlign w:val="center"/>
          </w:tcPr>
          <w:p w14:paraId="778630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政征收</w:t>
            </w:r>
          </w:p>
        </w:tc>
        <w:tc>
          <w:tcPr>
            <w:tcW w:w="504" w:type="dxa"/>
            <w:vAlign w:val="center"/>
          </w:tcPr>
          <w:p w14:paraId="7523C5A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社会抚养费征收</w:t>
            </w:r>
          </w:p>
        </w:tc>
        <w:tc>
          <w:tcPr>
            <w:tcW w:w="546" w:type="dxa"/>
            <w:vAlign w:val="center"/>
          </w:tcPr>
          <w:p w14:paraId="46998C5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377B8263">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38E0A616">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071DBA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1.【法律】《中华人民共和国人口与计划生育法》第四十一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不符合本法第十八条规定生育子女的公民，应当依法缴纳社会抚养费。</w:t>
            </w:r>
          </w:p>
          <w:p w14:paraId="3D58799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2.【行政法规】《社会抚养费征收管理办法》（2002年国务院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357号）第三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14:paraId="14F5F7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人口和计划生育条例》（2012年广西壮族自治区第十一届人民代表大会常务委员会第二十七次会议通过，2020年广西壮族自治区第十三届人民代表大会常务委员会第十八次会议第四次修正）第三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14:paraId="0DF8D4BE">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地方政府规章</w:t>
            </w:r>
            <w:r>
              <w:rPr>
                <w:rFonts w:hint="eastAsia" w:ascii="Times New Roman" w:hAnsi="Times New Roman" w:eastAsia="仿宋_GB2312"/>
                <w:color w:val="auto"/>
                <w:kern w:val="0"/>
                <w:sz w:val="20"/>
                <w:szCs w:val="20"/>
                <w:highlight w:val="none"/>
              </w:rPr>
              <w:t>】《广西壮族自治区人口和计划生育管理办法》（2014年广西壮族自治区人民政府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第102号公布，2019年广西壮族自治区人民政府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130号修正）第二十二条第三款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社会抚养费的征收由县级卫生健康主管部门统一作书面征收决定书，委托乡镇人民政府或者城市街道办事处代收代缴。</w:t>
            </w:r>
          </w:p>
        </w:tc>
        <w:tc>
          <w:tcPr>
            <w:tcW w:w="1871" w:type="dxa"/>
            <w:vAlign w:val="center"/>
          </w:tcPr>
          <w:p w14:paraId="7C790F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1.受理阶段责任：公示告知征收标准、金额计算方式、征收适用类型、征收方式以及其他应当公示的内容；</w:t>
            </w:r>
          </w:p>
          <w:p w14:paraId="415A69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2.审核责任:审查社会扶养费征收的批准材料，对照材料，审查符合的征收标准；</w:t>
            </w:r>
          </w:p>
          <w:p w14:paraId="1E08945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3.确定阶段责任：对照标准，计算并确认缴费数额，并要严格按照规定的范围、标准和时限要求征收社会抚养。</w:t>
            </w:r>
          </w:p>
          <w:p w14:paraId="14F6F0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4.事后监管阶段责任：对未及时缴费进行催报催缴。</w:t>
            </w:r>
          </w:p>
          <w:p w14:paraId="5FD10D9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681820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07D2A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4A054E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【行政法规】《社会抚养费征收管理办法》第三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14:paraId="1BF273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14:paraId="6FDDED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任何单位和个人不得违反法律、法规的规定擅自增设与计划生育有关的收费项目，提高社会抚养费征收标准。</w:t>
            </w:r>
          </w:p>
          <w:p w14:paraId="333A6D1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社会抚养费及滞纳金应当全部上缴国库，按照国务院财政部门的规定纳入地方财政预算管理；任何单位和个人不得截留、挪用、贪污、私分。</w:t>
            </w:r>
          </w:p>
          <w:p w14:paraId="43BBBE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2.同1</w:t>
            </w:r>
          </w:p>
          <w:p w14:paraId="6B4A8C6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3.同1</w:t>
            </w:r>
          </w:p>
          <w:p w14:paraId="48447B5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4.同1</w:t>
            </w:r>
          </w:p>
        </w:tc>
        <w:tc>
          <w:tcPr>
            <w:tcW w:w="2035" w:type="dxa"/>
            <w:vAlign w:val="center"/>
          </w:tcPr>
          <w:p w14:paraId="057B44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14:paraId="0771AF1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1.对查实的违法生育未依法启动征收程序的；</w:t>
            </w:r>
          </w:p>
          <w:p w14:paraId="31F48B8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2.无合法依据或未按程序实施征收的；</w:t>
            </w:r>
          </w:p>
          <w:p w14:paraId="515A66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3.无合法依据擅自降低或提高征收标准的；</w:t>
            </w:r>
          </w:p>
          <w:p w14:paraId="0414983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4.未使用规定票据或伪造、涂改票据的；</w:t>
            </w:r>
          </w:p>
          <w:p w14:paraId="3305540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5.在征收工作中玩忽职守、滥用职权、发生违法行政和腐败行为的；</w:t>
            </w:r>
          </w:p>
          <w:p w14:paraId="20CC34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6.截留、挪用、贪污、私分或违反规定擅自开支补偿费的；</w:t>
            </w:r>
          </w:p>
          <w:p w14:paraId="7583814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7.其他违反法律法规政策规定的行为。</w:t>
            </w:r>
          </w:p>
          <w:p w14:paraId="023E387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7BBCF3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503420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14:paraId="367180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国家机关工作人员在计划生育工作中，有下列行为之一，构成犯罪的，依法追究刑事责任；尚不构成犯罪的，依法给予处分；有违法所得的，没收违法所得:</w:t>
            </w:r>
          </w:p>
          <w:p w14:paraId="25473FF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（一）侵犯公民人身权、财产权和其他合法权益的；</w:t>
            </w:r>
          </w:p>
          <w:p w14:paraId="3B9514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（二）滥用职权、玩忽职守、徇私舞弊的；</w:t>
            </w:r>
          </w:p>
          <w:p w14:paraId="08F113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（三）索取、收受贿赂的；</w:t>
            </w:r>
          </w:p>
          <w:p w14:paraId="7FC015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（四）截留、克扣、挪用、贪污计划生育经费的；</w:t>
            </w:r>
          </w:p>
          <w:p w14:paraId="6FCC29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（五）虚报、瞒报、伪造、篡改或者拒报人口与计划生育统计数据的。</w:t>
            </w:r>
          </w:p>
          <w:p w14:paraId="5E14A1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2.【规章】《社会抚养费征收管理办法</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lang w:val="en-US" w:eastAsia="zh-CN"/>
              </w:rPr>
              <w:t>2021年</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w:t>
            </w:r>
          </w:p>
          <w:p w14:paraId="675E739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第十三条　违反法律、法规的规定，擅自增设与计划生育有关的收费项目或者擅自提高社会抚养费征收标准的，依照《违反行政事业性收费和罚没收入收支两条线管理规定行政处分暂行规定》处理。</w:t>
            </w:r>
          </w:p>
          <w:p w14:paraId="1B060E69">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第十四条　截留、挪用、贪污、私分社会抚养费的，依照</w:t>
            </w:r>
            <w:r>
              <w:rPr>
                <w:rFonts w:hint="default" w:ascii="Times New Roman" w:hAnsi="Times New Roman" w:eastAsia="仿宋_GB2312"/>
                <w:color w:val="auto"/>
                <w:kern w:val="0"/>
                <w:sz w:val="20"/>
                <w:szCs w:val="20"/>
                <w:highlight w:val="none"/>
              </w:rPr>
              <w:fldChar w:fldCharType="begin"/>
            </w:r>
            <w:r>
              <w:rPr>
                <w:rFonts w:hint="default" w:ascii="Times New Roman" w:hAnsi="Times New Roman" w:eastAsia="仿宋_GB2312"/>
                <w:color w:val="auto"/>
                <w:kern w:val="0"/>
                <w:sz w:val="20"/>
                <w:szCs w:val="20"/>
                <w:highlight w:val="none"/>
              </w:rPr>
              <w:instrText xml:space="preserve"> HYPERLINK "http://www.jiuwenlaw.com/fagui/1597.html" \t "https://www.jiuwenlaw.com/fagui/_blank" </w:instrText>
            </w:r>
            <w:r>
              <w:rPr>
                <w:rFonts w:hint="default" w:ascii="Times New Roman" w:hAnsi="Times New Roman" w:eastAsia="仿宋_GB2312"/>
                <w:color w:val="auto"/>
                <w:kern w:val="0"/>
                <w:sz w:val="20"/>
                <w:szCs w:val="20"/>
                <w:highlight w:val="none"/>
              </w:rPr>
              <w:fldChar w:fldCharType="separate"/>
            </w:r>
            <w:r>
              <w:rPr>
                <w:rFonts w:hint="default" w:ascii="Times New Roman" w:hAnsi="Times New Roman" w:eastAsia="仿宋_GB2312"/>
                <w:color w:val="auto"/>
                <w:kern w:val="0"/>
                <w:sz w:val="20"/>
                <w:szCs w:val="20"/>
                <w:highlight w:val="none"/>
              </w:rPr>
              <w:t>刑法</w:t>
            </w:r>
            <w:r>
              <w:rPr>
                <w:rFonts w:hint="default" w:ascii="Times New Roman" w:hAnsi="Times New Roman" w:eastAsia="仿宋_GB2312"/>
                <w:color w:val="auto"/>
                <w:kern w:val="0"/>
                <w:sz w:val="20"/>
                <w:szCs w:val="20"/>
                <w:highlight w:val="none"/>
              </w:rPr>
              <w:fldChar w:fldCharType="end"/>
            </w:r>
            <w:r>
              <w:rPr>
                <w:rFonts w:hint="default" w:ascii="Times New Roman" w:hAnsi="Times New Roman" w:eastAsia="仿宋_GB2312"/>
                <w:color w:val="auto"/>
                <w:kern w:val="0"/>
                <w:sz w:val="20"/>
                <w:szCs w:val="20"/>
                <w:highlight w:val="none"/>
              </w:rPr>
              <w:t>关于贪污罪、挪用公款罪、私分国有资产罪的规定，依法追究刑事责任;尚不够刑事处罚的，对直接负责的主管人员和其他直接责任人员依法给予降级、撤职或者开除的行政处分。</w:t>
            </w:r>
          </w:p>
          <w:p w14:paraId="46A8A90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3E6B854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21E0FC3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0ECA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EC59010">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13</w:t>
            </w:r>
          </w:p>
        </w:tc>
        <w:tc>
          <w:tcPr>
            <w:tcW w:w="308" w:type="dxa"/>
            <w:vAlign w:val="center"/>
          </w:tcPr>
          <w:p w14:paraId="421B7B3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给付</w:t>
            </w:r>
          </w:p>
        </w:tc>
        <w:tc>
          <w:tcPr>
            <w:tcW w:w="504" w:type="dxa"/>
            <w:vAlign w:val="center"/>
          </w:tcPr>
          <w:p w14:paraId="0043ED03">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最低生活保障救助资金的给付</w:t>
            </w:r>
          </w:p>
        </w:tc>
        <w:tc>
          <w:tcPr>
            <w:tcW w:w="546" w:type="dxa"/>
            <w:vAlign w:val="center"/>
          </w:tcPr>
          <w:p w14:paraId="4697CEA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30ADA734">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6981C868">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402C93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1.【行政法规】《社会救助暂行办法》（2014年国务院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649号公布，2019年国务院第709号修订）第九条：国家对共同生活的家庭成员人均收入低于当地最低生活保障标准，且符合当地最低生活保障家庭财产状况规定的家庭，给予最低生活保障。</w:t>
            </w:r>
          </w:p>
          <w:p w14:paraId="0F8DC5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第十二条：对批准获得最低生活保障的家庭，县级人民政府民政部门按照共同生活的家庭成员人均收入低于当地最低生活保障标准的差额，按月发给最低生活保障金。</w:t>
            </w:r>
          </w:p>
          <w:p w14:paraId="13FA4B9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对获得最低生活保障后生活仍有困难的老年人、未成年人、重度残疾人和重病患者，县级以上地方人民政府应当采取必要措施给予生活保障。</w:t>
            </w:r>
          </w:p>
          <w:p w14:paraId="6297E9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2.【行政法规】《城市居民最低生活保障条例》（1999年国务院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1871" w:type="dxa"/>
            <w:vAlign w:val="center"/>
          </w:tcPr>
          <w:p w14:paraId="0E4DAB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14:paraId="42AAFE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2.审批责任：进行审批，按时办结（予以批准，进行公布；不予批准，书面说明理由）。</w:t>
            </w:r>
          </w:p>
          <w:p w14:paraId="2BE2E2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14:paraId="6BF973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4.给付责任：按照相关规定，按月发放最低生活保障金。</w:t>
            </w:r>
          </w:p>
          <w:p w14:paraId="2C2941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14:paraId="3678EB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44DC73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5D8A546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9F138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769F2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2—2.【行政法规】《城市居民最低生活保障条例》（1999年国务院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14:paraId="198A799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2—3.【行政法规】《社会救助暂行办法》（2014年国务院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649号，2019年国务院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14:paraId="6D4131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2—4.【地方政府规章】《广西壮族自治区最低生活保障办法》（2020年广西壮族自治区人民政府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14:paraId="0E7D51B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0556EE5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3—2.同2—2。</w:t>
            </w:r>
          </w:p>
          <w:p w14:paraId="588832D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4.同2—2</w:t>
            </w:r>
          </w:p>
        </w:tc>
        <w:tc>
          <w:tcPr>
            <w:tcW w:w="2035" w:type="dxa"/>
            <w:vAlign w:val="center"/>
          </w:tcPr>
          <w:p w14:paraId="4BAC4C3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14:paraId="3B1CAA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14:paraId="086515ED">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14:paraId="6D46E1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14:paraId="38805D5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5252E1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747538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615747F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699C7D4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255D04B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26825F2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294170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7AD8C0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3FB2A8C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7051D3F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74FD46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0BC980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w:t>
            </w:r>
          </w:p>
          <w:p w14:paraId="740934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129F67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14:paraId="2F20754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14:paraId="24EFAC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14:paraId="7904BBD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14:paraId="63C7566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14:paraId="5613A8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14:paraId="53190D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14:paraId="154FD5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追回;有违法所得的，没收违法所得;对直接负责的主管人员和其他直接责任人员依法给予处分。</w:t>
            </w:r>
          </w:p>
          <w:p w14:paraId="679FE1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14:paraId="3CE25F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14:paraId="475E0BED">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3.【规章】《城市居民最低生活保障条例》</w:t>
            </w:r>
            <w:r>
              <w:rPr>
                <w:rFonts w:hint="default" w:ascii="Times New Roman" w:hAnsi="Times New Roman" w:eastAsia="仿宋_GB2312"/>
                <w:color w:val="auto"/>
                <w:kern w:val="0"/>
                <w:sz w:val="20"/>
                <w:szCs w:val="20"/>
                <w:highlight w:val="none"/>
                <w:lang w:val="en-US" w:eastAsia="zh-CN"/>
              </w:rPr>
              <w:t>第十三条 从事城市居民最低生活保障管理审批工作的人员有下列行为之一的，给予批评教育，依法给予行政处分;构成犯罪的，依法追究刑事责任：</w:t>
            </w:r>
          </w:p>
          <w:p w14:paraId="11E15927">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14:paraId="75CE6861">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(二)玩忽职守、徇私舞弊，或者</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"https://www.66law.cn/special/twzzds/" \o "贪污"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贪污</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、挪用、扣压、拖欠城市居民最低生活保障款物的。</w:t>
            </w:r>
          </w:p>
          <w:p w14:paraId="2735E190">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第十四条 享受城市居民最低生活保障待遇的城市居民有下列行为之一的，由县级人民政府民政部门给予批评教育或者警告，追回其冒领的城市居民最低生活保障款物;情节恶劣的，处冒领金额1倍以上3倍以下的罚款：</w:t>
            </w:r>
          </w:p>
          <w:p w14:paraId="51CB7C09">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(一)采取虚报、隐瞒、伪造等手段，骗取享受城市居民最低生活保障待遇的;</w:t>
            </w:r>
          </w:p>
          <w:p w14:paraId="7D19055F">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(二)在享受城市居民最低生活保障待遇期间家庭收入情况好转，不按规定告知管理审批机关，继续享受城市居民最低生活保障待遇的。</w:t>
            </w:r>
          </w:p>
          <w:p w14:paraId="41974E4D">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第十五条 城市居民对县级人民政府民政部门作出的不批准享受城市居民最低生活保障待遇或者减发、停发城市居民最低生活保障款物的决定或者给予的</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"https://www.66law.cn/special/xingzhengchufa/" \o "行政处罚"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行政处罚</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不服的，可以依法申请行政复议;对复议决定仍不服的，可以依法提起</w:t>
            </w:r>
            <w:r>
              <w:rPr>
                <w:rFonts w:hint="eastAsia" w:eastAsia="仿宋_GB2312"/>
                <w:color w:val="auto"/>
                <w:kern w:val="0"/>
                <w:sz w:val="20"/>
                <w:szCs w:val="20"/>
                <w:highlight w:val="none"/>
                <w:lang w:val="en-US" w:eastAsia="zh-CN"/>
              </w:rPr>
              <w:t>行政诉讼</w:t>
            </w:r>
            <w:r>
              <w:rPr>
                <w:rFonts w:hint="default" w:ascii="Times New Roman" w:hAnsi="Times New Roman" w:eastAsia="仿宋_GB2312"/>
                <w:color w:val="auto"/>
                <w:kern w:val="0"/>
                <w:sz w:val="20"/>
                <w:szCs w:val="20"/>
                <w:highlight w:val="none"/>
                <w:lang w:val="en-US" w:eastAsia="zh-CN"/>
              </w:rPr>
              <w:t>。</w:t>
            </w:r>
          </w:p>
          <w:p w14:paraId="3960048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2B99907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457B9799">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w:t>
            </w:r>
            <w:r>
              <w:rPr>
                <w:rFonts w:hint="eastAsia" w:ascii="Times New Roman" w:hAnsi="Times New Roman" w:eastAsia="仿宋_GB2312"/>
                <w:color w:val="auto"/>
                <w:kern w:val="0"/>
                <w:sz w:val="16"/>
                <w:szCs w:val="16"/>
                <w:highlight w:val="none"/>
              </w:rPr>
              <w:t>桂编办发〔2019〕195号文件精神，该行政给付赋权乡镇人民政府（街道办事处）实施。</w:t>
            </w:r>
          </w:p>
          <w:p w14:paraId="26DC257F">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14:paraId="3997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6F82963C">
            <w:pPr>
              <w:widowControl/>
              <w:shd w:val="clear"/>
              <w:adjustRightInd w:val="0"/>
              <w:snapToGrid w:val="0"/>
              <w:spacing w:line="230" w:lineRule="exact"/>
              <w:jc w:val="both"/>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14</w:t>
            </w:r>
          </w:p>
        </w:tc>
        <w:tc>
          <w:tcPr>
            <w:tcW w:w="308" w:type="dxa"/>
            <w:vAlign w:val="center"/>
          </w:tcPr>
          <w:p w14:paraId="2AA34A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14:paraId="5E69C56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临时救助</w:t>
            </w:r>
          </w:p>
        </w:tc>
        <w:tc>
          <w:tcPr>
            <w:tcW w:w="546" w:type="dxa"/>
            <w:vAlign w:val="center"/>
          </w:tcPr>
          <w:p w14:paraId="3B56C48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47B4ABDB">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04CA5408">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170DB5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649号发布，2019年国务院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7F8ECFC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871" w:type="dxa"/>
            <w:vAlign w:val="center"/>
          </w:tcPr>
          <w:p w14:paraId="38AA783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1.审查责任：审查是否符合临时救助的情形。</w:t>
            </w:r>
          </w:p>
          <w:p w14:paraId="7E7F35C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2.公示责任：对符合条件的人员名单进行公示。</w:t>
            </w:r>
          </w:p>
          <w:p w14:paraId="17947E7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3.审批责任：及时审批，按时办结。</w:t>
            </w:r>
          </w:p>
          <w:p w14:paraId="3E991AA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4.给付责任：发放临时救助金。</w:t>
            </w:r>
          </w:p>
          <w:p w14:paraId="5AD0928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14:paraId="38BC27A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94ABE3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482EF03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1—1.【法律】《中华人民共和国行政许可法》第三十四条：行政机关应当对申请人提交的申请材料进行审查。</w:t>
            </w:r>
          </w:p>
          <w:p w14:paraId="7856A7C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14:paraId="4CE23E9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14:paraId="5D72DE2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14:paraId="36EABC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1—2.【行政法规】《社会救助暂行办法》（2014年国务院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649号，2019年国务院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14:paraId="1CE96D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EBD78D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2—2.同1—2。</w:t>
            </w:r>
          </w:p>
          <w:p w14:paraId="22C6A4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14:paraId="693E24D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14:paraId="6EE6699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3—2.同1—2。</w:t>
            </w:r>
          </w:p>
          <w:p w14:paraId="6448866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4.同1—2。</w:t>
            </w:r>
          </w:p>
        </w:tc>
        <w:tc>
          <w:tcPr>
            <w:tcW w:w="2035" w:type="dxa"/>
            <w:vAlign w:val="center"/>
          </w:tcPr>
          <w:p w14:paraId="3A8860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14:paraId="6BF14C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14:paraId="1D303941">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14:paraId="6B4D5B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14:paraId="4FA19C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F05C1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3C7E408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09F72F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45D61E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36FCD5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3CB660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153C5B8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5998C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0235DB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6F44D06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0C3748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1C4113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w:t>
            </w:r>
          </w:p>
          <w:p w14:paraId="387F43E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5D82BA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14:paraId="7AA9244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14:paraId="61F694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14:paraId="4823FFF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14:paraId="30C8C9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14:paraId="2CE0CF4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14:paraId="1BA5AA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14:paraId="78F9F1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追回;有违法所得的，没收违法所得;对直接负责的主管人员和其他直接责任人员依法给予处分。</w:t>
            </w:r>
          </w:p>
          <w:p w14:paraId="5E1BF4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14:paraId="767944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14:paraId="25F7EF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38B4CA2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08984580">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14:paraId="65E0E772">
            <w:pPr>
              <w:widowControl/>
              <w:shd w:val="clear"/>
              <w:adjustRightInd w:val="0"/>
              <w:snapToGrid w:val="0"/>
              <w:spacing w:line="300" w:lineRule="exact"/>
              <w:ind w:firstLine="32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16"/>
                <w:szCs w:val="16"/>
                <w:highlight w:val="none"/>
              </w:rPr>
              <w:t>2.发放资金由县级民政部门给付。</w:t>
            </w:r>
          </w:p>
          <w:p w14:paraId="3990C99F">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14:paraId="7427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4B7CEBF1">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15</w:t>
            </w:r>
          </w:p>
        </w:tc>
        <w:tc>
          <w:tcPr>
            <w:tcW w:w="308" w:type="dxa"/>
            <w:vAlign w:val="center"/>
          </w:tcPr>
          <w:p w14:paraId="05B0733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14:paraId="195435D4">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特困人员救助供养</w:t>
            </w:r>
          </w:p>
        </w:tc>
        <w:tc>
          <w:tcPr>
            <w:tcW w:w="546" w:type="dxa"/>
            <w:vAlign w:val="center"/>
          </w:tcPr>
          <w:p w14:paraId="78B0C58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074AD22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AC5D71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4842540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649号发布，2019年国务院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709号修订）第三条：……县级以上地方人民政府民政、应急管理、卫生健康、教育、住房城乡建设、人力资源社会保障、医疗保障等部门，按照各自职责负责本行政区域内享有的社会救助管理工作。</w:t>
            </w:r>
          </w:p>
          <w:p w14:paraId="59ECD4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第十四条：国家对无劳动能力、无生活来源且无法定赡养、抚养、扶养义务人，或者其法定赡养、抚养、扶养义务人无赡养、抚养、扶养能力的老年人、残疾人以及未满16周岁的未成年人，给予特困人员供养。</w:t>
            </w:r>
          </w:p>
          <w:p w14:paraId="509BB9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14:paraId="7D23203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14:paraId="4A8D2D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p w14:paraId="135711B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第十六条：申请特困人员供养，由本人向户籍所在地的乡镇人民政府、街道办事处提出书面申请；本人申请有困难的，可以委托村民委员会、居民委员会代为提出申请。</w:t>
            </w:r>
          </w:p>
        </w:tc>
        <w:tc>
          <w:tcPr>
            <w:tcW w:w="1871" w:type="dxa"/>
            <w:vAlign w:val="center"/>
          </w:tcPr>
          <w:p w14:paraId="177B124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1.审查责任：材料审核（申请特困的书面证明材料等）。</w:t>
            </w:r>
          </w:p>
          <w:p w14:paraId="5B541B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2.审批责任：进行审批，按时办结（予以批准，发放证书，进行公布；不予批准，书面说明理由）。</w:t>
            </w:r>
          </w:p>
          <w:p w14:paraId="744C99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14:paraId="6B6CAFF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4.给付责任：给予城乡特困人员供养。</w:t>
            </w:r>
          </w:p>
          <w:p w14:paraId="608107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14:paraId="61E8C1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5E771C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557F32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w:t>
            </w:r>
          </w:p>
          <w:p w14:paraId="61AFAA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14:paraId="39F47CF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14:paraId="7AA2EE8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w:t>
            </w:r>
          </w:p>
          <w:p w14:paraId="0A87A8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第三十八条：申请人的申请符合法定条件、标准的，行政机关应当依法作出准予行政许可的书面决定。</w:t>
            </w:r>
          </w:p>
          <w:p w14:paraId="4E78C9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14:paraId="0128F39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第四十条：行政机关作出的准予行政许可决定，应当予以公开，公众有权查阅。</w:t>
            </w:r>
          </w:p>
          <w:p w14:paraId="2F85FA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2—2.【行政法规】《农村五保供养工作条例》（1994年国务院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141号发布，2006年国务院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14:paraId="7ABDFC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2—3.【地方政府规章】《广西壮族自治区实施〈农村五保供养工作条例〉办法》（2010年广西壮族自治区人民政府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14:paraId="156A752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w:t>
            </w:r>
          </w:p>
          <w:p w14:paraId="492410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14:paraId="58E09DD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3—2.【行政法规】《农村五保供养工作条例》（1994年国务院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141号发布，2006年国务院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14:paraId="5F5F344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14:paraId="40D3EA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【地方政府规章】《广西壮族自治区实施〈农村五保供养工作条例〉办法》（2010年广西壮族自治区人民政府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14:paraId="4C6EC19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4.【行政法规】《社会救助暂行办法》（2014年国务院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649号，2019年国务院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709号修订）第十四条：国家对无劳动能力、无生活来源且无法定赡养、抚养、扶养义务人，或者其法定赡养、抚养、扶养义务人无赡养、抚养、扶养能力的老年人、残疾人以及未满16周岁的未成年人，给予特困人员供养。</w:t>
            </w:r>
          </w:p>
          <w:p w14:paraId="75E062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14:paraId="2217AC8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14:paraId="10D024B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tc>
        <w:tc>
          <w:tcPr>
            <w:tcW w:w="2035" w:type="dxa"/>
            <w:vAlign w:val="center"/>
          </w:tcPr>
          <w:p w14:paraId="4065E8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14:paraId="22A953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14:paraId="237CB51E">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14:paraId="4FB22C8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14:paraId="5B145E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903B26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32E1CEE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605EB1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112EC2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149F3D6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06EE7D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1C963D1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60794A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4D4529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6840A2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123D5D7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009F103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649号。</w:t>
            </w:r>
          </w:p>
          <w:p w14:paraId="7519D2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59081AB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14:paraId="43E39D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14:paraId="2AB74D9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14:paraId="6AAD4D1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14:paraId="383F941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14:paraId="4F346C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14:paraId="68E3CFC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14:paraId="47DC16C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追回;有违法所得的，没收违法所得;对直接负责的主管人员和其他直接责任人员依法给予处分。</w:t>
            </w:r>
          </w:p>
          <w:p w14:paraId="60E0D64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14:paraId="349DC9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14:paraId="1D697C6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【法规】《农村五保供养工作条例》第二十三条 按照五保供养协议负有扶养义务的人拒绝扶养五保对象，情节恶劣构成犯罪的，依法追究刑事责任。</w:t>
            </w:r>
          </w:p>
          <w:p w14:paraId="7CEA785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五保供养工作人员贪污、挪用五保供养款物的，县级人民政府民政部门应当责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其全部退还，并给予行政处分；构成犯罪的，依法追究刑事责任。</w:t>
            </w:r>
          </w:p>
        </w:tc>
        <w:tc>
          <w:tcPr>
            <w:tcW w:w="532" w:type="dxa"/>
            <w:vAlign w:val="center"/>
          </w:tcPr>
          <w:p w14:paraId="6B1953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0F5969E">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14:paraId="6E912ADC">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14:paraId="58AC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0823FBD9">
            <w:pPr>
              <w:widowControl/>
              <w:shd w:val="clear"/>
              <w:adjustRightInd w:val="0"/>
              <w:snapToGrid w:val="0"/>
              <w:spacing w:line="257"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16</w:t>
            </w:r>
          </w:p>
        </w:tc>
        <w:tc>
          <w:tcPr>
            <w:tcW w:w="308" w:type="dxa"/>
            <w:vAlign w:val="center"/>
          </w:tcPr>
          <w:p w14:paraId="5DF28A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14:paraId="516E7A1A">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困难残疾人生活补贴和重度残疾人护理补贴</w:t>
            </w:r>
          </w:p>
        </w:tc>
        <w:tc>
          <w:tcPr>
            <w:tcW w:w="546" w:type="dxa"/>
            <w:vAlign w:val="center"/>
          </w:tcPr>
          <w:p w14:paraId="0F143E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1.困难残疾人生活补贴给付</w:t>
            </w:r>
          </w:p>
        </w:tc>
        <w:tc>
          <w:tcPr>
            <w:tcW w:w="966" w:type="dxa"/>
            <w:vAlign w:val="center"/>
          </w:tcPr>
          <w:p w14:paraId="4F1B66B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4AC3E53D">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635A2B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1.【法律】《中华人民共和国残疾人保障法》第四十八条：各级人民政府对生活确有困难的残疾人，通过多种渠道给予生活、教育、住房和其他社会救助。</w:t>
            </w:r>
          </w:p>
          <w:p w14:paraId="741EE70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县级以上地方人民政府对享受最低生活保障待遇后生活仍有特别困难的残疾人家庭，应当采取其他措施保障其基本生活。</w:t>
            </w:r>
          </w:p>
          <w:p w14:paraId="1CE66AD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14:paraId="2517647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14:paraId="5C2FDF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03E5D7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1871" w:type="dxa"/>
            <w:vAlign w:val="center"/>
          </w:tcPr>
          <w:p w14:paraId="003F31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1.审核责任：审核申请人是否符合获得补贴的资格，并发放残疾人补贴。</w:t>
            </w:r>
          </w:p>
          <w:p w14:paraId="0CB9B5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2.监督管理责任：监督管理各地方的补贴发放情况。</w:t>
            </w:r>
          </w:p>
          <w:p w14:paraId="2AE72E9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3.评定责任：困难残疾人生活补贴对象为户籍在广西壮族自治区的最低生活保障家庭中的残疾人。</w:t>
            </w:r>
          </w:p>
          <w:p w14:paraId="599DE4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4.给付责任：对符合条件的残疾人，地方各级人民政府根据情况给予相应补贴。</w:t>
            </w:r>
          </w:p>
          <w:p w14:paraId="60E35E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14:paraId="31E3B20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F65931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3C88B1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572412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2.同1。</w:t>
            </w:r>
          </w:p>
          <w:p w14:paraId="0026776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14:paraId="493A42D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4—1.【法律】《中华人民共和国残疾人保障法》第四十八条：各级人民政府对生活确有困难的残疾人，通过多种渠道给予生活、教育、住房和其他社会救助。</w:t>
            </w:r>
          </w:p>
          <w:p w14:paraId="0DC5C1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14:paraId="1D5989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14:paraId="72214F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4—2.同3。</w:t>
            </w:r>
          </w:p>
        </w:tc>
        <w:tc>
          <w:tcPr>
            <w:tcW w:w="2035" w:type="dxa"/>
            <w:vAlign w:val="center"/>
          </w:tcPr>
          <w:p w14:paraId="4FC9012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14:paraId="4E07430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14:paraId="0919ED00">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14:paraId="78CF60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14:paraId="55C2E7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4554D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4EDB2D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【法律】《中华人民共和国残疾人保障法》</w:t>
            </w:r>
          </w:p>
          <w:p w14:paraId="167EC6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14:paraId="4C72566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残疾人组织对残疾人通过诉讼维护其合法权益需要帮助的，应当给予支持。</w:t>
            </w:r>
          </w:p>
          <w:p w14:paraId="163B4D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残疾人组织对侵害特定残疾人群体利益的行为，有权要求有关部门依法查处。</w:t>
            </w:r>
          </w:p>
          <w:p w14:paraId="20CBEE3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残疾人的合法权益受到侵害的，有权要求有关部门依法处理，或者依法向仲裁机构申请仲裁，或者依法向人民法院提起诉讼。</w:t>
            </w:r>
          </w:p>
          <w:p w14:paraId="4B7E84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对有经济困难或者其他原因确需法律援助或者司法救助的残疾人，当地法律援助机</w:t>
            </w:r>
          </w:p>
          <w:p w14:paraId="0D4A8C1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构或者人民法院应当给予帮助，依法为其提供法律援助或者司法救助。</w:t>
            </w:r>
          </w:p>
          <w:p w14:paraId="4CB883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违反本法规定，对侵害残疾人权益行为的申诉、控告、检举，推诿、拖延、压制不予查处，或者对提出申诉、控告、检举的人进行打击报复的，由其所在单位、主管部门或者上级机关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，并依法对直接负责的主管人员和其他直接责任人员给予处分。</w:t>
            </w:r>
          </w:p>
          <w:p w14:paraId="0E1FDC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14:paraId="318579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违反本法规定，通过大众传播媒介或者其他方式贬低损害残疾人人格的，由文化、广播电影电视、新闻出版或者其他有关主管部门依据各自的职权</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，并依法给予行政处罚。</w:t>
            </w:r>
          </w:p>
          <w:p w14:paraId="0954F8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违反本法规定，有关教育机构拒不接收残疾学生入学，或者在国家规定的录取要求以外附加条件限制残疾学生就学的，由有关主管部门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，并依法对直接负责的主管人员和其他直接责任人员给予处分。</w:t>
            </w:r>
          </w:p>
          <w:p w14:paraId="67A8FB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违反本法规定，在职工的招用等方面歧视残疾人的，由有关主管部门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；残疾人劳动者可以依法向人民法院提起诉讼。</w:t>
            </w:r>
          </w:p>
          <w:p w14:paraId="31646F9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第六十五条 违反本法规定，供养、托养机构及其工作人员侮辱、虐待、遗弃残疾人的，对直接负责的主管人员和其他直接责任人员依法给予处分；构成违反治安管理行为的，依法给予行政处罚。</w:t>
            </w:r>
          </w:p>
          <w:p w14:paraId="628C25C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违反本法规定，新建、改建和扩建建筑物、道路、交通设施，不符合国家有关无障碍设施工程建设标准，或者对无障碍设施未进行及时维修和保护造成后果的，由有关主管部门依法处理。</w:t>
            </w:r>
          </w:p>
          <w:p w14:paraId="5D27929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违反本法规定，侵害残疾人的合法权益，其他法律、法规规定行政处罚的，从其规定；造成财产损失或者其他损害的，依法承担民事责任；构成犯罪的，依法追究刑事责任。</w:t>
            </w:r>
          </w:p>
        </w:tc>
        <w:tc>
          <w:tcPr>
            <w:tcW w:w="532" w:type="dxa"/>
            <w:vAlign w:val="center"/>
          </w:tcPr>
          <w:p w14:paraId="20BC6AC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7439651F">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r>
              <w:rPr>
                <w:rFonts w:hint="eastAsia" w:ascii="Times New Roman" w:hAnsi="Times New Roman" w:eastAsia="仿宋_GB2312"/>
                <w:color w:val="auto"/>
                <w:kern w:val="0"/>
                <w:sz w:val="20"/>
                <w:szCs w:val="20"/>
                <w:highlight w:val="none"/>
              </w:rPr>
              <w:t>。</w:t>
            </w:r>
          </w:p>
        </w:tc>
      </w:tr>
      <w:tr w14:paraId="31F4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23BFB5C4">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17</w:t>
            </w:r>
          </w:p>
        </w:tc>
        <w:tc>
          <w:tcPr>
            <w:tcW w:w="308" w:type="dxa"/>
            <w:vAlign w:val="center"/>
          </w:tcPr>
          <w:p w14:paraId="38F704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11571F47">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消防安全</w:t>
            </w:r>
          </w:p>
          <w:p w14:paraId="1D4E3DAB">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检查</w:t>
            </w:r>
          </w:p>
        </w:tc>
        <w:tc>
          <w:tcPr>
            <w:tcW w:w="546" w:type="dxa"/>
            <w:vAlign w:val="center"/>
          </w:tcPr>
          <w:p w14:paraId="0DE4B1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2E24379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3F17531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社会治安综合治理办公室</w:t>
            </w:r>
          </w:p>
        </w:tc>
        <w:tc>
          <w:tcPr>
            <w:tcW w:w="3505" w:type="dxa"/>
            <w:vAlign w:val="center"/>
          </w:tcPr>
          <w:p w14:paraId="5A916A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14:paraId="0967C7C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62A348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14:paraId="7F3C80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.【规范性文件】《消防安全责任制实施办法》（国办发〔2017〕87号）第九条：乡镇人民政府消防工作职责：（六）部署消防安全整治，组织开展消防安全检查，督促整改火灾隐患。</w:t>
            </w:r>
          </w:p>
          <w:p w14:paraId="13D7E73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街道办事处应当履行前款第（一）、（四）、（五）、（六）、（七）项职责，并保障消防工作经费。</w:t>
            </w:r>
          </w:p>
          <w:p w14:paraId="2563AA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w:t>
            </w:r>
            <w:r>
              <w:rPr>
                <w:rFonts w:hint="eastAsia" w:ascii="Times New Roman" w:hAnsi="Times New Roman" w:eastAsia="仿宋_GB2312"/>
                <w:color w:val="auto"/>
                <w:kern w:val="0"/>
                <w:sz w:val="20"/>
                <w:szCs w:val="20"/>
                <w:highlight w:val="none"/>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1871" w:type="dxa"/>
            <w:vAlign w:val="center"/>
          </w:tcPr>
          <w:p w14:paraId="301C168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1.告知责任：确定检查目标、对象、内容，公告或通知被检查单位（暗访不通知）。</w:t>
            </w:r>
          </w:p>
          <w:p w14:paraId="0373AAD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2.检查责任：按照上级要求和相关标准，对单位开展消防安全检查；属于监督执法检查时，执法人员不得少于2人，并按照有关规定进行。</w:t>
            </w:r>
          </w:p>
          <w:p w14:paraId="5B82D7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3.处理责任：制作检查记录，对检查发现的问题提出整改和处理意见，并督促整改消防安全违法行为和火灾隐患，对重大消防问题或者火灾隐患实行专项督办。</w:t>
            </w:r>
          </w:p>
          <w:p w14:paraId="0A339C5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14:paraId="7A55461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398F5E9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B4EF13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社会治安综合治理办公室</w:t>
            </w:r>
            <w:r>
              <w:rPr>
                <w:rFonts w:hint="eastAsia" w:eastAsia="仿宋_GB2312"/>
                <w:color w:val="auto"/>
                <w:kern w:val="0"/>
                <w:sz w:val="20"/>
                <w:szCs w:val="20"/>
                <w:highlight w:val="none"/>
                <w:lang w:eastAsia="zh-CN"/>
              </w:rPr>
              <w:t>）</w:t>
            </w:r>
          </w:p>
        </w:tc>
        <w:tc>
          <w:tcPr>
            <w:tcW w:w="5658" w:type="dxa"/>
            <w:vAlign w:val="center"/>
          </w:tcPr>
          <w:p w14:paraId="54EAB1D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14:paraId="451CB7F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4407EB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3A0D4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7195C4C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14:paraId="138701C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3—3.【规范性文件】《消防安全责任制实施办法》（国办发〔2017〕87号）第九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p w14:paraId="644AC2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14:paraId="3D7410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tc>
        <w:tc>
          <w:tcPr>
            <w:tcW w:w="2035" w:type="dxa"/>
            <w:vAlign w:val="center"/>
          </w:tcPr>
          <w:p w14:paraId="313DBA63">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6B0CDB8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0B48D43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3D710526">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08E04DB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1BB8142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63F6E53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4CD0AC0C">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40989F4C">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24009D1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78231936">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61B0FAC5">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2960A2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【法规】《广西行政执法监督条例》（201</w:t>
            </w:r>
            <w:r>
              <w:rPr>
                <w:rFonts w:hint="eastAsia" w:ascii="Times New Roman" w:hAnsi="Times New Roman" w:eastAsia="仿宋_GB2312"/>
                <w:color w:val="auto"/>
                <w:kern w:val="0"/>
                <w:sz w:val="20"/>
                <w:szCs w:val="20"/>
                <w:highlight w:val="none"/>
                <w:lang w:val="en-US" w:eastAsia="zh-CN"/>
              </w:rPr>
              <w:t>0</w:t>
            </w:r>
            <w:r>
              <w:rPr>
                <w:rFonts w:hint="eastAsia" w:ascii="Times New Roman" w:hAnsi="Times New Roman" w:eastAsia="仿宋_GB2312"/>
                <w:color w:val="auto"/>
                <w:kern w:val="0"/>
                <w:sz w:val="20"/>
                <w:szCs w:val="20"/>
                <w:highlight w:val="none"/>
              </w:rPr>
              <w:t>年</w:t>
            </w:r>
            <w:r>
              <w:rPr>
                <w:rFonts w:hint="eastAsia" w:ascii="Times New Roman" w:hAnsi="Times New Roman" w:eastAsia="仿宋_GB2312"/>
                <w:color w:val="auto"/>
                <w:kern w:val="0"/>
                <w:sz w:val="20"/>
                <w:szCs w:val="20"/>
                <w:highlight w:val="none"/>
                <w:lang w:val="en-US" w:eastAsia="zh-CN"/>
              </w:rPr>
              <w:t>8</w:t>
            </w:r>
            <w:r>
              <w:rPr>
                <w:rFonts w:hint="eastAsia" w:ascii="Times New Roman" w:hAnsi="Times New Roman" w:eastAsia="仿宋_GB2312"/>
                <w:color w:val="auto"/>
                <w:kern w:val="0"/>
                <w:sz w:val="20"/>
                <w:szCs w:val="20"/>
                <w:highlight w:val="none"/>
              </w:rPr>
              <w:t>月</w:t>
            </w: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日）第十七条 行政执法监督机构根据行政执法监督结果，可以区别情况制发《行政执法督察通知书》或者《行政执法督察决定书》，对行政执法机关及其执法人员作出以下处理： (一)贯彻法律、法规、规章组织、部署执行不力的，提出整改意见，责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有关行政执法机关改进工 作，并可给予通报批评;(二)违反规定委托行政执法的，</w:t>
            </w:r>
            <w:r>
              <w:rPr>
                <w:rFonts w:hint="eastAsia" w:eastAsia="仿宋_GB2312"/>
                <w:color w:val="auto"/>
                <w:kern w:val="0"/>
                <w:sz w:val="20"/>
                <w:szCs w:val="20"/>
                <w:highlight w:val="none"/>
                <w:lang w:eastAsia="zh-CN"/>
              </w:rPr>
              <w:t>责令限期</w:t>
            </w:r>
            <w:r>
              <w:rPr>
                <w:rFonts w:hint="eastAsia" w:ascii="Times New Roman" w:hAnsi="Times New Roman" w:eastAsia="仿宋_GB2312"/>
                <w:color w:val="auto"/>
                <w:kern w:val="0"/>
                <w:sz w:val="20"/>
                <w:szCs w:val="20"/>
                <w:highlight w:val="none"/>
              </w:rPr>
              <w:t>改正。逾期不改正的，确认委托违法，并予以公告;(三)未取得行政执法证件从事行政执法工作的，责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其停止行政执法工作;(四)行政执法人员违法执法行为情节严重的，吊销其行政执法证件，并报发证机关备案; (五)实施具体行政行为违法、不当的，</w:t>
            </w:r>
            <w:r>
              <w:rPr>
                <w:rFonts w:hint="eastAsia" w:eastAsia="仿宋_GB2312"/>
                <w:color w:val="auto"/>
                <w:kern w:val="0"/>
                <w:sz w:val="20"/>
                <w:szCs w:val="20"/>
                <w:highlight w:val="none"/>
                <w:lang w:eastAsia="zh-CN"/>
              </w:rPr>
              <w:t>责令限期</w:t>
            </w:r>
            <w:r>
              <w:rPr>
                <w:rFonts w:hint="eastAsia" w:ascii="Times New Roman" w:hAnsi="Times New Roman" w:eastAsia="仿宋_GB2312"/>
                <w:color w:val="auto"/>
                <w:kern w:val="0"/>
                <w:sz w:val="20"/>
                <w:szCs w:val="20"/>
                <w:highlight w:val="none"/>
              </w:rPr>
              <w:t>改正。逾期不改正的，确认违法;(六)不履行法定职责的，</w:t>
            </w:r>
            <w:r>
              <w:rPr>
                <w:rFonts w:hint="eastAsia" w:eastAsia="仿宋_GB2312"/>
                <w:color w:val="auto"/>
                <w:kern w:val="0"/>
                <w:sz w:val="20"/>
                <w:szCs w:val="20"/>
                <w:highlight w:val="none"/>
                <w:lang w:eastAsia="zh-CN"/>
              </w:rPr>
              <w:t>责令限期</w:t>
            </w:r>
            <w:r>
              <w:rPr>
                <w:rFonts w:hint="eastAsia" w:ascii="Times New Roman" w:hAnsi="Times New Roman" w:eastAsia="仿宋_GB2312"/>
                <w:color w:val="auto"/>
                <w:kern w:val="0"/>
                <w:sz w:val="20"/>
                <w:szCs w:val="20"/>
                <w:highlight w:val="none"/>
              </w:rPr>
              <w:t>履行。对行政执法机关及其行政执法人员的违法情况和处理结果，予以通报或者向社会公布。</w:t>
            </w:r>
          </w:p>
          <w:p w14:paraId="3881B1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行政执法行为对公民、法人或者其他组织的合法权益造成损害，经行政执法监督机构确认 违法的，当事人可以依照国家赔偿法的规定要求国家赔偿。 </w:t>
            </w:r>
          </w:p>
          <w:p w14:paraId="191F92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第十九条 行政执法机关作出的行政执法行为违法、不当，侵害社会公共利益和公民、法人或者其他 组织合法权益的，行政执法监督机构可以根据情节作出如下处理：(一)建议将负有直接责任的行政执法人员调离行政执法岗位; (二)建议有关部门取消该行政执法机关负有直接责任的行政执法人员当年评优评先或者提职晋级资 格; (三)建议有关机关对负有直接责任的负责人和其他直接责任人员给予相应组织处理。 </w:t>
            </w:r>
          </w:p>
          <w:p w14:paraId="280FCB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第二十条 行政执法机关拒绝、阻挠行政执法监督，经</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 xml:space="preserve">仍不自行纠正违法行为，或者拒不执 行行政执法监督处理决定的，建议监察机关对相关责任人员进行查处。 </w:t>
            </w:r>
          </w:p>
          <w:p w14:paraId="123B58A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第二十一条 行政执法监督机构根据本办法第十七条作出行政执法监督处理前，应当听取被处理的行 政执法机关或者行政执法人员的意见。 行政执法机关及其行政执法人员对行政执法监督处理有异议的，可以向作出处理的行政执法监督机构申请复查。</w:t>
            </w:r>
          </w:p>
        </w:tc>
        <w:tc>
          <w:tcPr>
            <w:tcW w:w="532" w:type="dxa"/>
            <w:vAlign w:val="center"/>
          </w:tcPr>
          <w:p w14:paraId="3A3C95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7C1931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037B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6B2AC68">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18</w:t>
            </w:r>
          </w:p>
        </w:tc>
        <w:tc>
          <w:tcPr>
            <w:tcW w:w="308" w:type="dxa"/>
            <w:vAlign w:val="center"/>
          </w:tcPr>
          <w:p w14:paraId="51831BD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081B9E0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对生产经营单位提取、使用和管理安全费用情况的监督检查</w:t>
            </w:r>
          </w:p>
        </w:tc>
        <w:tc>
          <w:tcPr>
            <w:tcW w:w="546" w:type="dxa"/>
            <w:vAlign w:val="center"/>
          </w:tcPr>
          <w:p w14:paraId="042460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0360909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6DBD5EE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1646F44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7B7E6E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369E17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55098B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p w14:paraId="02AF88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37F2F6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FA35C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0E56D3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5BB4EA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52EA664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4B05FD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51A67D8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7BE5D8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1E4A29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16821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6BA2AEE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【规范性文件】《企业安全生产费用提取和使用管理办法》（财企〔2012〕16号）第三十五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各级财政部门、安全生产监督管理部门、煤矿安全监察机构和有关行业主管部门依法对企业安全费用提取、使用和管理进行监督检查。</w:t>
            </w:r>
          </w:p>
        </w:tc>
        <w:tc>
          <w:tcPr>
            <w:tcW w:w="1871" w:type="dxa"/>
            <w:vAlign w:val="center"/>
          </w:tcPr>
          <w:p w14:paraId="0ED5FC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547501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68DACEE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487F849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1FAD5BB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6B230A5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EDC46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6236DEA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0288F34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75CC15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C82F5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734115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4B046C4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78A44B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345183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01D21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219BA4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646E5E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44AD9F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0643EE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692CC423">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5681AD86">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33E9CCF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72925E1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72C12CE7">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60AD359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6379D3F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2768B64C">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7098146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2CFF700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18049ADD">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0B377B9B">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6EE3721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0AF912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59073BD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7141FB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23BC7C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532E69A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320B95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318921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7BE40D7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62E989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442458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7D81632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6BCD91A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135822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030A2A1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788431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7797AE0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0C42E0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7531FCC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3BDA82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2C92A41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313A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11FEF251">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19</w:t>
            </w:r>
          </w:p>
        </w:tc>
        <w:tc>
          <w:tcPr>
            <w:tcW w:w="308" w:type="dxa"/>
            <w:vAlign w:val="center"/>
          </w:tcPr>
          <w:p w14:paraId="756644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32CA7F2B">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对生产经营单位消除重大事故隐患的监督检查</w:t>
            </w:r>
          </w:p>
        </w:tc>
        <w:tc>
          <w:tcPr>
            <w:tcW w:w="546" w:type="dxa"/>
            <w:vAlign w:val="center"/>
          </w:tcPr>
          <w:p w14:paraId="25A58D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62EDFE81">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6E3707D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326D9D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14:paraId="43CFAC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生产经营单位应当建立健全生产安全事故隐患排查治理制度，采取技术、管理措施，及时发现并消除事故隐患。事故隐患排查治理情况应当如实记录，并向从业人员通报。</w:t>
            </w:r>
          </w:p>
          <w:p w14:paraId="3804F0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县级以上地方各级人民政府负有安全生产监督管理职责的部门应当建立健全重大事故隐患治理督办制度，督促生产经营单位消除重大事故隐患。</w:t>
            </w:r>
          </w:p>
          <w:p w14:paraId="711CC65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5FB758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3D0E298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24F375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4977FF1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4DEDBBA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1F0CE34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74B18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2F007D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370C97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34DF928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713C1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871" w:type="dxa"/>
            <w:vAlign w:val="center"/>
          </w:tcPr>
          <w:p w14:paraId="6DCF08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3ADE59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278536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374BDA6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7F64225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62317EE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8A312D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076C5DA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10E9A3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500BD1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0C261A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29153C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059D81D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64E698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457D04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2AA50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7625FD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A9C19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7A669F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124734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5067E96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4D87C51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66651E9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68A831BC">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77101B8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5ECA136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36168CFD">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6BB83F0D">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7881219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2FDB12F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36839BBB">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2CCE2C2B">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1A1AEEA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66B4650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27EDE9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776DF3C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26BDA15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1EC9B25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75B03FF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369BB1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2F0B9D3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7276D4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6345860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1992DD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37FBA0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137C499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26ECEA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727D21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507244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1CEE170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3B80059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4EEB3F1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1D8017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27BA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B8E57E7">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20</w:t>
            </w:r>
          </w:p>
        </w:tc>
        <w:tc>
          <w:tcPr>
            <w:tcW w:w="308" w:type="dxa"/>
            <w:vAlign w:val="center"/>
          </w:tcPr>
          <w:p w14:paraId="2D4D3F9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1E73D2AD">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对安全生产评价、检验、检测机构的监督检查</w:t>
            </w:r>
          </w:p>
        </w:tc>
        <w:tc>
          <w:tcPr>
            <w:tcW w:w="546" w:type="dxa"/>
            <w:vAlign w:val="center"/>
          </w:tcPr>
          <w:p w14:paraId="105BEFC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4DABEFE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38A114E1">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70FC37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55068C5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14:paraId="46B1C60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CF82C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2DBF13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25E156C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259664C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A64C23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044E7D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605FC2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261913C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2A71F5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8093F4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2.【部门规章】《安全评价检测检验机构管理办法》（2019年应急管理部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1号）第三条第三款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设区的市级人民政府、县级人民政府应急管理部门、煤矿安全生产监督管理部门按照各自的职责，对安全评价检测检验机构执业行为实施监督检查，并对发现的违法行为依法实施行政处罚。</w:t>
            </w:r>
          </w:p>
        </w:tc>
        <w:tc>
          <w:tcPr>
            <w:tcW w:w="1871" w:type="dxa"/>
            <w:vAlign w:val="center"/>
          </w:tcPr>
          <w:p w14:paraId="3680777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1B5F75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53CB5F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75F25E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258565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456BF7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0E200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6256F7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5F08A5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0F0B65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47A870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6943E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4E69DAC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7F77FF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5F4009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602BFA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024CC8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4CE2D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3A495FB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788FFD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174A3C6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1B8F759C">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577E486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56C5AF9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6F90F58B">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708E38A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7CBB409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0A745FD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5FEF9C47">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22B4465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08F2F8B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042483A8">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3764D01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3ECAC7C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2D5728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15C550A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348B9A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4824FA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484032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528616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46A2391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4F9524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4B9F407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21C048D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122B27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51FF16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186ECCB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4A08295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48249E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5B7E28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328EF7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1C3CDE7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57B6BF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2732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6C5B3C0E">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21</w:t>
            </w:r>
          </w:p>
        </w:tc>
        <w:tc>
          <w:tcPr>
            <w:tcW w:w="308" w:type="dxa"/>
            <w:vAlign w:val="center"/>
          </w:tcPr>
          <w:p w14:paraId="289179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26234F15">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对非煤矿山企业劳动条件、安全状况、作业场所、生产设备、职工安全教育和培训工作等情况的监督检查</w:t>
            </w:r>
          </w:p>
        </w:tc>
        <w:tc>
          <w:tcPr>
            <w:tcW w:w="546" w:type="dxa"/>
            <w:vAlign w:val="center"/>
          </w:tcPr>
          <w:p w14:paraId="13351A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2E52D00C">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048FC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0490085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169745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6DA865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110D12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319CBE9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5955AB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00BE9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215B1C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620FA8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342B933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B216B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47239B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2.【法律】《中华人民共和国矿山安全法》第三十三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县级以上各级人民政府劳动行政主管部门对矿山安全工作行使下列监督职责：</w:t>
            </w:r>
          </w:p>
          <w:p w14:paraId="290004A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（一）检查矿山企业和管理矿山企业的主管部门贯彻执行矿山安全法律、法规的情况；</w:t>
            </w:r>
          </w:p>
          <w:p w14:paraId="792600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（二）参加矿山建设工程安全设施的设计审查和竣工验收；</w:t>
            </w:r>
          </w:p>
          <w:p w14:paraId="0F0267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（三）检查矿山劳动条件和安全状况；</w:t>
            </w:r>
          </w:p>
          <w:p w14:paraId="230FD0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（四）检查矿山企业职工安全教育、培训工作；</w:t>
            </w:r>
          </w:p>
          <w:p w14:paraId="4F4230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（五）监督矿山企业提取和使用安全技术措施专项费用的情况；</w:t>
            </w:r>
          </w:p>
          <w:p w14:paraId="5A99763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（六）参加并监督矿山事故的调查和处理；</w:t>
            </w:r>
          </w:p>
          <w:p w14:paraId="03ACE1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（七）法律、行政法规规定的其他监督职责。</w:t>
            </w:r>
          </w:p>
        </w:tc>
        <w:tc>
          <w:tcPr>
            <w:tcW w:w="1871" w:type="dxa"/>
            <w:vAlign w:val="center"/>
          </w:tcPr>
          <w:p w14:paraId="7480D98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5D5D2C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1B5C1F8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1CFEB2C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145532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79AEDFE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4E09E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1CCBD1E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342EDCB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16C0A60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BB023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42D47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737AA98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695EB5F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6474B2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0D22C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79A68A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5E8B4C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7E73A8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0836E5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1497264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0E1EA4CB">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7F08570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3C955D8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58A5151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379FF65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6A245DC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138EF74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14039F2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60753663">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56E47426">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67AE323D">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05BC199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00EF94B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7CF17B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099994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45EE53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214223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347F358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7E01A9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7679CB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5235FC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164ACA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1959BC8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62214D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413E625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6BAF60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4044988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1F11F6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5661E6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4932D5A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548A95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4FF95A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1C36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0138C0EF">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22</w:t>
            </w:r>
          </w:p>
        </w:tc>
        <w:tc>
          <w:tcPr>
            <w:tcW w:w="308" w:type="dxa"/>
            <w:vAlign w:val="center"/>
          </w:tcPr>
          <w:p w14:paraId="7E24AD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48897F2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对危险化学品生产、储存、使用、经营、运输企业安全生产情况的监督检查和隐患排查</w:t>
            </w:r>
          </w:p>
        </w:tc>
        <w:tc>
          <w:tcPr>
            <w:tcW w:w="546" w:type="dxa"/>
            <w:vAlign w:val="center"/>
          </w:tcPr>
          <w:p w14:paraId="4C5A23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2004EE1E">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65E311E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7296D5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4DCD55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F3EA3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6D351E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47AD8E6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71E696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7044C8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1951602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56CA65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696369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3C6F7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BC108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2.【部门规章】《危险化学品安全管理条例》（2002年国务院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344号公布，2013年国务院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645号修订）第七十六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未经安全条件审查，新建、改建、扩建生产、储存危险化学品的建设项目的，由安全生产监督管理部门责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停止建设，限期改正；逾期不改正的，处50万元以上100万元以下的罚款；构成犯罪的，依法追究刑事责任。</w:t>
            </w:r>
          </w:p>
          <w:p w14:paraId="19222AC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负有危险化学品安全监督管理职责的部门依法进行监督检查，可以采取下列措施：</w:t>
            </w:r>
          </w:p>
          <w:p w14:paraId="3C870E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（一）进入危险化学品作业场所实施现场检查，向有关单位和人员了解情况，查阅、复制有关文件、资料；</w:t>
            </w:r>
          </w:p>
          <w:p w14:paraId="774C51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（二）发现危险化学品事故隐患，责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立即消除或者限期消除；</w:t>
            </w:r>
          </w:p>
          <w:p w14:paraId="104711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（三）对不符合法律、行政法规、规章规定或者国家标准、行业标准要求的设施、设备、装置、器材、运输工具，责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立即停止使用；</w:t>
            </w:r>
          </w:p>
          <w:p w14:paraId="17F12B1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经本部门主要负责人批准，查封违法生产、储存、使用、经营危险化学品的场所，扣押违法生产、储存、使用、经营、运输的危险化学品以及用于违法生产、使用、运输危险化学品的原材料、设备、运输工具；</w:t>
            </w:r>
          </w:p>
          <w:p w14:paraId="2E55EC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（五）发现影响危险化学品安全的违法行为，当场予以纠正或者</w:t>
            </w:r>
            <w:r>
              <w:rPr>
                <w:rFonts w:hint="eastAsia" w:eastAsia="仿宋_GB2312"/>
                <w:color w:val="auto"/>
                <w:kern w:val="0"/>
                <w:sz w:val="20"/>
                <w:szCs w:val="20"/>
                <w:highlight w:val="none"/>
                <w:lang w:eastAsia="zh-CN"/>
              </w:rPr>
              <w:t>责令限期</w:t>
            </w:r>
            <w:r>
              <w:rPr>
                <w:rFonts w:hint="eastAsia" w:ascii="Times New Roman" w:hAnsi="Times New Roman" w:eastAsia="仿宋_GB2312"/>
                <w:color w:val="auto"/>
                <w:kern w:val="0"/>
                <w:sz w:val="20"/>
                <w:szCs w:val="20"/>
                <w:highlight w:val="none"/>
              </w:rPr>
              <w:t>改正。</w:t>
            </w:r>
          </w:p>
          <w:p w14:paraId="0164A2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负有危险化学品安全监督管理职责的部门依法进行监督检查，监督检查人员不得少于2人，并应当出示执法证件；有关单位和个人对依法进行的监督检查应当予以配合，不得拒绝、阻碍。</w:t>
            </w:r>
          </w:p>
          <w:p w14:paraId="0E6B22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8719F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579EB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ACE7B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F7926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7BF18C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51957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8A89D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14:paraId="7846967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1063DAD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31E720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5D35DA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331487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0CF1EB89">
            <w:pPr>
              <w:widowControl/>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p w14:paraId="1D195A1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09D8B4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1F63B7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566ADEC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4EE6C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6F86F4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2769DB1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2C337F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6D8870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9104B2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507E805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F331C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31281CB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4942C0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48DC80C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0B43AEA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7912ECE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2A276EF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13CD3AD7">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00D9ACF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6D3FA41C">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3E7E170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03B32C3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56D67326">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1888518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7F4857B2">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01FC5F5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325DAA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59699A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791B68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7495F4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3C47D1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1AA6C7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2B6885C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66DE28E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1242244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4315C47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15995B3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5FA76AF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7299AB2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1A8E809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44ED40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20EA790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7063DD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75CF3A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5545CF7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711139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2A3A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088C4A6D">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23</w:t>
            </w:r>
          </w:p>
        </w:tc>
        <w:tc>
          <w:tcPr>
            <w:tcW w:w="308" w:type="dxa"/>
            <w:vAlign w:val="center"/>
          </w:tcPr>
          <w:p w14:paraId="699E14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6E7077BB">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对烟花爆竹生产企业的监督检查</w:t>
            </w:r>
          </w:p>
        </w:tc>
        <w:tc>
          <w:tcPr>
            <w:tcW w:w="546" w:type="dxa"/>
            <w:vAlign w:val="center"/>
          </w:tcPr>
          <w:p w14:paraId="56A438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6342E59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0BFE71A0">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6C7D67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14:paraId="0A044B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F417C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138101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7A8E86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2700914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83F5B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5FD54B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34317ED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0B9872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C08216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69DF2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2.【部门规章】《烟花爆竹生产企业安全生产许可证实施办法》（2012年国家安全监管总局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54号）第三十五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发证机关及所在地人民政府安全生产监督管理部门应当加强对烟花爆竹生产企业的监督检查，督促其依照法律、法规、规章和国家标准、行业标准的规定进行生产。</w:t>
            </w:r>
          </w:p>
        </w:tc>
        <w:tc>
          <w:tcPr>
            <w:tcW w:w="1871" w:type="dxa"/>
            <w:vAlign w:val="center"/>
          </w:tcPr>
          <w:p w14:paraId="0750F67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11C9A20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7EC766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479330E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104E7F7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3C1E2B9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4FB143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5E3B49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76E9A67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2E72CD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009E8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AC7D13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47FAC64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788575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6B3492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9EBCE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5EB6BB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7FE7D9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3CE6404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500F9B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754EDEE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4B9BF80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011A40C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24A9E0A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1017E4F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441D292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0A82867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76A687AD">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767C12E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0D2B214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78CF67F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1801E2A3">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697B35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050CF2D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4193977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24EB3B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7EC4EC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6E5F2FD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3FE04B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4529B79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62B752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2127524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5BA8E49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4CDB68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18793B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67DFA1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3B8B53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1898290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71AF594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7A3CBA1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5A6F399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5D234C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0D7BF3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2FE2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CEA5F94">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24</w:t>
            </w:r>
          </w:p>
        </w:tc>
        <w:tc>
          <w:tcPr>
            <w:tcW w:w="308" w:type="dxa"/>
            <w:vAlign w:val="center"/>
          </w:tcPr>
          <w:p w14:paraId="02B70E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5C0C429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对非药品类易制毒化学品生产、经营的监督检查</w:t>
            </w:r>
          </w:p>
        </w:tc>
        <w:tc>
          <w:tcPr>
            <w:tcW w:w="546" w:type="dxa"/>
            <w:vAlign w:val="center"/>
          </w:tcPr>
          <w:p w14:paraId="014624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36D17F93">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8B1ACF8">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1F88C45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14:paraId="7D70CC1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DDAF4B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7B6A9E5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5063EE5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6F9FD1C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22E7E2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BA43A7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2.【行政法规】《易制毒化学品管理条例》（2005年国务院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445号公布，2018年国务院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703号修订）第三十二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1606BDA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3.【部门规章】《非药品类易制毒化学品生产、经营许可实施办法》（2006年国家安全生产监督管理总局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60号）第二十五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县级以上人民政府安全生产监督管理部门应当加强非药品类易制毒化学品生产、经营的监督检查工作。</w:t>
            </w:r>
          </w:p>
        </w:tc>
        <w:tc>
          <w:tcPr>
            <w:tcW w:w="1871" w:type="dxa"/>
            <w:vAlign w:val="center"/>
          </w:tcPr>
          <w:p w14:paraId="6EC09D2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494DB40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0FBA357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6A1D86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668BCFC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263989D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4BD835B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365EDF9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4125C9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1E3484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730BF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1DBE56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566B15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62566C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072356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47153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39A207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FE6F94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212A81C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3A891A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441AC85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52E7AE43">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25E522C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0FC35873">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2B6CB99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7463D13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3BD8564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69F5D03B">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781AFCC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1461C59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558D970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2A61E996">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0C03C88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2789A7D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71FBA7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012D0F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5B46AF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2BCD27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7D9EC1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007522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629620B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2A80F9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0E0EF7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300575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2FC0F0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70CBB33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1F1180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5EF371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609A33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47D196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03E4362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489036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0B0A88E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5AA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04845D07">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25</w:t>
            </w:r>
          </w:p>
        </w:tc>
        <w:tc>
          <w:tcPr>
            <w:tcW w:w="308" w:type="dxa"/>
            <w:vAlign w:val="center"/>
          </w:tcPr>
          <w:p w14:paraId="5FDB383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16675B48">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对存在重大危险源的危险化学品单位的监督检查</w:t>
            </w:r>
          </w:p>
        </w:tc>
        <w:tc>
          <w:tcPr>
            <w:tcW w:w="546" w:type="dxa"/>
            <w:vAlign w:val="center"/>
          </w:tcPr>
          <w:p w14:paraId="307509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710A5A04">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0A4BE61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0CCA9A7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7C2F81B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93A60E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2107C8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45ECBF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45ADBD3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8A8AEC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276B52E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677DE37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6F7C28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CA4708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279935B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2.【部门规章】《危险化学品重大危险源监督管理暂行规定》（2011年国家安全生产监督管理总局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40号公布，2015年国家安全监管总局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79号修正）第三十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14:paraId="376B30F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首次对重大危险源的监督检查应当包括下列主要内容：</w:t>
            </w:r>
          </w:p>
          <w:p w14:paraId="5A8966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（一）重大危险源的运行情况、安全管理规章制度及安全操作规程制定和落实情况；</w:t>
            </w:r>
          </w:p>
          <w:p w14:paraId="37D0ED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（二）重大危险源的辨识、分级、安全评估、登记建档、备案情况；</w:t>
            </w:r>
          </w:p>
          <w:p w14:paraId="0A0C32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（三）重大危险源的监测监控情况；</w:t>
            </w:r>
          </w:p>
          <w:p w14:paraId="49A4D7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（四）重大危险源安全设施和安全监测监控系统的检测、检验以及维护保养情况；</w:t>
            </w:r>
          </w:p>
          <w:p w14:paraId="63B11C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（五）重大危险源事故应急预案的编制、评审、备案、修订和演练情况；</w:t>
            </w:r>
          </w:p>
          <w:p w14:paraId="32DD514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（六）有关从业人员的安全培训教育情况；</w:t>
            </w:r>
          </w:p>
          <w:p w14:paraId="4883913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（七）安全标志设置情况；</w:t>
            </w:r>
          </w:p>
          <w:p w14:paraId="553DDF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（八）应急救援器材、设备、物资配备情况；</w:t>
            </w:r>
          </w:p>
          <w:p w14:paraId="5DBD477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（九）预防和控制事故措施的落实情况。</w:t>
            </w:r>
          </w:p>
          <w:p w14:paraId="3CCD6B3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安全生产监督管理部门在监督检查中发现重大危险源存在事故隐患的，应当责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暂时停产停业或者停止使用；重大事故隐患排除后，经安全生产监督管理部门审查同意，方可恢复生产经营和使用。</w:t>
            </w:r>
          </w:p>
          <w:p w14:paraId="6FD9F1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BA2CE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408B5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F7B9D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CB551C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604411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122CE1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AAC99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58706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412141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F11FF8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14:paraId="7293087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75EF3A3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4DE1124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7F317B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0659114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6CD709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FCE25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7DF056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59E2F0B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0FF60F1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D6A25C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1EC50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6DC9CA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4F4E14E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32B4660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EB475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48AAD6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A39CD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5B8A6F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47D1E4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0769B07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338A2CB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14AFF7B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5B3F633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15076A1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3FEC8827">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06ED338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52C868A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2FDC291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1B09056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35A4463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10FBAC56">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6C1D3C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27C56D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2E86C5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4A0675B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1727DCA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2ECA476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5B164ED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747ED27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3999E7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211A9B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2C987FD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6434C96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2552644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26BB94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57EE81E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4387E44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182B50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6586914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52059D2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1822C6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4BA825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7CC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749170B7">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26</w:t>
            </w:r>
          </w:p>
        </w:tc>
        <w:tc>
          <w:tcPr>
            <w:tcW w:w="308" w:type="dxa"/>
            <w:vAlign w:val="center"/>
          </w:tcPr>
          <w:p w14:paraId="6557273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09678EA2">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对小型露天采石场安全生产情况隐患排查情况的监督检查</w:t>
            </w:r>
          </w:p>
        </w:tc>
        <w:tc>
          <w:tcPr>
            <w:tcW w:w="546" w:type="dxa"/>
            <w:vAlign w:val="center"/>
          </w:tcPr>
          <w:p w14:paraId="7E51AAB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51C3068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0F4B3E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6E8C04B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14:paraId="33A0C29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5707F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2F9568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276671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0FEABE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39D36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0963177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5FAF533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6CB0B90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20F25C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26F5E8D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2.【部门规章】《小型露天采石场安全管理与监督检查规定》（2011年国家安全监管总局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39号公布，2015年国家安全监管总局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安全生产监督管理部门应当加强对小型露天采石场的监督检查，对检查中发现的事故隐患和安全生产违法违规行为，依法作出现场处理或者实施行政处罚。</w:t>
            </w:r>
          </w:p>
        </w:tc>
        <w:tc>
          <w:tcPr>
            <w:tcW w:w="1871" w:type="dxa"/>
            <w:vAlign w:val="center"/>
          </w:tcPr>
          <w:p w14:paraId="5A0EDAB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706570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07168C6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6A1FCDC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54D445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0A9E952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5A7532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670254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382905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52C8F3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81A9E9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D9452D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3ADB08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3E95762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76F7E31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F552AE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44E85C1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0907B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38D184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4886497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09A5788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14:paraId="4765460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5A994F7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2E0C52B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7D99548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34E7D3C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254810A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7151EE2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77D702A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6A8AF93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1B9EA70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290FC315">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6D5AEA4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71304AE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16AF2A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5585ECD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0690E5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41F2BE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7904B0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561574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6237A7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3FA6D7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2DD1EB5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64CE0C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317C85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0AB8E1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0CC4AE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118887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51616B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0E4186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6CA8ED4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6A3321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4021833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157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F8E57D3">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27</w:t>
            </w:r>
          </w:p>
        </w:tc>
        <w:tc>
          <w:tcPr>
            <w:tcW w:w="308" w:type="dxa"/>
            <w:vAlign w:val="center"/>
          </w:tcPr>
          <w:p w14:paraId="6D79971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557B0D9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对地质勘探单位安全生产情况的监督检查</w:t>
            </w:r>
          </w:p>
        </w:tc>
        <w:tc>
          <w:tcPr>
            <w:tcW w:w="546" w:type="dxa"/>
            <w:vAlign w:val="center"/>
          </w:tcPr>
          <w:p w14:paraId="0DBE0E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29F9670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551E211F">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00E44D2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14:paraId="39AEBA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BAD07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5E4CEC4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17FCD7C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4F86E0C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492727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2531CD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5399EE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2D38CC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2E7F6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4F6F03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2.【部门规章】《金属与非金属矿产资源地质勘探安全生产监督管理暂行规定》（2010年国家安全监管总局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35号公布，2015年国家安全监管总局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78号修正）第二十二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安全生产监督管理部门应当加强对地质勘探单位安全生产的监督检查，对检查中发现的事故隐患和安全生产违法违规行为，依法作出现场处理或者实施行政处罚。</w:t>
            </w:r>
          </w:p>
        </w:tc>
        <w:tc>
          <w:tcPr>
            <w:tcW w:w="1871" w:type="dxa"/>
            <w:vAlign w:val="center"/>
          </w:tcPr>
          <w:p w14:paraId="368DB30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34506E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50BA7D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4E0D08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5AD615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1E061EC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60C097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72626D9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751CC02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1E606A0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37D611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2A2B40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13842F7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0EDD28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096D318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D094F4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1AE4B8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93FD48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2797F3D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409CE76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2B96567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因不履行或不正确履行行政职责，有下列情形的，行政机关及相关工作人员应承担相应责任：</w:t>
            </w:r>
          </w:p>
          <w:p w14:paraId="1D86D22A">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1.在实施监督检查时，索取或者收受他人钱物、谋取不正当利益的；</w:t>
            </w:r>
          </w:p>
          <w:p w14:paraId="74C71EB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2.违法实施行监督检查，给当事人的合法权益造成损害的；</w:t>
            </w:r>
          </w:p>
          <w:p w14:paraId="3B2FF0B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3.在实施行政检查中，滥用职权、玩忽职守、徇私舞弊的；</w:t>
            </w:r>
          </w:p>
          <w:p w14:paraId="0EBB5BD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4.在检查中对已发现的违法行为不给予制止或纠正，造成影响的；</w:t>
            </w:r>
          </w:p>
          <w:p w14:paraId="5D0927F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5.将行政检查所需经费违法进行摊派或向被检查人收取检查费的；</w:t>
            </w:r>
          </w:p>
          <w:p w14:paraId="5C23FBD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6.违反法定程序实施行政检查的；</w:t>
            </w:r>
          </w:p>
          <w:p w14:paraId="1807CC2C">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7.超出规定时间、次数或范围实施行政检查的；</w:t>
            </w:r>
          </w:p>
          <w:p w14:paraId="5D6798D6">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8.违反规定对同一被检查人开展重复检查的；</w:t>
            </w:r>
          </w:p>
          <w:p w14:paraId="185123C0">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9.其他违反法律法规等规定的行为。</w:t>
            </w:r>
          </w:p>
          <w:p w14:paraId="677C4AD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p>
          <w:p w14:paraId="2E1FDAB7">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1377F12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53F740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63620B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72AF98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34EAD0A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46734D1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31550C2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744D1C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68C4A5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7B068D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6B083A6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7C984B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765BA6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5A959F5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02B6961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0E3DE5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3EE3477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2B0CB82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64EC7C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630B6A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79D22A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6012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677A4996">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28</w:t>
            </w:r>
          </w:p>
        </w:tc>
        <w:tc>
          <w:tcPr>
            <w:tcW w:w="308" w:type="dxa"/>
            <w:vAlign w:val="center"/>
          </w:tcPr>
          <w:p w14:paraId="174934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14AFE861">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对生产经营单位应急预案的编制、定期演练和备案等事项的监督检查</w:t>
            </w:r>
          </w:p>
        </w:tc>
        <w:tc>
          <w:tcPr>
            <w:tcW w:w="546" w:type="dxa"/>
            <w:vAlign w:val="center"/>
          </w:tcPr>
          <w:p w14:paraId="302904E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5B997130">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0BC1172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69B8CF0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14:paraId="74E226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708C1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588C7C9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303EB44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33E607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0F6D30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763A97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400867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4AA03ED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5FAC8B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097724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2.【行政法规】《生产安全事故应急条例》（2019年国务院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708号）第三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4589AB5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1329A84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县级以上人民政府应急管理部门指导、协调本级人民政府其他负有安全生产监督管理职责的部门和下级人民政府的生产安全事故应急工作。</w:t>
            </w:r>
          </w:p>
          <w:p w14:paraId="26BA59B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乡、镇人民政府以及街道办事处等地方人民政府派出机关应当协助上级人民政府有关部门依法履行生产安全事故应急工作职责。</w:t>
            </w:r>
          </w:p>
          <w:p w14:paraId="26DCA1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3.【部门规章】《生产安全事故应急预案管理办法》（2016年国家安全生产监督管理总局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88号公布，2019年应急管理部</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2号修正）第四条第二款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14:paraId="7E84D7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F41473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3C4AB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877A74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592E1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238967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69243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0ECEC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608BB54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5DC012E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2DEAE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CC5357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2F2C5AE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044FD4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82916D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F0FF9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14:paraId="569FEA2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4B789CF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6BE87E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611D4B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652B520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0DE078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465CD60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1DCD6E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0FA889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741463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4DCE6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64B5A8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2C6A0A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0F21FC6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54A66F6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9DCD6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6C56DE0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2D639A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489A8BC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64EE2A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10C5196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14:paraId="2071B5CB">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1C38249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1F3D5E9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1D781286">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24799B23">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4B399912">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74907C8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0318C59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3E6079A8">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519361B3">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21B3EE73">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71D4C2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14EBA8A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1F90826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061252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2D7D7B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026607C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622417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7E20052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227619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7EF939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653FBB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0D26852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77CD76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15813B9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684EB5F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1EB5D8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121F946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4E466B1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526977C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5BF7023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58BEEA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1743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DD96790">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29</w:t>
            </w:r>
          </w:p>
        </w:tc>
        <w:tc>
          <w:tcPr>
            <w:tcW w:w="308" w:type="dxa"/>
            <w:vAlign w:val="center"/>
          </w:tcPr>
          <w:p w14:paraId="3A6637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14:paraId="2C3641F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对非煤矿山外包工程安全生产的监督检查</w:t>
            </w:r>
          </w:p>
        </w:tc>
        <w:tc>
          <w:tcPr>
            <w:tcW w:w="546" w:type="dxa"/>
            <w:vAlign w:val="center"/>
          </w:tcPr>
          <w:p w14:paraId="049FEC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075919FE">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A084521">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3505" w:type="dxa"/>
            <w:vAlign w:val="center"/>
          </w:tcPr>
          <w:p w14:paraId="6F17B05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14:paraId="144C96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0E544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76832E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12FE8D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787FEC6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A97FB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109A89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14:paraId="666362E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14:paraId="2FCDE6A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6B974A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6AB4B23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2.【部门规章】《非煤矿山外包工程安全管理暂行办法》（2013年国家安全监管总局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62号公布，2015年国家安全监管总局</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安全生产监督管理部门应当加强对外包工程的安全生产监督检查，重点检查下列事项：</w:t>
            </w:r>
          </w:p>
          <w:p w14:paraId="5D93B34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（一）发包单位非煤矿山安全生产许可证、安全生产管理协议、安全投入等情况；</w:t>
            </w:r>
          </w:p>
          <w:p w14:paraId="2CC654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（二）承包单位的施工资质、应当依法取得的非煤矿山安全生产许可证、安全投入落实、承包单位及其项目部的安全生产管理机构、技术力量配备、相关人员的安全资格和持证等情况；</w:t>
            </w:r>
          </w:p>
          <w:p w14:paraId="2F089B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（三）违法发包、转包、分项发包等行为。</w:t>
            </w:r>
          </w:p>
        </w:tc>
        <w:tc>
          <w:tcPr>
            <w:tcW w:w="1871" w:type="dxa"/>
            <w:vAlign w:val="center"/>
          </w:tcPr>
          <w:p w14:paraId="2F39A6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14:paraId="39FED20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14:paraId="0ECDCF0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14:paraId="0692DF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14:paraId="71A86B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14:paraId="17900C3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8C916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乐江镇社会治安综合治理办公室</w:t>
            </w:r>
          </w:p>
        </w:tc>
        <w:tc>
          <w:tcPr>
            <w:tcW w:w="5658" w:type="dxa"/>
            <w:vAlign w:val="center"/>
          </w:tcPr>
          <w:p w14:paraId="3C42304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14:paraId="762628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14:paraId="7AAA6BA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24C2F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F25D8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14:paraId="2D75D9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14:paraId="5BD1F9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立即排除；重大事故隐患排除前或者排除过程中无法保证安全的，应当责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从危险区域内撤出作业人员，责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暂时停产停业或者停止使用相关设施、设备；重大事故隐患排除后，经审查同意，方可恢复生产经营和使用；</w:t>
            </w:r>
          </w:p>
          <w:p w14:paraId="1FDDB26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FB33AB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14:paraId="6747D2B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F0F217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14:paraId="084B86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553FD47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14:paraId="1DB2577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14:paraId="1CEC0A5E">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14:paraId="455D003B">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14:paraId="5A47EB6D">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14:paraId="47A5F2C1">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14:paraId="54AE187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14:paraId="1A55BBFF">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14:paraId="74E4084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14:paraId="51BE1019">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14:paraId="57F073B5">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14:paraId="4BEC1F74">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14:paraId="37400CC8">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57D1334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14:paraId="0275BA5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633AAD1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14:paraId="28C8BC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2EDCB24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14:paraId="295202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14:paraId="732D9FD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14:paraId="5F9D597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14:paraId="5FECEB7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14:paraId="6391D7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14:paraId="220CDA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14:paraId="406D92A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40360DE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w:t>
            </w:r>
          </w:p>
          <w:p w14:paraId="11B4543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4EBB651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14:paraId="73FA95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14:paraId="47AC939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0B25E6C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，对直接负责的主管人员和其他直接责任人员依法给予处分；情节严重构成犯罪的，依法追究刑事责任。</w:t>
            </w:r>
          </w:p>
          <w:p w14:paraId="67D5F2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46C52BB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43D6077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6D93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1BFC3E9">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30</w:t>
            </w:r>
          </w:p>
        </w:tc>
        <w:tc>
          <w:tcPr>
            <w:tcW w:w="308" w:type="dxa"/>
            <w:vAlign w:val="center"/>
          </w:tcPr>
          <w:p w14:paraId="589F989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14:paraId="71DA12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《独生子女父母光荣证》核发</w:t>
            </w:r>
          </w:p>
        </w:tc>
        <w:tc>
          <w:tcPr>
            <w:tcW w:w="546" w:type="dxa"/>
            <w:vAlign w:val="center"/>
          </w:tcPr>
          <w:p w14:paraId="09B596D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7E4A15D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43B90031">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7A14D90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"javascript:SLC(18415926)" \o ""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1.【法律】《中华人民共和国人口与计划生育法》第二十七条第一款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在国家提倡一对夫妻生育一个子女期间，自愿终身只生育一个子女的夫妻，国家发给《独生子女父母光荣证》。</w:t>
            </w:r>
          </w:p>
          <w:p w14:paraId="5157090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auto"/>
                <w:kern w:val="0"/>
                <w:sz w:val="20"/>
                <w:szCs w:val="20"/>
                <w:highlight w:val="none"/>
              </w:rPr>
              <w:fldChar w:fldCharType="end"/>
            </w:r>
          </w:p>
        </w:tc>
        <w:tc>
          <w:tcPr>
            <w:tcW w:w="1871" w:type="dxa"/>
            <w:vAlign w:val="center"/>
          </w:tcPr>
          <w:p w14:paraId="1C86039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14:paraId="12B9351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14:paraId="4057348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14:paraId="0E7679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14:paraId="496746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14:paraId="21C8DF0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14:paraId="49CB3D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18497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36F41C1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14:paraId="1DE30F4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14:paraId="04F6F07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auto"/>
                <w:kern w:val="0"/>
                <w:sz w:val="20"/>
                <w:szCs w:val="20"/>
                <w:highlight w:val="none"/>
                <w:lang w:eastAsia="zh-CN"/>
              </w:rPr>
              <w:t>。</w:t>
            </w:r>
          </w:p>
          <w:p w14:paraId="3ED87A9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auto"/>
                <w:kern w:val="0"/>
                <w:sz w:val="20"/>
                <w:szCs w:val="20"/>
                <w:highlight w:val="none"/>
                <w:lang w:eastAsia="zh-CN"/>
              </w:rPr>
              <w:t>。</w:t>
            </w:r>
          </w:p>
          <w:p w14:paraId="5722496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14:paraId="78D2CC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14:paraId="0D2EC1C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1.不在办公场所公示依法应当公示的材料的；</w:t>
            </w:r>
          </w:p>
          <w:p w14:paraId="3168CAC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2.对符合条件不予受理或不应该受理而受理造成不良后果的；</w:t>
            </w:r>
          </w:p>
          <w:p w14:paraId="01BF4BC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3.没有按照工作要求核实申请人情况的；</w:t>
            </w:r>
          </w:p>
          <w:p w14:paraId="7239C1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rPr>
              <w:t>、收受贿赂或向当事人索取财物的；</w:t>
            </w:r>
          </w:p>
          <w:p w14:paraId="524105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5.其他违反法律法规规章文件规定的行为</w:t>
            </w:r>
            <w:r>
              <w:rPr>
                <w:rFonts w:hint="eastAsia" w:ascii="Times New Roman" w:hAnsi="Times New Roman" w:eastAsia="仿宋_GB2312"/>
                <w:color w:val="auto"/>
                <w:kern w:val="0"/>
                <w:sz w:val="20"/>
                <w:szCs w:val="20"/>
                <w:highlight w:val="none"/>
                <w:lang w:eastAsia="zh-CN"/>
              </w:rPr>
              <w:t>。</w:t>
            </w:r>
          </w:p>
          <w:p w14:paraId="50A059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14:paraId="19690435">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4E2636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14:paraId="6403CE1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14:paraId="03396FCB">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14:paraId="2FC4264D">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14:paraId="611BD228">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14:paraId="6F27B2B6">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14:paraId="49948590">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14:paraId="13110528">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14:paraId="77F12585">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14:paraId="0CEE37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14:paraId="0ED4F00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14:paraId="748B9451">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14:paraId="26BD5791">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14:paraId="4E627ACC">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14:paraId="42B5A62A">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14:paraId="2C9A4843">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14:paraId="6C559174">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p>
          <w:p w14:paraId="693E365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68F451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186C49C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120B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2CB0A942">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31</w:t>
            </w:r>
          </w:p>
        </w:tc>
        <w:tc>
          <w:tcPr>
            <w:tcW w:w="308" w:type="dxa"/>
            <w:vAlign w:val="center"/>
          </w:tcPr>
          <w:p w14:paraId="12062D3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14:paraId="052A6AE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流动人口婚育证明核发</w:t>
            </w:r>
          </w:p>
        </w:tc>
        <w:tc>
          <w:tcPr>
            <w:tcW w:w="546" w:type="dxa"/>
            <w:vAlign w:val="center"/>
          </w:tcPr>
          <w:p w14:paraId="7708A06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458D8AB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4BFFB380">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3182073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流动人口的计划生育工作由其户籍所在地和现居住地的人民政府共同负责管理，以现居住地为主。</w:t>
            </w:r>
          </w:p>
          <w:p w14:paraId="5C6BD2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流动人口计划生育工作的具体管理办法、计划生育技术服务的具体管理办法和社会抚养费的征收管理办法，由国务院制定。</w:t>
            </w:r>
          </w:p>
          <w:p w14:paraId="0685F7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2.【行政法规】《流动人口计划生育工作条例》（2009年国务院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555号）第七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14:paraId="6B6AEC8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流动人口户籍所在地的乡（镇）人民政府、街道办事处应当及时出具婚育证明。</w:t>
            </w:r>
          </w:p>
        </w:tc>
        <w:tc>
          <w:tcPr>
            <w:tcW w:w="1871" w:type="dxa"/>
            <w:vAlign w:val="center"/>
          </w:tcPr>
          <w:p w14:paraId="1CE349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14:paraId="050D6C7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14:paraId="1F406B8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14:paraId="0495095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14:paraId="57E92CD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14:paraId="1A2AD16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14:paraId="4CD620C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F669E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1EEAB3F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14:paraId="6394272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14:paraId="6B05015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14:paraId="1702CC2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14:paraId="0868E4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lang w:eastAsia="zh-CN"/>
              </w:rPr>
              <w:t>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14:paraId="27F758C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方正书宋_GBK" w:hAnsi="宋体" w:eastAsia="方正书宋_GBK"/>
                <w:color w:val="auto"/>
                <w:kern w:val="0"/>
                <w:sz w:val="20"/>
                <w:szCs w:val="20"/>
                <w:highlight w:val="none"/>
              </w:rPr>
              <w:t xml:space="preserve"> </w:t>
            </w: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14:paraId="4DE8BFD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1.对符合条件不予受理或不应该受理而受理造成不良后果的；</w:t>
            </w:r>
          </w:p>
          <w:p w14:paraId="0261857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2.没有严格按照工作规程组织鉴定，违反公开、透明、公正的原则，未能真实反映情况的；</w:t>
            </w:r>
          </w:p>
          <w:p w14:paraId="688661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3.收受贿赂或向当事人索取财物的；</w:t>
            </w:r>
          </w:p>
          <w:p w14:paraId="16ECA72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lang w:eastAsia="zh-CN"/>
              </w:rPr>
              <w:t>、提供不实材料，导致不正确鉴定结论的；</w:t>
            </w:r>
          </w:p>
          <w:p w14:paraId="2CDCB5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5.其他违反法律法规规章文件规定的行为。</w:t>
            </w:r>
          </w:p>
          <w:p w14:paraId="0032CE8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14:paraId="174966B1">
            <w:pPr>
              <w:widowControl/>
              <w:shd w:val="clear"/>
              <w:adjustRightInd w:val="0"/>
              <w:snapToGrid w:val="0"/>
              <w:spacing w:line="30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0E38021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14:paraId="4930148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14:paraId="5CAC34D1">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14:paraId="42C42644">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14:paraId="0D556226">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14:paraId="65D1F289">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14:paraId="1D6440AE">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14:paraId="02E237EB">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14:paraId="617ABC47">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14:paraId="12A153F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14:paraId="6E32D31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14:paraId="330AAFE5">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14:paraId="0FCDEAB3">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14:paraId="3174C069">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14:paraId="0D335431">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14:paraId="2314C8FE">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14:paraId="09417B4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14:paraId="549E9A3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575AE1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6F8B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15CAB715">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32</w:t>
            </w:r>
          </w:p>
        </w:tc>
        <w:tc>
          <w:tcPr>
            <w:tcW w:w="308" w:type="dxa"/>
            <w:vAlign w:val="center"/>
          </w:tcPr>
          <w:p w14:paraId="11B316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14:paraId="2694A8E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生育登记（一孩/二孩）</w:t>
            </w:r>
          </w:p>
        </w:tc>
        <w:tc>
          <w:tcPr>
            <w:tcW w:w="546" w:type="dxa"/>
            <w:vAlign w:val="center"/>
          </w:tcPr>
          <w:p w14:paraId="29CB36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227E8646">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696C1F8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48337DC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地方性法规】《广西壮族自治区人口和计划生育条例》（2012年广西壮族自治区第十一届人民代表大会常务委员会第二十七次会议通过，2020年广西壮族自治区第十三届人民代表大会常务委员会第十八次会议第四次修正）　第十七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71" w:type="dxa"/>
            <w:vAlign w:val="center"/>
          </w:tcPr>
          <w:p w14:paraId="4CF77C0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14:paraId="052A711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14:paraId="68BD20D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14:paraId="69A318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14:paraId="26CED04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5.事后监管责任：定期或不定期检查已发单位是否有违反《放射诊疗管理规定》的行为，对违法行为依法查处，并给予有关责任人相关处分。</w:t>
            </w:r>
          </w:p>
          <w:p w14:paraId="7A3BD61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14:paraId="48A92B8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4F778C8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0483C5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auto"/>
                <w:kern w:val="0"/>
                <w:sz w:val="20"/>
                <w:szCs w:val="20"/>
                <w:highlight w:val="none"/>
                <w:lang w:eastAsia="zh-CN"/>
              </w:rPr>
              <w:t>关应当说明、解释，提供准确、可靠的信息。</w:t>
            </w:r>
          </w:p>
          <w:p w14:paraId="289273B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auto"/>
                <w:kern w:val="0"/>
                <w:sz w:val="20"/>
                <w:szCs w:val="20"/>
                <w:highlight w:val="none"/>
                <w:lang w:eastAsia="zh-CN"/>
              </w:rPr>
              <w:t>用印章和注明日期的书面凭证。</w:t>
            </w:r>
          </w:p>
          <w:p w14:paraId="7D72FAA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【行政法规】《医师执业注册暂行办法》第八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注册主管部门应当自收到注册申请之日起30日内，对申请人提交的申请材料进行审核。审核合格的，予以注册，并发给卫生部统一印制的《医师执业证书》。</w:t>
            </w:r>
          </w:p>
          <w:p w14:paraId="0622C4F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对不符合注册条件的，注册主管部门应当自收到注册申请之日起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日内，书面通知申请人，并说明理由。申请人如有异议的，可以依法申请行政复议或者向人民法院提起行政诉讼。</w:t>
            </w:r>
          </w:p>
          <w:p w14:paraId="16EEA94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日内办理变更注册手续。对因不符合变更注册条件不予变更的，应当自收到变更注册申请之日起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日内书面通知申请人，并说明理由。申请人如有异议的，可以依法申请行政复议或者向人民法院提起诉讼。</w:t>
            </w:r>
          </w:p>
          <w:p w14:paraId="707636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2A62F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14:paraId="60DC82C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14:paraId="3982C04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w:t>
            </w:r>
          </w:p>
          <w:p w14:paraId="2D984EA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依法应当先经下级行政机关审查后报上级行政机关决定的行政许可，下级行政机关应当自其受理行政许可申请之日起二十日内审查完毕。但是，法律、法规另有规定的，依照其规定。</w:t>
            </w:r>
          </w:p>
          <w:p w14:paraId="60E841D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0636461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14:paraId="4B91A82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14:paraId="6D948592">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14:paraId="15F758E3">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14:paraId="6226FCF0">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14:paraId="6D647876">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14:paraId="33DFD7ED">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14:paraId="360A42BD">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14:paraId="466851FD">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14:paraId="12DA1308">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14:paraId="41B0EF35">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14:paraId="58CEABAD">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14:paraId="1F968D90">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14:paraId="4B576DA6">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14:paraId="01E77F8C">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14:paraId="2DF365BB">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14:paraId="1147B820">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p>
          <w:p w14:paraId="50225D84">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19C888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70918B6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26A8A2D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21D5431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53AD0C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3CD62B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A9EE5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4D8651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7A62ECA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043584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757A26C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1071D6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31B0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2F63876D">
            <w:pPr>
              <w:widowControl/>
              <w:shd w:val="clear"/>
              <w:adjustRightInd w:val="0"/>
              <w:snapToGrid w:val="0"/>
              <w:spacing w:line="294"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33</w:t>
            </w:r>
          </w:p>
        </w:tc>
        <w:tc>
          <w:tcPr>
            <w:tcW w:w="308" w:type="dxa"/>
            <w:vAlign w:val="center"/>
          </w:tcPr>
          <w:p w14:paraId="6309B82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14:paraId="7C266E37">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出具非医学需要鉴定胎儿性别和选择性终止妊娠的证明</w:t>
            </w:r>
          </w:p>
        </w:tc>
        <w:tc>
          <w:tcPr>
            <w:tcW w:w="546" w:type="dxa"/>
            <w:vAlign w:val="center"/>
          </w:tcPr>
          <w:p w14:paraId="0867957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1757B09E">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3A917A8D">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乐江镇社会事务服务办公室</w:t>
            </w:r>
          </w:p>
        </w:tc>
        <w:tc>
          <w:tcPr>
            <w:tcW w:w="3505" w:type="dxa"/>
            <w:vAlign w:val="center"/>
          </w:tcPr>
          <w:p w14:paraId="4C9262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符合法定生育条件且妊娠十四周以上的妇女不得人工终止妊娠，但有下列情形之一的除外：</w:t>
            </w:r>
          </w:p>
          <w:p w14:paraId="40EFBA6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（一）胎儿有严重缺陷或者患有严重遗传性疾病的；</w:t>
            </w:r>
          </w:p>
          <w:p w14:paraId="4816DD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（二）妊娠妇女患有严重疾病，继续妊娠将危及生命安全或者严重危害健康的；</w:t>
            </w:r>
          </w:p>
          <w:p w14:paraId="1DEF78B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（三）经自治区人民政府卫生行政部门指定的医疗保健机构诊断认为需要终止妊娠的；</w:t>
            </w:r>
          </w:p>
          <w:p w14:paraId="094949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（四）离婚、丧偶等要求终止妊娠的。</w:t>
            </w:r>
          </w:p>
          <w:p w14:paraId="21B00CD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医疗保健机构或者计划生育技术服务机构施行人工终止妊娠手术前，应当遵守下列规定：</w:t>
            </w:r>
          </w:p>
          <w:p w14:paraId="7135184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（一）有第八条和第九条第一项、第二项、第三项规定情形之一的，查验本人身份证明和自治区人民政府卫生行政部门指定的医疗保健机构或者开展产前诊断的县级以上医疗保健机构出具的医学诊断证明；</w:t>
            </w:r>
          </w:p>
          <w:p w14:paraId="6E9662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（二）有第九条第四项规定情形的，查验本人身份证明和县级人民政府人口和计划生育行政部门或者所在乡（镇）人民政府、街道办事处计划生育工作机构出具的证明。</w:t>
            </w:r>
          </w:p>
        </w:tc>
        <w:tc>
          <w:tcPr>
            <w:tcW w:w="1871" w:type="dxa"/>
            <w:vAlign w:val="center"/>
          </w:tcPr>
          <w:p w14:paraId="1258EDE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1.受理环节责任：公示依法应当提交的材料和受理条件；一次性告知补齐补正材料；依法受理或不予受理（不予受理应当告知理由）。</w:t>
            </w:r>
          </w:p>
          <w:p w14:paraId="1F86196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2.审查环节责任：审核材料真实性和合法性，并提出审查意见。</w:t>
            </w:r>
          </w:p>
          <w:p w14:paraId="105969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3.决定环节责任：作出行政许可或不予行政许可的决定（不予许可的应书面说明理由，并告知当事人享有依法申请行政复议或提起行政诉讼的权利）。</w:t>
            </w:r>
          </w:p>
          <w:p w14:paraId="45804E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4.送达环节责任：准予许可的，制发许可证书或批件。</w:t>
            </w:r>
          </w:p>
          <w:p w14:paraId="430C2A5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5.</w:t>
            </w:r>
            <w:r>
              <w:rPr>
                <w:rFonts w:hint="eastAsia" w:ascii="Times New Roman" w:hAnsi="Times New Roman" w:eastAsia="仿宋_GB2312"/>
                <w:color w:val="auto"/>
                <w:kern w:val="0"/>
                <w:sz w:val="20"/>
                <w:szCs w:val="20"/>
                <w:highlight w:val="none"/>
              </w:rPr>
              <w:t>其他法律法规规章文件规定应履行的责任。</w:t>
            </w:r>
          </w:p>
          <w:p w14:paraId="589902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3168E67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乐江镇社会事务服务办公室</w:t>
            </w:r>
            <w:r>
              <w:rPr>
                <w:rFonts w:hint="eastAsia" w:eastAsia="仿宋_GB2312"/>
                <w:color w:val="auto"/>
                <w:kern w:val="0"/>
                <w:sz w:val="20"/>
                <w:szCs w:val="20"/>
                <w:highlight w:val="none"/>
                <w:lang w:eastAsia="zh-CN"/>
              </w:rPr>
              <w:t>）</w:t>
            </w:r>
          </w:p>
        </w:tc>
        <w:tc>
          <w:tcPr>
            <w:tcW w:w="5658" w:type="dxa"/>
            <w:vAlign w:val="center"/>
          </w:tcPr>
          <w:p w14:paraId="0FAEA6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0664D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E7EB0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14:paraId="2B2FB85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tc>
        <w:tc>
          <w:tcPr>
            <w:tcW w:w="2035" w:type="dxa"/>
            <w:vAlign w:val="center"/>
          </w:tcPr>
          <w:p w14:paraId="001FB6A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14:paraId="6AB446C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1.对符合法定条件的申请不予受理；</w:t>
            </w:r>
          </w:p>
          <w:p w14:paraId="05560E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2.对不符合条件的申请，违规受理，造成不良影响的；</w:t>
            </w:r>
          </w:p>
          <w:p w14:paraId="0E282B1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3.其他违反法律法规政策规定的行为。</w:t>
            </w:r>
          </w:p>
          <w:p w14:paraId="7CEF64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14:paraId="6CF62996">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4CA0CC3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3CF21D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0C7A89C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8E984A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tc>
        <w:tc>
          <w:tcPr>
            <w:tcW w:w="532" w:type="dxa"/>
            <w:vAlign w:val="center"/>
          </w:tcPr>
          <w:p w14:paraId="7B0707F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DB667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249B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65F2C2DC">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34</w:t>
            </w:r>
          </w:p>
        </w:tc>
        <w:tc>
          <w:tcPr>
            <w:tcW w:w="308" w:type="dxa"/>
            <w:vAlign w:val="center"/>
          </w:tcPr>
          <w:p w14:paraId="0D589C9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14:paraId="0904D605">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经济              普查</w:t>
            </w:r>
          </w:p>
        </w:tc>
        <w:tc>
          <w:tcPr>
            <w:tcW w:w="546" w:type="dxa"/>
            <w:vAlign w:val="center"/>
          </w:tcPr>
          <w:p w14:paraId="0F162C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4E2583F9">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w:t>
            </w:r>
            <w:r>
              <w:rPr>
                <w:rFonts w:hint="eastAsia" w:ascii="Times New Roman" w:hAnsi="Times New Roman" w:eastAsia="仿宋_GB2312"/>
                <w:color w:val="auto"/>
                <w:kern w:val="0"/>
                <w:sz w:val="20"/>
                <w:szCs w:val="20"/>
                <w:highlight w:val="none"/>
                <w:lang w:eastAsia="zh-CN"/>
              </w:rPr>
              <w:t>人民政府</w:t>
            </w:r>
          </w:p>
        </w:tc>
        <w:tc>
          <w:tcPr>
            <w:tcW w:w="1008" w:type="dxa"/>
            <w:vAlign w:val="center"/>
          </w:tcPr>
          <w:p w14:paraId="44C1854A">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w:t>
            </w:r>
            <w:r>
              <w:rPr>
                <w:rFonts w:hint="eastAsia" w:ascii="Times New Roman" w:hAnsi="Times New Roman" w:eastAsia="仿宋_GB2312"/>
                <w:color w:val="auto"/>
                <w:kern w:val="0"/>
                <w:sz w:val="20"/>
                <w:szCs w:val="20"/>
                <w:highlight w:val="none"/>
                <w:lang w:eastAsia="zh-CN"/>
              </w:rPr>
              <w:t>经济发展办公室</w:t>
            </w:r>
          </w:p>
        </w:tc>
        <w:tc>
          <w:tcPr>
            <w:tcW w:w="3505" w:type="dxa"/>
            <w:vAlign w:val="center"/>
          </w:tcPr>
          <w:p w14:paraId="04CB4C1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【行政法规】《全国经济普查条例》（2004年国务院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415号发布，2018年国务院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702号修订）第十六条：地方各级人民政府设立经济普查领导小组及其办公室，按照国务院经济普查领导小组及其办公室的统一规定和要求，具体组织实施当地的经济普查工作。</w:t>
            </w:r>
          </w:p>
          <w:p w14:paraId="51558EB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街道办事处和居（村）民委员会应当广泛动员和组织社会力量积极参与并认真做好经济普查工作。</w:t>
            </w:r>
          </w:p>
        </w:tc>
        <w:tc>
          <w:tcPr>
            <w:tcW w:w="1871" w:type="dxa"/>
            <w:vAlign w:val="center"/>
          </w:tcPr>
          <w:p w14:paraId="4F59DD5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1.启动阶段责任：广泛动员和组织社会力量积极参与经济普查工作。</w:t>
            </w:r>
          </w:p>
          <w:p w14:paraId="513B6CC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14:paraId="50463A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14:paraId="71E2918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14:paraId="2BBA4AF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DC8922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w:t>
            </w:r>
            <w:r>
              <w:rPr>
                <w:rFonts w:hint="eastAsia" w:ascii="Times New Roman" w:hAnsi="Times New Roman" w:eastAsia="仿宋_GB2312"/>
                <w:color w:val="auto"/>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14:paraId="2D55FB6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1.【行政法规】《全国经济普查条例》（2018年8月11日国务院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14:paraId="77F823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2.【行政法规】《全国经济普查条例》（2018年8月11日国务院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或者授意经济普查机构、经济普查人员篡改经济普查资料或者编造虚假数据。</w:t>
            </w:r>
          </w:p>
          <w:p w14:paraId="78D9679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3.【行政法规】《全国经济普查条例》（2018年8月11日国务院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035" w:type="dxa"/>
            <w:vAlign w:val="center"/>
          </w:tcPr>
          <w:p w14:paraId="5317867C">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14:paraId="0B9747CA">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14:paraId="35BA6585">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14:paraId="069F9527">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14:paraId="260EACAD">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14:paraId="5CA1C6D1">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p w14:paraId="66C85EAE">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67353FE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【法规】《广西壮族自治区统计监督检查条例》（1997年12月4日广西壮族自治区第八届人民代表大会常务委员会第三十一次会议修正）</w:t>
            </w:r>
          </w:p>
          <w:p w14:paraId="74F315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统计检查员玩忽职守、收受贿赂、徇私舞弊的，给予行政处分，构成犯罪的，依法追究刑事责任。</w:t>
            </w:r>
          </w:p>
          <w:p w14:paraId="43A4AA7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 违反统计资料保密规定的，按照法律、法规和国家有关规定处理。</w:t>
            </w:r>
          </w:p>
        </w:tc>
        <w:tc>
          <w:tcPr>
            <w:tcW w:w="532" w:type="dxa"/>
            <w:vAlign w:val="center"/>
          </w:tcPr>
          <w:p w14:paraId="4CA174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43B1C21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14:paraId="6032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5B8B8B28">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35</w:t>
            </w:r>
          </w:p>
        </w:tc>
        <w:tc>
          <w:tcPr>
            <w:tcW w:w="308" w:type="dxa"/>
            <w:vAlign w:val="center"/>
          </w:tcPr>
          <w:p w14:paraId="3E0B81E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14:paraId="0A6BB4D5">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农业                普查</w:t>
            </w:r>
          </w:p>
        </w:tc>
        <w:tc>
          <w:tcPr>
            <w:tcW w:w="546" w:type="dxa"/>
            <w:vAlign w:val="center"/>
          </w:tcPr>
          <w:p w14:paraId="23FE940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60B41755">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乐江镇人民政府</w:t>
            </w:r>
          </w:p>
        </w:tc>
        <w:tc>
          <w:tcPr>
            <w:tcW w:w="1008" w:type="dxa"/>
            <w:vAlign w:val="center"/>
          </w:tcPr>
          <w:p w14:paraId="34FD5F3C">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w:t>
            </w:r>
            <w:r>
              <w:rPr>
                <w:rFonts w:hint="eastAsia" w:eastAsia="仿宋_GB2312" w:cs="宋体"/>
                <w:kern w:val="0"/>
                <w:sz w:val="20"/>
                <w:szCs w:val="20"/>
                <w:highlight w:val="none"/>
                <w:lang w:eastAsia="zh-CN"/>
              </w:rPr>
              <w:t>经济发展办公室</w:t>
            </w:r>
          </w:p>
        </w:tc>
        <w:tc>
          <w:tcPr>
            <w:tcW w:w="3505" w:type="dxa"/>
            <w:vAlign w:val="center"/>
          </w:tcPr>
          <w:p w14:paraId="3F7E90A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【行政法规】《全国农业普查条例》（2006年国务院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14:paraId="161373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tc>
        <w:tc>
          <w:tcPr>
            <w:tcW w:w="1871" w:type="dxa"/>
            <w:vAlign w:val="center"/>
          </w:tcPr>
          <w:p w14:paraId="5873D72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1.启动阶段责任：广泛动员和组织社会力量积极参与农业普查工作。</w:t>
            </w:r>
          </w:p>
          <w:p w14:paraId="5BC1328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14:paraId="2B8813F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14:paraId="6C231B8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14:paraId="2AE5A60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7BA5153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14:paraId="7B6AF8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1.【行政法规】《全国农业普查条例》（2006年8月23日中华人民共和国国务院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14:paraId="1966A89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p w14:paraId="1E0F58F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2.【行政法规】《全国农业普查条例》（2006年8月23日中华人民共和国国务院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、授意普查办公室、普查人员和普查对象篡改农业普查资料或者编造虚假数据，不得对拒绝、抵制篡改农业普查资料或者拒绝、抵制编造虚假数据的人员打击报复。</w:t>
            </w:r>
          </w:p>
          <w:p w14:paraId="01C6E1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3.【行政法规】《全国农业普查条例》（2006年8月23日中华人民共和国国务院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第473号发布）第二十六条：农业普查数据处理方案和实施办法，由国务院农业普查领导小组办公室制订。 地方普查办公室应当按照数据处理方案和实施办法的规定进行数据处理，并按时上报普查数据。</w:t>
            </w:r>
          </w:p>
        </w:tc>
        <w:tc>
          <w:tcPr>
            <w:tcW w:w="2035" w:type="dxa"/>
            <w:vAlign w:val="center"/>
          </w:tcPr>
          <w:p w14:paraId="3E26E60E">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14:paraId="1B63B8F4">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14:paraId="7011AB4C">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14:paraId="04458A4F">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14:paraId="2F38259D">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14:paraId="5A0AF842">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14:paraId="0712FAF9">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0407133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【行政法规】《全国农业普查条例》（2006年8月23日中华人民共和国国务院</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 xml:space="preserve"> 第473号发布）第三十六条对认真执行本条例,忠于职守,坚持原则,做出显著成绩的单位和个人,应当给予奖励。</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第三十七条　地方、部门、单位的领导人自行修改农业普查资料,强</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第三十八条　普查人员不执行普查方案,伪造、篡改普查资料,强</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、授意普查对象提供虚假普查资料的,由县级以上人民政府统计机构或者国家统计局派出的调查队</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,依法给予行政处分或者纪律处分,并可以给予通报批评。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第三十九条　农业普查对象有下列违法行为之一的,由县级以上人民政府统计机构或者国家统计局派出的调查队</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,给予通报批评；情节严重的,对负有直接责任的主管人员和其他直接责任人员依法给予行政处分或者纪律处分：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（一）拒绝或者妨碍普查办公室、普查人员依法进行调查的；（二）提供虚假或者不完整的农业普查资料的；（三）未按时提供与农业普查有关的资料,经催报后仍未提供的；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（四）拒绝、推诿和阻挠依法进行的农业普查执法检查的；（五）在接受农业普查执法检查时,转移、隐匿、篡改、毁弃原始记录、统计台账、普查表、会计资料及其他相关资料的。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农业普查对象有本条第一款第（一）、（四）项所列违法行为之一的,由公安机关依法给予治安管理处罚。</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第四十条　普查人员失职、渎职等造成严重后果的,应当依法给予行政处分或者纪律处分,并可以由县级以上人民政府统计机构或者国家统计局派出的调查队给予通报批评。</w:t>
            </w:r>
          </w:p>
        </w:tc>
        <w:tc>
          <w:tcPr>
            <w:tcW w:w="532" w:type="dxa"/>
            <w:vAlign w:val="center"/>
          </w:tcPr>
          <w:p w14:paraId="1FC501C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354D8B7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14:paraId="0A91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3C68F76A">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36</w:t>
            </w:r>
          </w:p>
        </w:tc>
        <w:tc>
          <w:tcPr>
            <w:tcW w:w="308" w:type="dxa"/>
            <w:vAlign w:val="center"/>
          </w:tcPr>
          <w:p w14:paraId="50F9620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14:paraId="6E46820C">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人口             普查</w:t>
            </w:r>
          </w:p>
        </w:tc>
        <w:tc>
          <w:tcPr>
            <w:tcW w:w="546" w:type="dxa"/>
            <w:vAlign w:val="center"/>
          </w:tcPr>
          <w:p w14:paraId="7835754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76141829">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乐江镇人民政府</w:t>
            </w:r>
          </w:p>
        </w:tc>
        <w:tc>
          <w:tcPr>
            <w:tcW w:w="1008" w:type="dxa"/>
            <w:vAlign w:val="center"/>
          </w:tcPr>
          <w:p w14:paraId="20974BE1">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w:t>
            </w:r>
            <w:r>
              <w:rPr>
                <w:rFonts w:hint="eastAsia" w:eastAsia="仿宋_GB2312" w:cs="宋体"/>
                <w:kern w:val="0"/>
                <w:sz w:val="20"/>
                <w:szCs w:val="20"/>
                <w:highlight w:val="none"/>
                <w:lang w:eastAsia="zh-CN"/>
              </w:rPr>
              <w:t>经济发展办公室</w:t>
            </w:r>
          </w:p>
        </w:tc>
        <w:tc>
          <w:tcPr>
            <w:tcW w:w="3505" w:type="dxa"/>
            <w:vAlign w:val="center"/>
          </w:tcPr>
          <w:p w14:paraId="6D7A356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【行政法规】《全国人口普查条例》（2010年国务院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576号）第三条：人口普查工作按照全国统一领导、部门分工协作、地方分级负责、各方共同参与的原则组织实施。</w:t>
            </w:r>
          </w:p>
          <w:p w14:paraId="3FBFE65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国务院统一领导全国人口普查工作，研究决定人口普查中的重大问题。地方各级人民政府按照国务院的统一规定和要求，领导本行政区域的人口普查工作。</w:t>
            </w:r>
          </w:p>
          <w:p w14:paraId="37DEC3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在人口普查工作期间，各级人民政府设立由统计机构和有关部门组成的人口普查机构（以下简称普查机构），负责人口普查的组织实施工作。</w:t>
            </w:r>
          </w:p>
          <w:p w14:paraId="10CE44E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tc>
        <w:tc>
          <w:tcPr>
            <w:tcW w:w="1871" w:type="dxa"/>
            <w:vAlign w:val="center"/>
          </w:tcPr>
          <w:p w14:paraId="27E16D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1.启动阶段责任：广泛动员和组织社会力量积极参与人口普查工作。</w:t>
            </w:r>
          </w:p>
          <w:p w14:paraId="6D1D58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14:paraId="7D48BCE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14:paraId="114B01E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14:paraId="226C9BE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072350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（乐江镇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14:paraId="143A626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1.【行政法规】《全国人口普查条例》（2010年5月12日中华人民共和国国务院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14:paraId="68F33D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p w14:paraId="4E3D64E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2.【行政法规】《全国人口普查条例》（2010年5月12日中华人民共和国国务院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14:paraId="78CCF51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3.【行政法规】《全国人口普查条例》（2010年5月12日中华人民共和国国务院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第576号发布）第二十九条：地方各级普查机构应当按照普查方案的规定进行数据处理，并按时上报人口普查资料。</w:t>
            </w:r>
          </w:p>
        </w:tc>
        <w:tc>
          <w:tcPr>
            <w:tcW w:w="2035" w:type="dxa"/>
            <w:vAlign w:val="center"/>
          </w:tcPr>
          <w:p w14:paraId="24A534B4">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14:paraId="53F78D14">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14:paraId="12274C4D">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14:paraId="3B21CB89">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14:paraId="05C70B07">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14:paraId="4E7284C9">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14:paraId="26209442">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55FD533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1.【行政法规】《全国人口普查条例》（2010年5月12日中华人民共和国国务院</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 xml:space="preserve"> 第576号发布）第三十四条　地方人民政府、政府统计机构或者有关部门、单位的负责人有下列行为之一的,由任免机关或者监察机关依法给予处分,并由县级以上人民政府统计机构予以通报；构成犯罪的,依法追究刑事责任: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（六）对本地方、本部门、本单位发生的严重人口普查违法行为失察的。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第三十五条　普查机构在组织实施人口普查活动中有下列违法行为之一的,由本级人民政府或者上级人民政府统计机构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,予以通报；对直接负责的主管人员和其他直接责任人员,由任免机关或者监察机关依法给予处分: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其停止执行人口普查任务,予以通报,依法给予处分。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第三十六条　人口普查对象拒绝提供人口普查所需的资料,或者提供不真实、不完整的人口普查资料的,由县级以上人民政府统计机构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,予以批评教育。</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人口普查对象阻碍普查机构和普查人员依法开展人口普查工作,构成违反治安管理行为的,由公安机关依法给予处罚。</w:t>
            </w:r>
          </w:p>
        </w:tc>
        <w:tc>
          <w:tcPr>
            <w:tcW w:w="532" w:type="dxa"/>
            <w:vAlign w:val="center"/>
          </w:tcPr>
          <w:p w14:paraId="06A2EE3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7A07D4D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14:paraId="0DF9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28DA8E53">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37</w:t>
            </w:r>
          </w:p>
        </w:tc>
        <w:tc>
          <w:tcPr>
            <w:tcW w:w="308" w:type="dxa"/>
            <w:vAlign w:val="center"/>
          </w:tcPr>
          <w:p w14:paraId="77053F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14:paraId="2661D998">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统计资料的补正</w:t>
            </w:r>
          </w:p>
        </w:tc>
        <w:tc>
          <w:tcPr>
            <w:tcW w:w="546" w:type="dxa"/>
            <w:vAlign w:val="center"/>
          </w:tcPr>
          <w:p w14:paraId="42BADCD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0319481E">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乐江镇人民政府</w:t>
            </w:r>
          </w:p>
        </w:tc>
        <w:tc>
          <w:tcPr>
            <w:tcW w:w="1008" w:type="dxa"/>
            <w:vAlign w:val="center"/>
          </w:tcPr>
          <w:p w14:paraId="32307B0F">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乐江镇经济发展办公室</w:t>
            </w:r>
          </w:p>
        </w:tc>
        <w:tc>
          <w:tcPr>
            <w:tcW w:w="3505" w:type="dxa"/>
            <w:vAlign w:val="center"/>
          </w:tcPr>
          <w:p w14:paraId="30DA23B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871" w:type="dxa"/>
            <w:vAlign w:val="center"/>
          </w:tcPr>
          <w:p w14:paraId="04B3C6B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1.对统计调查对象提供的统计资料进行审核；</w:t>
            </w:r>
          </w:p>
          <w:p w14:paraId="0F610A9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2.统计资料不完整或者存在明显错误的，督促指导统计调查对象依法予以补充或者改正。</w:t>
            </w:r>
          </w:p>
          <w:p w14:paraId="2615452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13DB99B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乐江镇经济发展办公室</w:t>
            </w:r>
            <w:r>
              <w:rPr>
                <w:rFonts w:hint="eastAsia" w:eastAsia="仿宋_GB2312"/>
                <w:color w:val="auto"/>
                <w:kern w:val="0"/>
                <w:sz w:val="20"/>
                <w:szCs w:val="20"/>
                <w:highlight w:val="none"/>
                <w:lang w:val="en-US" w:eastAsia="zh-CN"/>
              </w:rPr>
              <w:t>）</w:t>
            </w:r>
          </w:p>
        </w:tc>
        <w:tc>
          <w:tcPr>
            <w:tcW w:w="5658" w:type="dxa"/>
            <w:vAlign w:val="center"/>
          </w:tcPr>
          <w:p w14:paraId="69CC805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【行政法规】《中华人民共和国统计法实施条例》（2017年4月12日中华人民共和国国务院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035" w:type="dxa"/>
            <w:vAlign w:val="center"/>
          </w:tcPr>
          <w:p w14:paraId="388394B3">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14:paraId="36C34BE3">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14:paraId="3A204855">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14:paraId="6965A141">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14:paraId="08108ED2">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14:paraId="3074882A">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14:paraId="702FF029">
            <w:pPr>
              <w:shd w:val="clear"/>
              <w:adjustRightInd w:val="0"/>
              <w:snapToGrid w:val="0"/>
              <w:spacing w:line="28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771FBEF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【行政法规】《中华人民共和国统计法实施条例》（2017年4月12日中华人民共和国国务院</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 xml:space="preserve"> 第681号发布）第四十条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14:paraId="38D03F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(一)本地方、本部门、本单位大面积发生或者连续发生统计造假、弄虚作假;(二)本地方、本部门、本单位统计数据严重失实，应当发现而未发现;(三)发现本地方、本部门、本单位统计数据严重失实不予纠正。</w:t>
            </w:r>
          </w:p>
          <w:p w14:paraId="1FE600F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第四十一条　县级以上人民政府统计机构或者有关部门组织实施营利性统计调查的，由本级人民政府、上级人民政府统计机构或者本级人民政府统计机构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，予以通报;有违法所得的，没收违法所得。</w:t>
            </w:r>
          </w:p>
          <w:p w14:paraId="11B1A13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第四十二条　地方各级人民政府、县级以上人民政府统计机构或者有关部门及其负责人，侵犯统计机构、统计人员独立行使统计调查、统计报告、统计监督职权，或者采用下发文件、会议布置以及其他方式授意、指使、强</w:t>
            </w:r>
            <w:r>
              <w:rPr>
                <w:rFonts w:hint="eastAsia" w:eastAsia="仿宋_GB2312"/>
                <w:color w:val="auto"/>
                <w:kern w:val="0"/>
                <w:sz w:val="20"/>
                <w:szCs w:val="20"/>
                <w:highlight w:val="none"/>
                <w:lang w:val="en-US" w:eastAsia="zh-CN"/>
              </w:rPr>
              <w:t>令第</w:t>
            </w:r>
            <w:r>
              <w:rPr>
                <w:rFonts w:hint="eastAsia" w:ascii="Times New Roman" w:hAnsi="Times New Roman" w:eastAsia="仿宋_GB2312"/>
                <w:color w:val="auto"/>
                <w:kern w:val="0"/>
                <w:sz w:val="20"/>
                <w:szCs w:val="20"/>
                <w:highlight w:val="none"/>
                <w:lang w:val="en-US" w:eastAsia="zh-CN"/>
              </w:rPr>
              <w:t>统计调查对象或者其他单位、人员编造虚假统计资料的，由上级人民政府、本级人民政府、上级人民政府统计机构或者本级人民政府统计机构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，予以通报。</w:t>
            </w:r>
          </w:p>
          <w:p w14:paraId="5EE09FB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第四十三条　县级以上人民政府统计机构或者有关部门在组织实施统计调查活动中有下列行为之一的，由本级人民政府、上级人民政府统计机构或者本级人民政府统计机构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，予以通报：</w:t>
            </w:r>
          </w:p>
          <w:p w14:paraId="4ABB3A2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违法制定、审批或者备案统计调查项目;(二)未按照规定公布经批准或者备案的统计调查项目及其统计调查制度的主要内容;(三)未执行国家统计标准;(四)未执行统计调查制度;(五)自行修改单个统计调查对象的统计资料。</w:t>
            </w:r>
          </w:p>
          <w:p w14:paraId="586CE70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乡、镇统计人员有前款第三项至第五项所列行为的，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，依法给予处分。</w:t>
            </w:r>
          </w:p>
          <w:p w14:paraId="585B386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第四十四条　县级以上人民政府统计机构或者有关部门违反本条例第二十四条、第二十五条规定公布统计数据的，由本级人民政府、上级人民政府统计机构或者本级人民政府统计机构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，予以通报。</w:t>
            </w:r>
          </w:p>
          <w:p w14:paraId="67A1BD9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第四十五条　违反国家有关规定对外提供尚未公布的统计资料或者利用尚未公布的统计资料谋取不正当利益的，由任免机关或者监察机关依法给予处分，并由县级以上人民政府统计机构予以通报。</w:t>
            </w:r>
          </w:p>
          <w:p w14:paraId="650DC1F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第四十六条　统计机构及其工作人员有下列行为之一的，由本级人民政府或者上级人民政府统计机构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，予以通报：</w:t>
            </w:r>
          </w:p>
          <w:p w14:paraId="2408F3C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p>
          <w:p w14:paraId="6363FB9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第四十七条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，予以通报。</w:t>
            </w:r>
          </w:p>
          <w:p w14:paraId="3CF14C2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第四十八条　地方各级人民政府、县级以上人民政府统计机构和有关部门有本条例第四十一条至第四十七条所列违法行为之一的，对直接负责的主管人员和其他直接责任人员，由任免机关或者监察机关依法给予处分。</w:t>
            </w:r>
          </w:p>
          <w:p w14:paraId="0B2DFE1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第四十九条　乡、镇人民政府有统计法第三十八条第一款、第三十九条第一款所列行为之一的，依照统计法第三十八条、第三十九条的规定追究法律责任。</w:t>
            </w:r>
          </w:p>
          <w:p w14:paraId="15C76B4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第五十条　下列情形属于统计法第四十一条第二款规定的情节严重行为：</w:t>
            </w:r>
          </w:p>
          <w:p w14:paraId="503D8B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w:t>
            </w:r>
            <w:r>
              <w:rPr>
                <w:rFonts w:hint="eastAsia" w:eastAsia="仿宋_GB2312"/>
                <w:color w:val="auto"/>
                <w:kern w:val="0"/>
                <w:sz w:val="20"/>
                <w:szCs w:val="20"/>
                <w:highlight w:val="none"/>
                <w:lang w:val="en-US" w:eastAsia="zh-CN"/>
              </w:rPr>
              <w:t>责令改正</w:t>
            </w:r>
            <w:r>
              <w:rPr>
                <w:rFonts w:hint="eastAsia" w:ascii="Times New Roman" w:hAnsi="Times New Roman" w:eastAsia="仿宋_GB2312"/>
                <w:color w:val="auto"/>
                <w:kern w:val="0"/>
                <w:sz w:val="20"/>
                <w:szCs w:val="20"/>
                <w:highlight w:val="none"/>
                <w:lang w:val="en-US" w:eastAsia="zh-CN"/>
              </w:rPr>
              <w:t>3次以上。</w:t>
            </w:r>
          </w:p>
          <w:p w14:paraId="2A51177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第五十一条　统计违法行为涉嫌犯罪的，县级以上人民政府统计机构应当将案件移送司法机关处理。</w:t>
            </w:r>
          </w:p>
        </w:tc>
        <w:tc>
          <w:tcPr>
            <w:tcW w:w="532" w:type="dxa"/>
            <w:vAlign w:val="center"/>
          </w:tcPr>
          <w:p w14:paraId="7CAFD4F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0857582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14:paraId="1AA7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4A7C2CB1">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38</w:t>
            </w:r>
          </w:p>
        </w:tc>
        <w:tc>
          <w:tcPr>
            <w:tcW w:w="308" w:type="dxa"/>
            <w:vAlign w:val="center"/>
          </w:tcPr>
          <w:p w14:paraId="18084CA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14:paraId="6C32F6F5">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业主委员会成立备案</w:t>
            </w:r>
          </w:p>
        </w:tc>
        <w:tc>
          <w:tcPr>
            <w:tcW w:w="546" w:type="dxa"/>
            <w:vAlign w:val="center"/>
          </w:tcPr>
          <w:p w14:paraId="2F0D574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79AA9E72">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仿宋_GB2312"/>
                <w:snapToGrid w:val="0"/>
                <w:color w:val="000000"/>
                <w:sz w:val="20"/>
                <w:szCs w:val="20"/>
                <w:highlight w:val="none"/>
                <w:lang w:eastAsia="zh-CN"/>
              </w:rPr>
              <w:t>乐江镇人民政府</w:t>
            </w:r>
          </w:p>
        </w:tc>
        <w:tc>
          <w:tcPr>
            <w:tcW w:w="1008" w:type="dxa"/>
            <w:vAlign w:val="center"/>
          </w:tcPr>
          <w:p w14:paraId="3055ECF3">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乐江镇经济发展办公室</w:t>
            </w:r>
          </w:p>
        </w:tc>
        <w:tc>
          <w:tcPr>
            <w:tcW w:w="3505" w:type="dxa"/>
            <w:vAlign w:val="center"/>
          </w:tcPr>
          <w:p w14:paraId="67B1E9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w:t>
            </w:r>
            <w:r>
              <w:rPr>
                <w:rFonts w:hint="eastAsia" w:eastAsia="仿宋_GB2312"/>
                <w:color w:val="auto"/>
                <w:kern w:val="0"/>
                <w:sz w:val="20"/>
                <w:szCs w:val="20"/>
                <w:highlight w:val="none"/>
                <w:lang w:eastAsia="zh-CN"/>
              </w:rPr>
              <w:t>令第</w:t>
            </w:r>
            <w:r>
              <w:rPr>
                <w:rFonts w:hint="default" w:ascii="Times New Roman" w:hAnsi="Times New Roman" w:eastAsia="仿宋_GB2312"/>
                <w:color w:val="auto"/>
                <w:kern w:val="0"/>
                <w:sz w:val="20"/>
                <w:szCs w:val="20"/>
                <w:highlight w:val="none"/>
              </w:rPr>
              <w:t>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十六条：业主委员会应当自选举产</w:t>
            </w:r>
            <w:r>
              <w:rPr>
                <w:rFonts w:hint="eastAsia" w:ascii="Times New Roman" w:hAnsi="Times New Roman" w:eastAsia="仿宋_GB2312"/>
                <w:color w:val="auto"/>
                <w:kern w:val="0"/>
                <w:sz w:val="20"/>
                <w:szCs w:val="20"/>
                <w:highlight w:val="none"/>
              </w:rPr>
              <w:t>生之</w:t>
            </w:r>
            <w:r>
              <w:rPr>
                <w:rFonts w:hint="default" w:ascii="Times New Roman" w:hAnsi="Times New Roman" w:eastAsia="仿宋_GB2312"/>
                <w:color w:val="auto"/>
                <w:kern w:val="0"/>
                <w:sz w:val="20"/>
                <w:szCs w:val="20"/>
                <w:highlight w:val="none"/>
              </w:rPr>
              <w:t>日起30日内，向物业所在地的区、县人民政府房地产行政主管部门和街道办事处、乡镇人民政</w:t>
            </w:r>
            <w:r>
              <w:rPr>
                <w:rFonts w:hint="eastAsia" w:ascii="Times New Roman" w:hAnsi="Times New Roman" w:eastAsia="仿宋_GB2312"/>
                <w:color w:val="auto"/>
                <w:kern w:val="0"/>
                <w:sz w:val="20"/>
                <w:szCs w:val="20"/>
                <w:highlight w:val="none"/>
              </w:rPr>
              <w:t>府备案。</w:t>
            </w:r>
          </w:p>
          <w:p w14:paraId="28C3E3A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2.【地方性法规】《广西壮族自治区物业管理</w:t>
            </w:r>
            <w:r>
              <w:rPr>
                <w:rFonts w:hint="eastAsia" w:ascii="Times New Roman" w:hAnsi="Times New Roman" w:eastAsia="仿宋_GB2312"/>
                <w:color w:val="auto"/>
                <w:kern w:val="0"/>
                <w:sz w:val="20"/>
                <w:szCs w:val="20"/>
                <w:highlight w:val="none"/>
              </w:rPr>
              <w:t>条例》（</w:t>
            </w:r>
            <w:r>
              <w:rPr>
                <w:rFonts w:hint="default" w:ascii="Times New Roman" w:hAnsi="Times New Roman" w:eastAsia="仿宋_GB2312"/>
                <w:color w:val="auto"/>
                <w:kern w:val="0"/>
                <w:sz w:val="20"/>
                <w:szCs w:val="20"/>
                <w:highlight w:val="none"/>
              </w:rPr>
              <w:t>2001年广西壮族自治区第九届人民代表大会常务委员会第二十四次会</w:t>
            </w:r>
            <w:r>
              <w:rPr>
                <w:rFonts w:hint="eastAsia" w:ascii="Times New Roman" w:hAnsi="Times New Roman" w:eastAsia="仿宋_GB2312"/>
                <w:color w:val="auto"/>
                <w:kern w:val="0"/>
                <w:sz w:val="20"/>
                <w:szCs w:val="20"/>
                <w:highlight w:val="none"/>
              </w:rPr>
              <w:t>议通过，</w:t>
            </w:r>
            <w:r>
              <w:rPr>
                <w:rFonts w:hint="default" w:ascii="Times New Roman" w:hAnsi="Times New Roman" w:eastAsia="仿宋_GB2312"/>
                <w:color w:val="auto"/>
                <w:kern w:val="0"/>
                <w:sz w:val="20"/>
                <w:szCs w:val="20"/>
                <w:highlight w:val="none"/>
              </w:rPr>
              <w:t>2020年广西壮族自治区人大常委会公告（</w:t>
            </w:r>
            <w:r>
              <w:rPr>
                <w:rFonts w:hint="eastAsia" w:ascii="Times New Roman" w:hAnsi="Times New Roman" w:eastAsia="仿宋_GB2312"/>
                <w:color w:val="auto"/>
                <w:kern w:val="0"/>
                <w:sz w:val="20"/>
                <w:szCs w:val="20"/>
                <w:highlight w:val="none"/>
              </w:rPr>
              <w:t>十三</w:t>
            </w:r>
            <w:r>
              <w:rPr>
                <w:rFonts w:hint="default" w:ascii="Times New Roman" w:hAnsi="Times New Roman" w:eastAsia="仿宋_GB2312"/>
                <w:color w:val="auto"/>
                <w:kern w:val="0"/>
                <w:sz w:val="20"/>
                <w:szCs w:val="20"/>
                <w:highlight w:val="none"/>
              </w:rPr>
              <w:t>届第33号）修订）第三十三条：业主委员会自选举产生之日起</w:t>
            </w:r>
            <w:r>
              <w:rPr>
                <w:rFonts w:hint="eastAsia" w:ascii="Times New Roman" w:hAnsi="Times New Roman" w:eastAsia="仿宋_GB2312"/>
                <w:color w:val="auto"/>
                <w:kern w:val="0"/>
                <w:sz w:val="20"/>
                <w:szCs w:val="20"/>
                <w:highlight w:val="none"/>
              </w:rPr>
              <w:t>三十</w:t>
            </w:r>
            <w:r>
              <w:rPr>
                <w:rFonts w:hint="default" w:ascii="Times New Roman" w:hAnsi="Times New Roman" w:eastAsia="仿宋_GB2312"/>
                <w:color w:val="auto"/>
                <w:kern w:val="0"/>
                <w:sz w:val="20"/>
                <w:szCs w:val="20"/>
                <w:highlight w:val="none"/>
              </w:rPr>
              <w:t>日内，持下列资料向街道办事处或者乡镇人民</w:t>
            </w:r>
            <w:r>
              <w:rPr>
                <w:rFonts w:hint="eastAsia" w:ascii="Times New Roman" w:hAnsi="Times New Roman" w:eastAsia="仿宋_GB2312"/>
                <w:color w:val="auto"/>
                <w:kern w:val="0"/>
                <w:sz w:val="20"/>
                <w:szCs w:val="20"/>
                <w:highlight w:val="none"/>
              </w:rPr>
              <w:t>政府备</w:t>
            </w:r>
            <w:r>
              <w:rPr>
                <w:rFonts w:hint="default" w:ascii="Times New Roman" w:hAnsi="Times New Roman" w:eastAsia="仿宋_GB2312"/>
                <w:color w:val="auto"/>
                <w:kern w:val="0"/>
                <w:sz w:val="20"/>
                <w:szCs w:val="20"/>
                <w:highlight w:val="none"/>
              </w:rPr>
              <w:t>案</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一） 业主大会成立和业主委员会</w:t>
            </w:r>
            <w:r>
              <w:rPr>
                <w:rFonts w:hint="eastAsia" w:ascii="Times New Roman" w:hAnsi="Times New Roman" w:eastAsia="仿宋_GB2312"/>
                <w:color w:val="auto"/>
                <w:kern w:val="0"/>
                <w:sz w:val="20"/>
                <w:szCs w:val="20"/>
                <w:highlight w:val="none"/>
              </w:rPr>
              <w:t>选举情</w:t>
            </w:r>
            <w:r>
              <w:rPr>
                <w:rFonts w:hint="default" w:ascii="Times New Roman" w:hAnsi="Times New Roman" w:eastAsia="仿宋_GB2312"/>
                <w:color w:val="auto"/>
                <w:kern w:val="0"/>
                <w:sz w:val="20"/>
                <w:szCs w:val="20"/>
                <w:highlight w:val="none"/>
              </w:rPr>
              <w:t>况</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二）业主大会议事规则、管理规约以及业主大会议事规则、管理规约内容与示范文本内容不一</w:t>
            </w:r>
            <w:r>
              <w:rPr>
                <w:rFonts w:hint="eastAsia" w:ascii="Times New Roman" w:hAnsi="Times New Roman" w:eastAsia="仿宋_GB2312"/>
                <w:color w:val="auto"/>
                <w:kern w:val="0"/>
                <w:sz w:val="20"/>
                <w:szCs w:val="20"/>
                <w:highlight w:val="none"/>
              </w:rPr>
              <w:t>致的说</w:t>
            </w:r>
            <w:r>
              <w:rPr>
                <w:rFonts w:hint="default" w:ascii="Times New Roman" w:hAnsi="Times New Roman" w:eastAsia="仿宋_GB2312"/>
                <w:color w:val="auto"/>
                <w:kern w:val="0"/>
                <w:sz w:val="20"/>
                <w:szCs w:val="20"/>
                <w:highlight w:val="none"/>
              </w:rPr>
              <w:t>明</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三）业主委员会委员、候补委员的名单、基本情况和书面承诺。前款所列资</w:t>
            </w:r>
            <w:r>
              <w:rPr>
                <w:rFonts w:hint="eastAsia" w:ascii="Times New Roman" w:hAnsi="Times New Roman" w:eastAsia="仿宋_GB2312"/>
                <w:color w:val="auto"/>
                <w:kern w:val="0"/>
                <w:sz w:val="20"/>
                <w:szCs w:val="20"/>
                <w:highlight w:val="none"/>
              </w:rPr>
              <w:t>料齐</w:t>
            </w:r>
            <w:r>
              <w:rPr>
                <w:rFonts w:hint="default" w:ascii="Times New Roman" w:hAnsi="Times New Roman" w:eastAsia="仿宋_GB2312"/>
                <w:color w:val="auto"/>
                <w:kern w:val="0"/>
                <w:sz w:val="20"/>
                <w:szCs w:val="20"/>
                <w:highlight w:val="none"/>
              </w:rPr>
              <w:t>全的，街道办事处或者乡镇人民政府应当自收到资料起五个工作日内出具业主大会、业主委员会</w:t>
            </w:r>
            <w:r>
              <w:rPr>
                <w:rFonts w:hint="eastAsia" w:ascii="Times New Roman" w:hAnsi="Times New Roman" w:eastAsia="仿宋_GB2312"/>
                <w:color w:val="auto"/>
                <w:kern w:val="0"/>
                <w:sz w:val="20"/>
                <w:szCs w:val="20"/>
                <w:highlight w:val="none"/>
              </w:rPr>
              <w:t>备</w:t>
            </w:r>
            <w:r>
              <w:rPr>
                <w:rFonts w:hint="default" w:ascii="Times New Roman" w:hAnsi="Times New Roman" w:eastAsia="仿宋_GB2312"/>
                <w:color w:val="auto"/>
                <w:kern w:val="0"/>
                <w:sz w:val="20"/>
                <w:szCs w:val="20"/>
                <w:highlight w:val="none"/>
              </w:rPr>
              <w:t>案文书，并将备案资料抄送县级人民政府住房城乡建设主管部门。备案文书应当载明业主</w:t>
            </w:r>
            <w:r>
              <w:rPr>
                <w:rFonts w:hint="eastAsia" w:ascii="Times New Roman" w:hAnsi="Times New Roman" w:eastAsia="仿宋_GB2312"/>
                <w:color w:val="auto"/>
                <w:kern w:val="0"/>
                <w:sz w:val="20"/>
                <w:szCs w:val="20"/>
                <w:highlight w:val="none"/>
              </w:rPr>
              <w:t>大会</w:t>
            </w:r>
            <w:r>
              <w:rPr>
                <w:rFonts w:hint="default" w:ascii="Times New Roman" w:hAnsi="Times New Roman" w:eastAsia="仿宋_GB2312"/>
                <w:color w:val="auto"/>
                <w:kern w:val="0"/>
                <w:sz w:val="20"/>
                <w:szCs w:val="20"/>
                <w:highlight w:val="none"/>
              </w:rPr>
              <w:t>名称，业主委</w:t>
            </w:r>
            <w:r>
              <w:rPr>
                <w:rFonts w:hint="eastAsia" w:ascii="Times New Roman" w:hAnsi="Times New Roman" w:eastAsia="仿宋_GB2312"/>
                <w:color w:val="auto"/>
                <w:kern w:val="0"/>
                <w:sz w:val="20"/>
                <w:szCs w:val="20"/>
                <w:highlight w:val="none"/>
              </w:rPr>
              <w:t>员会</w:t>
            </w:r>
            <w:r>
              <w:rPr>
                <w:rFonts w:hint="default" w:ascii="Times New Roman" w:hAnsi="Times New Roman" w:eastAsia="仿宋_GB2312"/>
                <w:color w:val="auto"/>
                <w:kern w:val="0"/>
                <w:sz w:val="20"/>
                <w:szCs w:val="20"/>
                <w:highlight w:val="none"/>
              </w:rPr>
              <w:t>名称，委员、候补</w:t>
            </w:r>
            <w:r>
              <w:rPr>
                <w:rFonts w:hint="eastAsia" w:ascii="Times New Roman" w:hAnsi="Times New Roman" w:eastAsia="仿宋_GB2312"/>
                <w:color w:val="auto"/>
                <w:kern w:val="0"/>
                <w:sz w:val="20"/>
                <w:szCs w:val="20"/>
                <w:highlight w:val="none"/>
              </w:rPr>
              <w:t>委员</w:t>
            </w:r>
            <w:r>
              <w:rPr>
                <w:rFonts w:hint="default" w:ascii="Times New Roman" w:hAnsi="Times New Roman" w:eastAsia="仿宋_GB2312"/>
                <w:color w:val="auto"/>
                <w:kern w:val="0"/>
                <w:sz w:val="20"/>
                <w:szCs w:val="20"/>
                <w:highlight w:val="none"/>
              </w:rPr>
              <w:t>名单，届别、任期、负责人和办公地址。业主大会议事规则、管理规约、业主委员会委员发</w:t>
            </w:r>
            <w:r>
              <w:rPr>
                <w:rFonts w:hint="eastAsia" w:ascii="Times New Roman" w:hAnsi="Times New Roman" w:eastAsia="仿宋_GB2312"/>
                <w:color w:val="auto"/>
                <w:kern w:val="0"/>
                <w:sz w:val="20"/>
                <w:szCs w:val="20"/>
                <w:highlight w:val="none"/>
              </w:rPr>
              <w:t>生</w:t>
            </w:r>
            <w:r>
              <w:rPr>
                <w:rFonts w:hint="default" w:ascii="Times New Roman" w:hAnsi="Times New Roman" w:eastAsia="仿宋_GB2312"/>
                <w:color w:val="auto"/>
                <w:kern w:val="0"/>
                <w:sz w:val="20"/>
                <w:szCs w:val="20"/>
                <w:highlight w:val="none"/>
              </w:rPr>
              <w:t>变更的，业主委员会应当自变更之日起十五日内将变更后有关情况按照本条第一款的规定进行备案。因物业管理区域调整、物业灭失或者其他原因致使业主委员会无</w:t>
            </w:r>
            <w:r>
              <w:rPr>
                <w:rFonts w:hint="eastAsia" w:ascii="Times New Roman" w:hAnsi="Times New Roman" w:eastAsia="仿宋_GB2312"/>
                <w:color w:val="auto"/>
                <w:kern w:val="0"/>
                <w:sz w:val="20"/>
                <w:szCs w:val="20"/>
                <w:highlight w:val="none"/>
              </w:rPr>
              <w:t>法存</w:t>
            </w:r>
            <w:r>
              <w:rPr>
                <w:rFonts w:hint="default" w:ascii="Times New Roman" w:hAnsi="Times New Roman" w:eastAsia="仿宋_GB2312"/>
                <w:color w:val="auto"/>
                <w:kern w:val="0"/>
                <w:sz w:val="20"/>
                <w:szCs w:val="20"/>
                <w:highlight w:val="none"/>
              </w:rPr>
              <w:t>续的，业主委员会应当在三十日内向街道办事处或者乡镇人民政府办理注销备案手续。</w:t>
            </w:r>
          </w:p>
        </w:tc>
        <w:tc>
          <w:tcPr>
            <w:tcW w:w="1871" w:type="dxa"/>
            <w:vAlign w:val="center"/>
          </w:tcPr>
          <w:p w14:paraId="3E27643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14:paraId="34CE77D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14:paraId="27E9ABA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3.决定阶段：建设行政主管部门作出同意或不同意的决定，不同意的告知不予许可的理由，按时办结</w:t>
            </w:r>
            <w:r>
              <w:rPr>
                <w:rFonts w:hint="eastAsia" w:ascii="Times New Roman" w:hAnsi="Times New Roman" w:eastAsia="仿宋_GB2312"/>
                <w:color w:val="auto"/>
                <w:kern w:val="0"/>
                <w:sz w:val="20"/>
                <w:szCs w:val="20"/>
                <w:highlight w:val="none"/>
              </w:rPr>
              <w:t>，依法告知。</w:t>
            </w:r>
          </w:p>
          <w:p w14:paraId="041A515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14:paraId="531B0F3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14:paraId="2FE397A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14:paraId="5875B573">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乐江镇经济发展办公室</w:t>
            </w:r>
            <w:r>
              <w:rPr>
                <w:rFonts w:hint="eastAsia" w:eastAsia="仿宋_GB2312"/>
                <w:color w:val="auto"/>
                <w:kern w:val="0"/>
                <w:sz w:val="20"/>
                <w:szCs w:val="20"/>
                <w:highlight w:val="none"/>
                <w:lang w:val="en-US" w:eastAsia="zh-CN"/>
              </w:rPr>
              <w:t xml:space="preserve"> )</w:t>
            </w:r>
          </w:p>
        </w:tc>
        <w:tc>
          <w:tcPr>
            <w:tcW w:w="5658" w:type="dxa"/>
            <w:vAlign w:val="center"/>
          </w:tcPr>
          <w:p w14:paraId="3B3D4ED7">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w:t>
            </w:r>
            <w:r>
              <w:rPr>
                <w:rFonts w:hint="eastAsia" w:eastAsia="仿宋_GB2312"/>
                <w:color w:val="auto"/>
                <w:kern w:val="0"/>
                <w:sz w:val="20"/>
                <w:szCs w:val="20"/>
                <w:highlight w:val="none"/>
                <w:lang w:eastAsia="zh-CN"/>
              </w:rPr>
              <w:t>令第</w:t>
            </w:r>
            <w:r>
              <w:rPr>
                <w:rFonts w:hint="default" w:ascii="Times New Roman" w:hAnsi="Times New Roman" w:eastAsia="仿宋_GB2312"/>
                <w:color w:val="auto"/>
                <w:kern w:val="0"/>
                <w:sz w:val="20"/>
                <w:szCs w:val="20"/>
                <w:highlight w:val="none"/>
              </w:rPr>
              <w:t>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号修订）第十六条：业主委员会应当自选</w:t>
            </w:r>
            <w:r>
              <w:rPr>
                <w:rFonts w:hint="eastAsia" w:ascii="Times New Roman" w:hAnsi="Times New Roman" w:eastAsia="仿宋_GB2312"/>
                <w:color w:val="auto"/>
                <w:kern w:val="0"/>
                <w:sz w:val="20"/>
                <w:szCs w:val="20"/>
                <w:highlight w:val="none"/>
              </w:rPr>
              <w:t>举产</w:t>
            </w:r>
            <w:r>
              <w:rPr>
                <w:rFonts w:hint="default" w:ascii="Times New Roman" w:hAnsi="Times New Roman" w:eastAsia="仿宋_GB2312"/>
                <w:color w:val="auto"/>
                <w:kern w:val="0"/>
                <w:sz w:val="20"/>
                <w:szCs w:val="20"/>
                <w:highlight w:val="none"/>
              </w:rPr>
              <w:t>生之日起30日内，向物业所在地的区、县人民政府房地产行政主管部门和街道办事处、乡镇人</w:t>
            </w:r>
            <w:r>
              <w:rPr>
                <w:rFonts w:hint="eastAsia" w:ascii="Times New Roman" w:hAnsi="Times New Roman" w:eastAsia="仿宋_GB2312"/>
                <w:color w:val="auto"/>
                <w:kern w:val="0"/>
                <w:sz w:val="20"/>
                <w:szCs w:val="20"/>
                <w:highlight w:val="none"/>
              </w:rPr>
              <w:t>民政府备案。</w:t>
            </w:r>
          </w:p>
          <w:p w14:paraId="39DBE01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w:t>
            </w:r>
            <w:r>
              <w:rPr>
                <w:rFonts w:hint="eastAsia" w:eastAsia="仿宋_GB2312"/>
                <w:color w:val="auto"/>
                <w:kern w:val="0"/>
                <w:sz w:val="20"/>
                <w:szCs w:val="20"/>
                <w:highlight w:val="none"/>
                <w:lang w:eastAsia="zh-CN"/>
              </w:rPr>
              <w:t>令第</w:t>
            </w:r>
            <w:r>
              <w:rPr>
                <w:rFonts w:hint="default" w:ascii="Times New Roman" w:hAnsi="Times New Roman" w:eastAsia="仿宋_GB2312"/>
                <w:color w:val="auto"/>
                <w:kern w:val="0"/>
                <w:sz w:val="20"/>
                <w:szCs w:val="20"/>
                <w:highlight w:val="none"/>
              </w:rPr>
              <w:t>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14:paraId="5D04BBC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14:paraId="4D29288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14:paraId="63D6A89C">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因不履行或不正确履行行政职责，有下列情形的，行政机关及相关工作人员应承担相应责任：</w:t>
            </w:r>
          </w:p>
          <w:p w14:paraId="5EC28BAE">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1.对符合受理条件而不予受理的；</w:t>
            </w:r>
          </w:p>
          <w:p w14:paraId="7E031718">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2.对不符合受理条件予以备案的；</w:t>
            </w:r>
          </w:p>
          <w:p w14:paraId="424097E5">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3.擅自增设备案程序或条件的；</w:t>
            </w:r>
          </w:p>
          <w:p w14:paraId="5AFBF47C">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4.在备案过程中玩忽职守、滥用职权，贻误工作或导致侵害相关组织合法权益的；</w:t>
            </w:r>
          </w:p>
          <w:p w14:paraId="17464745">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5.在备案过程中发生腐败行为的；</w:t>
            </w:r>
          </w:p>
          <w:p w14:paraId="1978BF3D">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6.其他违反法律法规规章文件规定的行为。</w:t>
            </w:r>
          </w:p>
          <w:p w14:paraId="1819F875">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p>
          <w:p w14:paraId="4F29BCB9">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p w14:paraId="7C2B99B6">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tc>
        <w:tc>
          <w:tcPr>
            <w:tcW w:w="3826" w:type="dxa"/>
            <w:vAlign w:val="center"/>
          </w:tcPr>
          <w:p w14:paraId="7332587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1.【法规】《物业管理条例》（2003年6月8日中华人民共和国国务院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379号公布 根据2007年8月26日《国务院关于修改〈物业管理条例〉的决定》修订）</w:t>
            </w:r>
          </w:p>
          <w:p w14:paraId="3AC6BCA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14:paraId="5CEA311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2.【法规】《广西壮族自治区物业管理条例》（2012年11月30日广西壮族自治区第十一届人民代表大会常务委员会第31次会议修订）</w:t>
            </w:r>
          </w:p>
          <w:p w14:paraId="11FA52B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县级以上人民政府房产行政主管部门、乡镇人民政府、街道办事处的工作人员违反本条例，有下列情形之一的，由上级行政机关或者主管部门</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并依法给予处分:（一）未按照本条例规定筹备、组织成立业主大会的；（二）未按照本条例规定履行监督检查职责的；（三）违反物业管理投诉处理规定的；（四）发现违法行为或者接到违法行为报告不及时作出处理的；（五）其他玩忽职守、滥用职权、徇私舞弊的情形。</w:t>
            </w:r>
          </w:p>
        </w:tc>
        <w:tc>
          <w:tcPr>
            <w:tcW w:w="532" w:type="dxa"/>
            <w:vAlign w:val="center"/>
          </w:tcPr>
          <w:p w14:paraId="5101150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17F6875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14:paraId="0D47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91" w:hRule="atLeast"/>
          <w:jc w:val="center"/>
        </w:trPr>
        <w:tc>
          <w:tcPr>
            <w:tcW w:w="406" w:type="dxa"/>
            <w:vAlign w:val="center"/>
          </w:tcPr>
          <w:p w14:paraId="0B26B19A">
            <w:pPr>
              <w:shd w:val="clear"/>
              <w:adjustRightInd w:val="0"/>
              <w:snapToGrid w:val="0"/>
              <w:spacing w:line="288"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39</w:t>
            </w:r>
          </w:p>
        </w:tc>
        <w:tc>
          <w:tcPr>
            <w:tcW w:w="308" w:type="dxa"/>
            <w:vAlign w:val="center"/>
          </w:tcPr>
          <w:p w14:paraId="31B8F4F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14:paraId="3E0B711D">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村民住宅开工信息备案</w:t>
            </w:r>
          </w:p>
        </w:tc>
        <w:tc>
          <w:tcPr>
            <w:tcW w:w="546" w:type="dxa"/>
            <w:vAlign w:val="center"/>
          </w:tcPr>
          <w:p w14:paraId="6F52434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14:paraId="1C99274C">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乐江镇人民政府</w:t>
            </w:r>
          </w:p>
        </w:tc>
        <w:tc>
          <w:tcPr>
            <w:tcW w:w="1008" w:type="dxa"/>
            <w:vAlign w:val="center"/>
          </w:tcPr>
          <w:p w14:paraId="2F4EB1AD">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乐江镇经济发展办公室</w:t>
            </w:r>
          </w:p>
        </w:tc>
        <w:tc>
          <w:tcPr>
            <w:tcW w:w="3505" w:type="dxa"/>
            <w:vAlign w:val="center"/>
          </w:tcPr>
          <w:p w14:paraId="127CA0B0">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w:t>
            </w:r>
          </w:p>
          <w:p w14:paraId="0093E80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五</w:t>
            </w:r>
            <w:r>
              <w:rPr>
                <w:rFonts w:hint="default" w:ascii="Times New Roman" w:hAnsi="Times New Roman" w:eastAsia="仿宋_GB2312"/>
                <w:color w:val="auto"/>
                <w:kern w:val="0"/>
                <w:sz w:val="20"/>
                <w:szCs w:val="20"/>
                <w:highlight w:val="none"/>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Fonts w:hint="eastAsia" w:ascii="Times New Roman" w:hAnsi="Times New Roman" w:eastAsia="仿宋_GB2312"/>
                <w:color w:val="auto"/>
                <w:kern w:val="0"/>
                <w:sz w:val="20"/>
                <w:szCs w:val="20"/>
                <w:highlight w:val="none"/>
              </w:rPr>
              <w:t>置开工。</w:t>
            </w:r>
          </w:p>
        </w:tc>
        <w:tc>
          <w:tcPr>
            <w:tcW w:w="1871" w:type="dxa"/>
            <w:vAlign w:val="center"/>
          </w:tcPr>
          <w:p w14:paraId="707ACF8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14:paraId="384BA9B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14:paraId="45527A2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3.决定阶段：乡（镇）人民政府作出同意或不同意的决定，不同意的告知理由，按时办结</w:t>
            </w:r>
            <w:r>
              <w:rPr>
                <w:rFonts w:hint="eastAsia" w:ascii="Times New Roman" w:hAnsi="Times New Roman" w:eastAsia="仿宋_GB2312"/>
                <w:color w:val="auto"/>
                <w:kern w:val="0"/>
                <w:sz w:val="20"/>
                <w:szCs w:val="20"/>
                <w:highlight w:val="none"/>
              </w:rPr>
              <w:t>，依法告知。</w:t>
            </w:r>
          </w:p>
          <w:p w14:paraId="69672C4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14:paraId="28BB139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14:paraId="70E17A80">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(乐江镇经济发展办公室)</w:t>
            </w:r>
          </w:p>
        </w:tc>
        <w:tc>
          <w:tcPr>
            <w:tcW w:w="5658" w:type="dxa"/>
            <w:vAlign w:val="center"/>
          </w:tcPr>
          <w:p w14:paraId="0E9E2E64">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Fonts w:hint="eastAsia" w:ascii="Times New Roman" w:hAnsi="Times New Roman" w:eastAsia="仿宋_GB2312"/>
                <w:color w:val="auto"/>
                <w:kern w:val="0"/>
                <w:sz w:val="20"/>
                <w:szCs w:val="20"/>
                <w:highlight w:val="none"/>
              </w:rPr>
              <w:t>、位置开工。</w:t>
            </w:r>
          </w:p>
          <w:p w14:paraId="1EC5BD56">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w:t>
            </w:r>
            <w:r>
              <w:rPr>
                <w:rFonts w:hint="eastAsia" w:eastAsia="仿宋_GB2312"/>
                <w:color w:val="auto"/>
                <w:kern w:val="0"/>
                <w:sz w:val="20"/>
                <w:szCs w:val="20"/>
                <w:highlight w:val="none"/>
                <w:lang w:eastAsia="zh-CN"/>
              </w:rPr>
              <w:t>令第</w:t>
            </w:r>
            <w:r>
              <w:rPr>
                <w:rFonts w:hint="default" w:ascii="Times New Roman" w:hAnsi="Times New Roman" w:eastAsia="仿宋_GB2312"/>
                <w:color w:val="auto"/>
                <w:kern w:val="0"/>
                <w:sz w:val="20"/>
                <w:szCs w:val="20"/>
                <w:highlight w:val="none"/>
              </w:rPr>
              <w:t>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14:paraId="5DEAE2BB">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14:paraId="411B176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14:paraId="3FB8C77B">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因不履行或不正确履行行政职责，有下列情形的，行政机关及相关工作人员应承担相应责任：</w:t>
            </w:r>
          </w:p>
          <w:p w14:paraId="62633CDF">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1.对符合受理条件而不予受理的；</w:t>
            </w:r>
          </w:p>
          <w:p w14:paraId="3C8C92B3">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2.对不符合受理条件予以备案的；</w:t>
            </w:r>
          </w:p>
          <w:p w14:paraId="684867CA">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3.擅自增设备案程序或条件的；</w:t>
            </w:r>
          </w:p>
          <w:p w14:paraId="1D6558C8">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4.在备案过程中玩忽职守、滥用职权，贻误工作或导致侵害相关组织合法权益的；</w:t>
            </w:r>
          </w:p>
          <w:p w14:paraId="1E125620">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5.在备案过程中发生腐败行为的；</w:t>
            </w:r>
          </w:p>
          <w:p w14:paraId="3FBC70EF">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r>
              <w:rPr>
                <w:rStyle w:val="19"/>
                <w:rFonts w:hint="eastAsia" w:ascii="Times New Roman" w:hAnsi="Times New Roman" w:eastAsia="仿宋_GB2312"/>
                <w:snapToGrid w:val="0"/>
                <w:color w:val="auto"/>
                <w:highlight w:val="none"/>
              </w:rPr>
              <w:t>6.其他违反法律法规规章文件规定的行为。</w:t>
            </w:r>
          </w:p>
          <w:p w14:paraId="1E9C0C38">
            <w:pPr>
              <w:shd w:val="clear"/>
              <w:adjustRightInd w:val="0"/>
              <w:snapToGrid w:val="0"/>
              <w:spacing w:line="288" w:lineRule="exact"/>
              <w:ind w:firstLine="400" w:firstLineChars="200"/>
              <w:rPr>
                <w:rStyle w:val="19"/>
                <w:rFonts w:hint="eastAsia" w:ascii="Times New Roman" w:hAnsi="Times New Roman" w:eastAsia="仿宋_GB2312"/>
                <w:snapToGrid w:val="0"/>
                <w:color w:val="auto"/>
                <w:highlight w:val="none"/>
              </w:rPr>
            </w:pPr>
          </w:p>
          <w:p w14:paraId="38A372BD">
            <w:pPr>
              <w:shd w:val="clear"/>
              <w:adjustRightInd w:val="0"/>
              <w:snapToGrid w:val="0"/>
              <w:spacing w:line="299"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乐江镇纪委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14:paraId="533CB26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14:paraId="2D3EE4E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；情节严重的，对直接负责的主管人员和其他直接责任人员依法给予行政处分：</w:t>
            </w:r>
          </w:p>
          <w:p w14:paraId="6434007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6991FA3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14:paraId="7A5B421C">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634A2EF5">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w:t>
            </w:r>
          </w:p>
          <w:p w14:paraId="21A2C4AE">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退还非法收取的费用；对直接负责的主管人员和其他直接责任人员依法给予行政处分。</w:t>
            </w:r>
          </w:p>
          <w:p w14:paraId="59E3B091">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14:paraId="29AB670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14:paraId="49457B8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，对直接负责的主管人员和其他直接责任人员依法给予行政处分；构成犯罪的，依法追究刑事责任。</w:t>
            </w:r>
          </w:p>
          <w:p w14:paraId="6F3E4783">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【法律】《中华人民共和国城乡规划法》（2007年10月28日第十届全国人民代表大会常务委员会第三十次会议通过；2015年4月24日，第十二</w:t>
            </w:r>
            <w:r>
              <w:rPr>
                <w:rFonts w:hint="eastAsia" w:ascii="Times New Roman" w:hAnsi="Times New Roman" w:eastAsia="仿宋_GB2312"/>
                <w:color w:val="auto"/>
                <w:kern w:val="0"/>
                <w:sz w:val="20"/>
                <w:szCs w:val="20"/>
                <w:highlight w:val="none"/>
                <w:lang w:val="en-US" w:eastAsia="zh-CN"/>
              </w:rPr>
              <w:t>7</w:t>
            </w:r>
            <w:r>
              <w:rPr>
                <w:rFonts w:hint="eastAsia" w:ascii="Times New Roman" w:hAnsi="Times New Roman" w:eastAsia="仿宋_GB2312"/>
                <w:color w:val="auto"/>
                <w:kern w:val="0"/>
                <w:sz w:val="20"/>
                <w:szCs w:val="20"/>
                <w:highlight w:val="none"/>
              </w:rPr>
              <w:t>届全国人民代表大会常务委员会第十四次会议修改）</w:t>
            </w:r>
          </w:p>
          <w:p w14:paraId="29D15712">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第五十八条——第五十九条　对依法应当编制城乡规划而未组织编制，或者未按法定程序编制、审批、修改城乡规划的，由上级人民政府</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，通报批评；城乡规划组织编制机关委托不具有相应资质等级的单位编制城乡规划的，对于以上两种情形，由上级人民政府</w:t>
            </w:r>
            <w:r>
              <w:rPr>
                <w:rFonts w:hint="eastAsia" w:eastAsia="仿宋_GB2312"/>
                <w:color w:val="auto"/>
                <w:kern w:val="0"/>
                <w:sz w:val="20"/>
                <w:szCs w:val="20"/>
                <w:highlight w:val="none"/>
                <w:lang w:eastAsia="zh-CN"/>
              </w:rPr>
              <w:t>责令改正</w:t>
            </w:r>
            <w:r>
              <w:rPr>
                <w:rFonts w:hint="eastAsia" w:ascii="Times New Roman" w:hAnsi="Times New Roman" w:eastAsia="仿宋_GB2312"/>
                <w:color w:val="auto"/>
                <w:kern w:val="0"/>
                <w:sz w:val="20"/>
                <w:szCs w:val="20"/>
                <w:highlight w:val="none"/>
              </w:rPr>
              <w:t>，通报批评；对有关人民政府负责人和其他直接责任人员依法给予处分。</w:t>
            </w:r>
          </w:p>
          <w:p w14:paraId="250D0598">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【法规】《村庄和集镇规划建设管理条例》（1993年中华人民共和国国务院</w:t>
            </w:r>
            <w:r>
              <w:rPr>
                <w:rFonts w:hint="eastAsia" w:eastAsia="仿宋_GB2312"/>
                <w:color w:val="auto"/>
                <w:kern w:val="0"/>
                <w:sz w:val="20"/>
                <w:szCs w:val="20"/>
                <w:highlight w:val="none"/>
                <w:lang w:eastAsia="zh-CN"/>
              </w:rPr>
              <w:t>令第</w:t>
            </w:r>
            <w:r>
              <w:rPr>
                <w:rFonts w:hint="eastAsia" w:ascii="Times New Roman" w:hAnsi="Times New Roman" w:eastAsia="仿宋_GB2312"/>
                <w:color w:val="auto"/>
                <w:kern w:val="0"/>
                <w:sz w:val="20"/>
                <w:szCs w:val="20"/>
                <w:highlight w:val="none"/>
              </w:rPr>
              <w:t xml:space="preserve"> 第116号发布）</w:t>
            </w:r>
          </w:p>
          <w:p w14:paraId="7549095A">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村庄、集镇建设管理人员玩忽职守、滥用职权、徇私舞弊的，由所在单位或者上级主管部门给予行政处分；构成犯罪的，依法追究刑事责任。</w:t>
            </w:r>
          </w:p>
        </w:tc>
        <w:tc>
          <w:tcPr>
            <w:tcW w:w="532" w:type="dxa"/>
            <w:vAlign w:val="center"/>
          </w:tcPr>
          <w:p w14:paraId="2498768D">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14:paraId="14A1194F">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bl>
    <w:p w14:paraId="621513C9">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sectPr>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2M3MDA1NDA1YWQ2ZmZjMWI2NThiNzdlZDc5NzIifQ=="/>
  </w:docVars>
  <w:rsids>
    <w:rsidRoot w:val="0055328B"/>
    <w:rsid w:val="000741AB"/>
    <w:rsid w:val="000D0D81"/>
    <w:rsid w:val="00132A46"/>
    <w:rsid w:val="0015478D"/>
    <w:rsid w:val="00161415"/>
    <w:rsid w:val="001E77FD"/>
    <w:rsid w:val="00246E96"/>
    <w:rsid w:val="00275AC9"/>
    <w:rsid w:val="002A3015"/>
    <w:rsid w:val="00333BBF"/>
    <w:rsid w:val="003D5E5B"/>
    <w:rsid w:val="00426A2F"/>
    <w:rsid w:val="0047799E"/>
    <w:rsid w:val="004B1546"/>
    <w:rsid w:val="004C2E41"/>
    <w:rsid w:val="004D6F63"/>
    <w:rsid w:val="00544B5E"/>
    <w:rsid w:val="00552BAB"/>
    <w:rsid w:val="0055328B"/>
    <w:rsid w:val="005C601B"/>
    <w:rsid w:val="005F64FF"/>
    <w:rsid w:val="00626358"/>
    <w:rsid w:val="00683316"/>
    <w:rsid w:val="006A006F"/>
    <w:rsid w:val="006A5E5D"/>
    <w:rsid w:val="006E49F2"/>
    <w:rsid w:val="007B67A5"/>
    <w:rsid w:val="0081731D"/>
    <w:rsid w:val="00824507"/>
    <w:rsid w:val="0083254B"/>
    <w:rsid w:val="0086610E"/>
    <w:rsid w:val="0086647C"/>
    <w:rsid w:val="00886AA1"/>
    <w:rsid w:val="008C5A69"/>
    <w:rsid w:val="008C79A7"/>
    <w:rsid w:val="008E4294"/>
    <w:rsid w:val="00942267"/>
    <w:rsid w:val="00982754"/>
    <w:rsid w:val="009A6B6A"/>
    <w:rsid w:val="009D6697"/>
    <w:rsid w:val="009F1662"/>
    <w:rsid w:val="00A45C5A"/>
    <w:rsid w:val="00A67AD2"/>
    <w:rsid w:val="00A94804"/>
    <w:rsid w:val="00B14D9A"/>
    <w:rsid w:val="00B63B80"/>
    <w:rsid w:val="00B77217"/>
    <w:rsid w:val="00B95A90"/>
    <w:rsid w:val="00BD476C"/>
    <w:rsid w:val="00C40A8E"/>
    <w:rsid w:val="00C41BB5"/>
    <w:rsid w:val="00C45D84"/>
    <w:rsid w:val="00CF4516"/>
    <w:rsid w:val="00D07860"/>
    <w:rsid w:val="00D8577B"/>
    <w:rsid w:val="00DC7525"/>
    <w:rsid w:val="00E0131C"/>
    <w:rsid w:val="00E1008C"/>
    <w:rsid w:val="00E26299"/>
    <w:rsid w:val="00E40F00"/>
    <w:rsid w:val="00E94DD8"/>
    <w:rsid w:val="00E96821"/>
    <w:rsid w:val="00F37938"/>
    <w:rsid w:val="00FF2AB4"/>
    <w:rsid w:val="020739F0"/>
    <w:rsid w:val="03467F6B"/>
    <w:rsid w:val="046D5BE8"/>
    <w:rsid w:val="04B930B4"/>
    <w:rsid w:val="06AE1D15"/>
    <w:rsid w:val="07081A39"/>
    <w:rsid w:val="07173BA7"/>
    <w:rsid w:val="07361F08"/>
    <w:rsid w:val="09D1000A"/>
    <w:rsid w:val="0B140CFB"/>
    <w:rsid w:val="0BA852CC"/>
    <w:rsid w:val="0E327C36"/>
    <w:rsid w:val="0E7D2B95"/>
    <w:rsid w:val="0F267736"/>
    <w:rsid w:val="10AA651A"/>
    <w:rsid w:val="12407A85"/>
    <w:rsid w:val="13025CC8"/>
    <w:rsid w:val="13147A0A"/>
    <w:rsid w:val="13C74C36"/>
    <w:rsid w:val="155362A8"/>
    <w:rsid w:val="155B33AF"/>
    <w:rsid w:val="15903DCC"/>
    <w:rsid w:val="1595051E"/>
    <w:rsid w:val="168A63C5"/>
    <w:rsid w:val="173C2CB3"/>
    <w:rsid w:val="184A794A"/>
    <w:rsid w:val="18A1557C"/>
    <w:rsid w:val="1998697F"/>
    <w:rsid w:val="1C071CB9"/>
    <w:rsid w:val="1D485101"/>
    <w:rsid w:val="223F7059"/>
    <w:rsid w:val="23A87D98"/>
    <w:rsid w:val="27104986"/>
    <w:rsid w:val="2A166AFF"/>
    <w:rsid w:val="2B02276C"/>
    <w:rsid w:val="2CD07D87"/>
    <w:rsid w:val="2F38037B"/>
    <w:rsid w:val="32315646"/>
    <w:rsid w:val="33B26438"/>
    <w:rsid w:val="33B75A32"/>
    <w:rsid w:val="356A074D"/>
    <w:rsid w:val="36845036"/>
    <w:rsid w:val="36D92115"/>
    <w:rsid w:val="3897206C"/>
    <w:rsid w:val="3AAB3985"/>
    <w:rsid w:val="3B7176BA"/>
    <w:rsid w:val="3B83671E"/>
    <w:rsid w:val="40CB74D4"/>
    <w:rsid w:val="422C3774"/>
    <w:rsid w:val="4307771B"/>
    <w:rsid w:val="43252179"/>
    <w:rsid w:val="43FB7F31"/>
    <w:rsid w:val="461D448B"/>
    <w:rsid w:val="468E4097"/>
    <w:rsid w:val="4FE17A31"/>
    <w:rsid w:val="52052A0A"/>
    <w:rsid w:val="571A78D8"/>
    <w:rsid w:val="57727B09"/>
    <w:rsid w:val="58E134AF"/>
    <w:rsid w:val="5A4E076E"/>
    <w:rsid w:val="5C82434A"/>
    <w:rsid w:val="5DFF3B6B"/>
    <w:rsid w:val="60B74C75"/>
    <w:rsid w:val="625C19AD"/>
    <w:rsid w:val="62DB16E4"/>
    <w:rsid w:val="64FA2324"/>
    <w:rsid w:val="65CE297E"/>
    <w:rsid w:val="66C04989"/>
    <w:rsid w:val="69745AC4"/>
    <w:rsid w:val="69993DBC"/>
    <w:rsid w:val="6A6C0D78"/>
    <w:rsid w:val="6B0D7DED"/>
    <w:rsid w:val="6B8D38AF"/>
    <w:rsid w:val="6C627CF4"/>
    <w:rsid w:val="6CDE53E3"/>
    <w:rsid w:val="6E574A5B"/>
    <w:rsid w:val="6EA10222"/>
    <w:rsid w:val="6FBC6FCA"/>
    <w:rsid w:val="72B043AA"/>
    <w:rsid w:val="72FB079A"/>
    <w:rsid w:val="74EF0E95"/>
    <w:rsid w:val="76BC0EE6"/>
    <w:rsid w:val="78540B78"/>
    <w:rsid w:val="78F9372E"/>
    <w:rsid w:val="7B121B20"/>
    <w:rsid w:val="7DAF0E22"/>
    <w:rsid w:val="7DFC1B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Cs w:val="24"/>
    </w:rPr>
  </w:style>
  <w:style w:type="paragraph" w:styleId="3">
    <w:name w:val="Title"/>
    <w:basedOn w:val="1"/>
    <w:next w:val="1"/>
    <w:qFormat/>
    <w:locked/>
    <w:uiPriority w:val="0"/>
    <w:pPr>
      <w:spacing w:before="240" w:after="60"/>
      <w:jc w:val="center"/>
      <w:outlineLvl w:val="0"/>
    </w:pPr>
    <w:rPr>
      <w:rFonts w:ascii="Arial" w:hAnsi="Arial" w:eastAsia="宋体" w:cs="Times New Roman"/>
      <w:b/>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left w:val="none" w:color="auto" w:sz="0" w:space="0"/>
        <w:right w:val="none" w:color="auto" w:sz="0" w:space="0"/>
      </w:pBdr>
      <w:spacing w:line="510" w:lineRule="atLeast"/>
      <w:jc w:val="left"/>
    </w:pPr>
    <w:rPr>
      <w:b/>
      <w:bCs/>
      <w:kern w:val="0"/>
      <w:lang w:val="en-US" w:eastAsia="zh-CN" w:bidi="ar"/>
    </w:rPr>
  </w:style>
  <w:style w:type="table" w:styleId="8">
    <w:name w:val="Table Grid"/>
    <w:basedOn w:val="7"/>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locked/>
    <w:uiPriority w:val="0"/>
    <w:rPr>
      <w:b/>
    </w:rPr>
  </w:style>
  <w:style w:type="character" w:styleId="11">
    <w:name w:val="page number"/>
    <w:basedOn w:val="9"/>
    <w:qFormat/>
    <w:uiPriority w:val="99"/>
  </w:style>
  <w:style w:type="character" w:styleId="12">
    <w:name w:val="FollowedHyperlink"/>
    <w:basedOn w:val="9"/>
    <w:unhideWhenUsed/>
    <w:qFormat/>
    <w:uiPriority w:val="99"/>
    <w:rPr>
      <w:color w:val="005C81"/>
      <w:u w:val="none"/>
    </w:rPr>
  </w:style>
  <w:style w:type="character" w:styleId="13">
    <w:name w:val="Emphasis"/>
    <w:basedOn w:val="9"/>
    <w:qFormat/>
    <w:locked/>
    <w:uiPriority w:val="0"/>
  </w:style>
  <w:style w:type="character" w:styleId="14">
    <w:name w:val="Hyperlink"/>
    <w:basedOn w:val="9"/>
    <w:autoRedefine/>
    <w:unhideWhenUsed/>
    <w:qFormat/>
    <w:uiPriority w:val="99"/>
    <w:rPr>
      <w:color w:val="005C81"/>
      <w:u w:val="none"/>
    </w:rPr>
  </w:style>
  <w:style w:type="character" w:customStyle="1" w:styleId="15">
    <w:name w:val="Header Char"/>
    <w:basedOn w:val="9"/>
    <w:link w:val="5"/>
    <w:autoRedefine/>
    <w:semiHidden/>
    <w:qFormat/>
    <w:locked/>
    <w:uiPriority w:val="99"/>
    <w:rPr>
      <w:sz w:val="18"/>
      <w:szCs w:val="18"/>
    </w:rPr>
  </w:style>
  <w:style w:type="character" w:customStyle="1" w:styleId="16">
    <w:name w:val="Footer Char"/>
    <w:basedOn w:val="9"/>
    <w:link w:val="4"/>
    <w:autoRedefine/>
    <w:semiHidden/>
    <w:qFormat/>
    <w:locked/>
    <w:uiPriority w:val="99"/>
    <w:rPr>
      <w:sz w:val="18"/>
      <w:szCs w:val="18"/>
    </w:rPr>
  </w:style>
  <w:style w:type="character" w:customStyle="1" w:styleId="17">
    <w:name w:val="font51"/>
    <w:autoRedefine/>
    <w:qFormat/>
    <w:uiPriority w:val="0"/>
    <w:rPr>
      <w:rFonts w:hint="default" w:ascii="Times New Roman" w:hAnsi="Times New Roman" w:cs="Times New Roman"/>
      <w:color w:val="000000"/>
      <w:sz w:val="20"/>
      <w:szCs w:val="20"/>
      <w:u w:val="none"/>
    </w:rPr>
  </w:style>
  <w:style w:type="character" w:customStyle="1" w:styleId="18">
    <w:name w:val="font11"/>
    <w:autoRedefine/>
    <w:qFormat/>
    <w:uiPriority w:val="0"/>
    <w:rPr>
      <w:rFonts w:hint="eastAsia" w:ascii="宋体" w:hAnsi="宋体" w:eastAsia="宋体" w:cs="宋体"/>
      <w:color w:val="000000"/>
      <w:sz w:val="20"/>
      <w:szCs w:val="20"/>
      <w:u w:val="none"/>
    </w:rPr>
  </w:style>
  <w:style w:type="character" w:customStyle="1" w:styleId="19">
    <w:name w:val="font21"/>
    <w:autoRedefine/>
    <w:qFormat/>
    <w:uiPriority w:val="0"/>
    <w:rPr>
      <w:rFonts w:hint="eastAsia" w:ascii="宋体" w:hAnsi="宋体" w:eastAsia="宋体"/>
      <w:color w:val="000000"/>
      <w:sz w:val="20"/>
      <w:szCs w:val="20"/>
      <w:u w:val="none"/>
    </w:rPr>
  </w:style>
  <w:style w:type="character" w:customStyle="1" w:styleId="20">
    <w:name w:val="font61"/>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79</Pages>
  <Words>38448</Words>
  <Characters>38980</Characters>
  <Lines>0</Lines>
  <Paragraphs>0</Paragraphs>
  <TotalTime>3</TotalTime>
  <ScaleCrop>false</ScaleCrop>
  <LinksUpToDate>false</LinksUpToDate>
  <CharactersWithSpaces>39117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2022-02-09T03:51:00Z</dcterms:created>
  <dc:creator>Administrator</dc:creator>
  <cp:lastModifiedBy>A_TA。-等好友จุ๊บ</cp:lastModifiedBy>
  <dcterms:modified xsi:type="dcterms:W3CDTF">2025-03-19T02:25:39Z</dcterms:modified>
  <dc:title>附件1-1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69515B9E3A844E469C3A96B55F13F1BE</vt:lpwstr>
  </property>
  <property fmtid="{D5CDD505-2E9C-101B-9397-08002B2CF9AE}" pid="4" name="KSOTemplateDocerSaveRecord">
    <vt:lpwstr>eyJoZGlkIjoiNjYzNjdlYzY1OTQxNGM0NjE3Y2E2ZmQ3MGNlNGQ0NzIiLCJ1c2VySWQiOiIzNjc1MjQ1MTIifQ==</vt:lpwstr>
  </property>
</Properties>
</file>