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龙胜各族自治县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文学艺术界联合会</w:t>
      </w:r>
      <w:r>
        <w:rPr>
          <w:rFonts w:hint="eastAsia" w:ascii="宋体" w:hAnsi="宋体" w:cs="宋体"/>
          <w:b/>
          <w:kern w:val="0"/>
          <w:sz w:val="28"/>
          <w:szCs w:val="28"/>
        </w:rPr>
        <w:t>部门预决算信息公开管理办法</w:t>
      </w:r>
      <w:r>
        <w:rPr>
          <w:rFonts w:ascii="宋体" w:cs="宋体"/>
          <w:b/>
          <w:kern w:val="0"/>
          <w:sz w:val="28"/>
          <w:szCs w:val="28"/>
        </w:rPr>
        <w:t> </w:t>
      </w:r>
    </w:p>
    <w:p>
      <w:pPr>
        <w:widowControl/>
        <w:spacing w:line="450" w:lineRule="atLeast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第一章</w:t>
      </w:r>
      <w:r>
        <w:rPr>
          <w:rFonts w:ascii="宋体" w:cs="宋体"/>
          <w:b/>
          <w:kern w:val="0"/>
          <w:sz w:val="28"/>
          <w:szCs w:val="28"/>
        </w:rPr>
        <w:t> 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总</w:t>
      </w:r>
      <w:r>
        <w:rPr>
          <w:rFonts w:ascii="宋体" w:cs="宋体"/>
          <w:b/>
          <w:kern w:val="0"/>
          <w:sz w:val="28"/>
          <w:szCs w:val="28"/>
        </w:rPr>
        <w:t> 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则</w:t>
      </w:r>
      <w:r>
        <w:rPr>
          <w:rFonts w:ascii="宋体" w:cs="宋体"/>
          <w:b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第一条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为推进和规范预决算信息公开工作，进一步提高本单位财政资金使用效率，接受社会各界的监督，促进依法理财，根据有关规定，结合本单位实际情况，制定本办法。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第二条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本办法所称部门预决算信息包括预算收支安排、预算执行、预算调整和决算等信息。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第三条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预决算信息以公开为常态，不公开为例外。预决算信息公开遵循依法依规、真实准确、积极稳妥、分级负责的原则。</w:t>
      </w:r>
      <w:r>
        <w:rPr>
          <w:rFonts w:ascii="宋体" w:cs="宋体"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2" w:firstLineChars="200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第二章</w:t>
      </w:r>
      <w:r>
        <w:rPr>
          <w:rFonts w:ascii="宋体" w:cs="宋体"/>
          <w:b/>
          <w:kern w:val="0"/>
          <w:sz w:val="28"/>
          <w:szCs w:val="28"/>
        </w:rPr>
        <w:t> 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公开主体和职责</w:t>
      </w:r>
      <w:r>
        <w:rPr>
          <w:rFonts w:ascii="宋体" w:cs="宋体"/>
          <w:b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第四条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财务股负责本单位的部门预决算信息公开工作，履行下列职责：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（一）执行县财政预决算信息公开的工作方案；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（二）按规定公开本单位的部门预决算信息；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（三）按规定做好公民、法人或者其他组织依申请公开部门预决算信息的答复工作；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（四）法律、法规、规章规定的其他职责。</w:t>
      </w:r>
      <w:r>
        <w:rPr>
          <w:rFonts w:ascii="宋体" w:cs="宋体"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2" w:firstLineChars="200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第三章</w:t>
      </w:r>
      <w:r>
        <w:rPr>
          <w:rFonts w:ascii="宋体" w:cs="宋体"/>
          <w:b/>
          <w:kern w:val="0"/>
          <w:sz w:val="28"/>
          <w:szCs w:val="28"/>
        </w:rPr>
        <w:t> 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公开内容</w:t>
      </w:r>
      <w:r>
        <w:rPr>
          <w:rFonts w:ascii="宋体" w:cs="宋体"/>
          <w:b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第五条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部门预决算信息（涉密信息除外）公开内容包括：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（一）单位职责、机构设置、编制现状、年度主要工作任务等情况。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二）预决算收支情况，包括一般公共预算收支情况、政府性基金预算收支情况、机关运行经费情况等，涵盖财政拨款收支、非财政拨款收支情况。预决算支出公开到功能分类的项级科目，按规定公开到经济分类科目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（三）</w:t>
      </w:r>
      <w:r>
        <w:rPr>
          <w:rFonts w:hint="eastAsia" w:asci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三公</w:t>
      </w:r>
      <w:r>
        <w:rPr>
          <w:rFonts w:hint="eastAsia" w:asci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经费财政拨款预决算总额和分项数额、会议费和培训费预决算总额，并对增减变化的原因进行说明。</w:t>
      </w:r>
      <w:r>
        <w:rPr>
          <w:rFonts w:hint="eastAsia" w:asci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公务用车购置和运行费</w:t>
      </w:r>
      <w:r>
        <w:rPr>
          <w:rFonts w:hint="eastAsia" w:asci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公开为</w:t>
      </w:r>
      <w:r>
        <w:rPr>
          <w:rFonts w:hint="eastAsia" w:asci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公务用车购置费</w:t>
      </w:r>
      <w:r>
        <w:rPr>
          <w:rFonts w:hint="eastAsia" w:asci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和</w:t>
      </w:r>
      <w:r>
        <w:rPr>
          <w:rFonts w:hint="eastAsia" w:asci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公务用车运行费</w:t>
      </w:r>
      <w:r>
        <w:rPr>
          <w:rFonts w:hint="eastAsia" w:asci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hint="eastAsia" w:asci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三公</w:t>
      </w:r>
      <w:r>
        <w:rPr>
          <w:rFonts w:hint="eastAsia" w:asci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经费决算公开说明因公出国（境）团组数及人数，公务用车购置数及保有量，国内公务接待的批次、人数、经费总额以及</w:t>
      </w:r>
      <w:r>
        <w:rPr>
          <w:rFonts w:hint="eastAsia" w:ascii="宋体" w:cs="宋体"/>
          <w:kern w:val="0"/>
          <w:sz w:val="28"/>
          <w:szCs w:val="28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三公</w:t>
      </w:r>
      <w:r>
        <w:rPr>
          <w:rFonts w:hint="eastAsia" w:ascii="宋体" w:cs="宋体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经费增减变化原因等情况。会议费、培训费决算公开说明召开会议和组织培训的次数和人数等情况。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（四）政府采购信息，包括政府采购预算总额和分项数额、采购项目公告、采购文件、采购结果等。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（五）逐步公开预算绩效信息，在部门预算中公开预算绩效目标，在部门决算中公开主要的民生项目和重点支出项目的绩效评价结果。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（六）逐步公开资产管理信息，包括占有使用国有资产的总体情况、分布构成、主要实物资产数据和资产变动情况，探索建立国有资产公开制度。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（七）公开财政专项资金政策、项目申报指南、资金分配结果等。</w:t>
      </w:r>
      <w:r>
        <w:rPr>
          <w:rFonts w:ascii="宋体" w:cs="宋体"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450" w:lineRule="atLeast"/>
        <w:ind w:firstLine="560" w:firstLineChars="200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450" w:lineRule="atLeast"/>
        <w:ind w:firstLine="560" w:firstLineChars="200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450" w:lineRule="atLeast"/>
        <w:ind w:firstLine="562" w:firstLineChars="200"/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第四章</w:t>
      </w:r>
      <w:r>
        <w:rPr>
          <w:rFonts w:ascii="宋体" w:cs="宋体"/>
          <w:b/>
          <w:kern w:val="0"/>
          <w:sz w:val="28"/>
          <w:szCs w:val="28"/>
        </w:rPr>
        <w:t> 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公开方式和时间</w:t>
      </w:r>
      <w:r>
        <w:rPr>
          <w:rFonts w:ascii="宋体" w:cs="宋体"/>
          <w:b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第六条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预决算信息公开以我单位部门网站为主要平台，并保持长期公开状态。本单位在部门网站信息公开栏目汇总集中公开信息，便于社会公众查询监督。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第七条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经本级政府财政部门批复的部门预算、决算及报表，应当在批复后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</w:rPr>
        <w:t>日内由本单位在部门网站公开。公开地址为部门网站信息公开栏。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第八条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本单位应当公开政府采购信息（涉密信息除外）。公开部门决算时，一并公开本部门政府采购货物、工程、服务的总体情况。以及支持中小企业等政府采购政策的落实情况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第九条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本单位应当及时公开专项资金分配情况。</w:t>
      </w:r>
      <w:r>
        <w:rPr>
          <w:rFonts w:ascii="宋体" w:cs="宋体"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jc w:val="center"/>
        <w:rPr>
          <w:rFonts w:ascii="宋体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450" w:lineRule="atLeast"/>
        <w:ind w:firstLine="560" w:firstLineChars="200"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第五章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附则</w:t>
      </w:r>
      <w:r>
        <w:rPr>
          <w:rFonts w:ascii="宋体" w:cs="宋体"/>
          <w:kern w:val="0"/>
          <w:sz w:val="28"/>
          <w:szCs w:val="28"/>
        </w:rPr>
        <w:t> </w:t>
      </w:r>
    </w:p>
    <w:p>
      <w:pPr>
        <w:widowControl/>
        <w:spacing w:line="450" w:lineRule="atLeast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第十条</w:t>
      </w:r>
      <w:r>
        <w:rPr>
          <w:rFonts w:ascii="宋体" w:cs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本办法自印发之日起实行。</w:t>
      </w:r>
    </w:p>
    <w:p>
      <w:pPr>
        <w:ind w:firstLine="560" w:firstLineChars="200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3C5"/>
    <w:rsid w:val="000D5A8A"/>
    <w:rsid w:val="002C6BB2"/>
    <w:rsid w:val="003A16FF"/>
    <w:rsid w:val="005733C5"/>
    <w:rsid w:val="006A7993"/>
    <w:rsid w:val="007C1ED1"/>
    <w:rsid w:val="008E4FF8"/>
    <w:rsid w:val="00935FA1"/>
    <w:rsid w:val="009D06CC"/>
    <w:rsid w:val="00ED1624"/>
    <w:rsid w:val="00F95B3D"/>
    <w:rsid w:val="3DA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181</Words>
  <Characters>1035</Characters>
  <Lines>0</Lines>
  <Paragraphs>0</Paragraphs>
  <TotalTime>0</TotalTime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2017-06-06T09:54:00Z</dcterms:created>
  <dc:creator>PC</dc:creator>
  <cp:lastModifiedBy>Administrator</cp:lastModifiedBy>
  <dcterms:modified xsi:type="dcterms:W3CDTF">2017-06-06T10:06:15Z</dcterms:modified>
  <dc:title>龙胜各族自治县民族局部门预决算信息公开管理办法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