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2"/>
        <w:tblpPr w:leftFromText="180" w:rightFromText="180" w:vertAnchor="page" w:horzAnchor="margin" w:tblpXSpec="right" w:tblpY="1745"/>
        <w:tblW w:w="2700" w:type="dxa"/>
        <w:tblInd w:w="0" w:type="dxa"/>
        <w:tblBorders>
          <w:top w:val="thickThinSmallGap" w:color="0000FF" w:sz="18" w:space="0"/>
          <w:left w:val="thickThinSmallGap" w:color="0000FF" w:sz="18" w:space="0"/>
          <w:bottom w:val="thickThinSmallGap" w:color="0000FF" w:sz="18" w:space="0"/>
          <w:right w:val="thickThinSmallGap" w:color="0000FF" w:sz="18" w:space="0"/>
          <w:insideH w:val="thickThinSmallGap" w:color="0000FF" w:sz="18" w:space="0"/>
          <w:insideV w:val="thickThinSmallGap" w:color="0000FF" w:sz="18" w:space="0"/>
        </w:tblBorders>
        <w:tblLayout w:type="fixed"/>
        <w:tblCellMar>
          <w:top w:w="0" w:type="dxa"/>
          <w:left w:w="0" w:type="dxa"/>
          <w:bottom w:w="0" w:type="dxa"/>
          <w:right w:w="0" w:type="dxa"/>
        </w:tblCellMar>
      </w:tblPr>
      <w:tblGrid>
        <w:gridCol w:w="1050"/>
        <w:gridCol w:w="632"/>
        <w:gridCol w:w="540"/>
        <w:gridCol w:w="478"/>
      </w:tblGrid>
      <w:tr>
        <w:tblPrEx>
          <w:tblBorders>
            <w:top w:val="thickThinSmallGap" w:color="0000FF" w:sz="18" w:space="0"/>
            <w:left w:val="thickThinSmallGap" w:color="0000FF" w:sz="18" w:space="0"/>
            <w:bottom w:val="thickThinSmallGap" w:color="0000FF" w:sz="18" w:space="0"/>
            <w:right w:val="thickThinSmallGap" w:color="0000FF" w:sz="18" w:space="0"/>
            <w:insideH w:val="thickThinSmallGap" w:color="0000FF" w:sz="18" w:space="0"/>
            <w:insideV w:val="thickThinSmallGap" w:color="0000FF" w:sz="18" w:space="0"/>
          </w:tblBorders>
          <w:tblCellMar>
            <w:top w:w="0" w:type="dxa"/>
            <w:left w:w="0" w:type="dxa"/>
            <w:bottom w:w="0" w:type="dxa"/>
            <w:right w:w="0" w:type="dxa"/>
          </w:tblCellMar>
        </w:tblPrEx>
        <w:trPr>
          <w:cantSplit/>
          <w:trHeight w:val="783" w:hRule="atLeast"/>
        </w:trPr>
        <w:tc>
          <w:tcPr>
            <w:tcW w:w="2700" w:type="dxa"/>
            <w:gridSpan w:val="4"/>
            <w:tcBorders>
              <w:top w:val="thickThinSmallGap" w:color="0000FF" w:sz="18" w:space="0"/>
              <w:left w:val="thickThinSmallGap" w:color="0000FF" w:sz="18" w:space="0"/>
              <w:bottom w:val="thickThinSmallGap" w:color="0000FF" w:sz="18" w:space="0"/>
              <w:right w:val="thickThinSmallGap" w:color="0000FF" w:sz="18" w:space="0"/>
            </w:tcBorders>
            <w:vAlign w:val="center"/>
          </w:tcPr>
          <w:p>
            <w:pPr>
              <w:tabs>
                <w:tab w:val="left" w:pos="2023"/>
              </w:tabs>
              <w:adjustRightInd w:val="0"/>
              <w:snapToGrid w:val="0"/>
              <w:jc w:val="center"/>
              <w:rPr>
                <w:rFonts w:ascii="Times New Roman" w:hAnsi="Times New Roman"/>
                <w:b/>
                <w:color w:val="0000FF"/>
                <w:kern w:val="0"/>
                <w:szCs w:val="21"/>
              </w:rPr>
            </w:pPr>
            <w:r>
              <w:rPr>
                <w:rFonts w:ascii="Times New Roman" w:hAnsi="Times New Roman"/>
                <w:b/>
                <w:color w:val="0000FF"/>
                <w:kern w:val="0"/>
                <w:szCs w:val="21"/>
              </w:rPr>
              <w:t>龙胜各族自治县人民政府</w:t>
            </w:r>
          </w:p>
          <w:p>
            <w:pPr>
              <w:tabs>
                <w:tab w:val="left" w:pos="2023"/>
              </w:tabs>
              <w:adjustRightInd w:val="0"/>
              <w:snapToGrid w:val="0"/>
              <w:jc w:val="center"/>
              <w:rPr>
                <w:rFonts w:ascii="Times New Roman" w:hAnsi="Times New Roman"/>
                <w:b/>
                <w:color w:val="0000FF"/>
                <w:kern w:val="0"/>
                <w:szCs w:val="21"/>
              </w:rPr>
            </w:pPr>
            <w:r>
              <w:rPr>
                <w:rFonts w:ascii="Times New Roman" w:hAnsi="Times New Roman"/>
                <w:b/>
                <w:color w:val="0000FF"/>
                <w:kern w:val="0"/>
                <w:szCs w:val="21"/>
              </w:rPr>
              <w:t>办公室（网络发文）</w:t>
            </w:r>
          </w:p>
        </w:tc>
      </w:tr>
      <w:tr>
        <w:tblPrEx>
          <w:tblBorders>
            <w:top w:val="thickThinSmallGap" w:color="0000FF" w:sz="18" w:space="0"/>
            <w:left w:val="thickThinSmallGap" w:color="0000FF" w:sz="18" w:space="0"/>
            <w:bottom w:val="thickThinSmallGap" w:color="0000FF" w:sz="18" w:space="0"/>
            <w:right w:val="thickThinSmallGap" w:color="0000FF" w:sz="18" w:space="0"/>
            <w:insideH w:val="thickThinSmallGap" w:color="0000FF" w:sz="18" w:space="0"/>
            <w:insideV w:val="thickThinSmallGap" w:color="0000FF" w:sz="18" w:space="0"/>
          </w:tblBorders>
          <w:tblCellMar>
            <w:top w:w="0" w:type="dxa"/>
            <w:left w:w="0" w:type="dxa"/>
            <w:bottom w:w="0" w:type="dxa"/>
            <w:right w:w="0" w:type="dxa"/>
          </w:tblCellMar>
        </w:tblPrEx>
        <w:trPr>
          <w:trHeight w:val="484" w:hRule="atLeast"/>
        </w:trPr>
        <w:tc>
          <w:tcPr>
            <w:tcW w:w="1050" w:type="dxa"/>
            <w:tcBorders>
              <w:top w:val="thickThinSmallGap" w:color="0000FF" w:sz="18" w:space="0"/>
              <w:left w:val="thickThinSmallGap" w:color="0000FF" w:sz="18" w:space="0"/>
              <w:bottom w:val="thickThinSmallGap" w:color="0000FF" w:sz="18" w:space="0"/>
              <w:right w:val="thickThinSmallGap" w:color="0000FF" w:sz="18" w:space="0"/>
            </w:tcBorders>
            <w:vAlign w:val="center"/>
          </w:tcPr>
          <w:p>
            <w:pPr>
              <w:tabs>
                <w:tab w:val="left" w:pos="2023"/>
              </w:tabs>
              <w:adjustRightInd w:val="0"/>
              <w:snapToGrid w:val="0"/>
              <w:spacing w:line="400" w:lineRule="exact"/>
              <w:jc w:val="center"/>
              <w:rPr>
                <w:rFonts w:ascii="Times New Roman" w:hAnsi="Times New Roman"/>
                <w:b/>
                <w:color w:val="0000FF"/>
                <w:kern w:val="0"/>
                <w:szCs w:val="21"/>
              </w:rPr>
            </w:pPr>
            <w:r>
              <w:rPr>
                <w:rFonts w:ascii="Times New Roman" w:hAnsi="Times New Roman"/>
                <w:b/>
                <w:color w:val="0000FF"/>
                <w:kern w:val="0"/>
                <w:szCs w:val="21"/>
              </w:rPr>
              <w:t>2021年</w:t>
            </w:r>
          </w:p>
        </w:tc>
        <w:tc>
          <w:tcPr>
            <w:tcW w:w="632" w:type="dxa"/>
            <w:tcBorders>
              <w:top w:val="thickThinSmallGap" w:color="0000FF" w:sz="18" w:space="0"/>
              <w:left w:val="thickThinSmallGap" w:color="0000FF" w:sz="18" w:space="0"/>
              <w:bottom w:val="thickThinSmallGap" w:color="0000FF" w:sz="18" w:space="0"/>
              <w:right w:val="nil"/>
            </w:tcBorders>
            <w:vAlign w:val="center"/>
          </w:tcPr>
          <w:p>
            <w:pPr>
              <w:tabs>
                <w:tab w:val="left" w:pos="2023"/>
              </w:tabs>
              <w:adjustRightInd w:val="0"/>
              <w:snapToGrid w:val="0"/>
              <w:spacing w:line="400" w:lineRule="exact"/>
              <w:jc w:val="center"/>
              <w:rPr>
                <w:rFonts w:ascii="Times New Roman" w:hAnsi="Times New Roman"/>
                <w:b/>
                <w:color w:val="0000FF"/>
                <w:kern w:val="0"/>
                <w:szCs w:val="21"/>
              </w:rPr>
            </w:pPr>
            <w:r>
              <w:rPr>
                <w:rFonts w:ascii="Times New Roman" w:hAnsi="Times New Roman"/>
                <w:b/>
                <w:color w:val="0000FF"/>
                <w:kern w:val="0"/>
                <w:szCs w:val="21"/>
              </w:rPr>
              <w:t>第</w:t>
            </w:r>
          </w:p>
        </w:tc>
        <w:tc>
          <w:tcPr>
            <w:tcW w:w="540" w:type="dxa"/>
            <w:tcBorders>
              <w:top w:val="thickThinSmallGap" w:color="0000FF" w:sz="18" w:space="0"/>
              <w:left w:val="nil"/>
              <w:bottom w:val="thickThinSmallGap" w:color="0000FF" w:sz="18" w:space="0"/>
              <w:right w:val="nil"/>
            </w:tcBorders>
            <w:vAlign w:val="center"/>
          </w:tcPr>
          <w:p>
            <w:pPr>
              <w:tabs>
                <w:tab w:val="left" w:pos="2023"/>
              </w:tabs>
              <w:adjustRightInd w:val="0"/>
              <w:snapToGrid w:val="0"/>
              <w:spacing w:line="400" w:lineRule="exact"/>
              <w:rPr>
                <w:rFonts w:ascii="Times New Roman" w:hAnsi="Times New Roman"/>
                <w:b/>
                <w:color w:val="0000FF"/>
                <w:kern w:val="0"/>
                <w:szCs w:val="21"/>
              </w:rPr>
            </w:pPr>
            <w:r>
              <w:rPr>
                <w:rFonts w:hint="eastAsia" w:ascii="Times New Roman" w:hAnsi="Times New Roman"/>
                <w:b/>
                <w:color w:val="0000FF"/>
                <w:kern w:val="0"/>
                <w:szCs w:val="21"/>
              </w:rPr>
              <w:t>129</w:t>
            </w:r>
            <w:r>
              <w:rPr>
                <w:rFonts w:ascii="Times New Roman" w:hAnsi="Times New Roman"/>
                <w:b/>
                <w:color w:val="0000FF"/>
                <w:kern w:val="0"/>
                <w:szCs w:val="21"/>
              </w:rPr>
              <w:t xml:space="preserve">  </w:t>
            </w:r>
          </w:p>
        </w:tc>
        <w:tc>
          <w:tcPr>
            <w:tcW w:w="478" w:type="dxa"/>
            <w:tcBorders>
              <w:top w:val="thickThinSmallGap" w:color="0000FF" w:sz="18" w:space="0"/>
              <w:left w:val="nil"/>
              <w:bottom w:val="thickThinSmallGap" w:color="0000FF" w:sz="18" w:space="0"/>
              <w:right w:val="thickThinSmallGap" w:color="0000FF" w:sz="18" w:space="0"/>
            </w:tcBorders>
            <w:vAlign w:val="center"/>
          </w:tcPr>
          <w:p>
            <w:pPr>
              <w:tabs>
                <w:tab w:val="left" w:pos="2023"/>
              </w:tabs>
              <w:adjustRightInd w:val="0"/>
              <w:snapToGrid w:val="0"/>
              <w:spacing w:line="400" w:lineRule="exact"/>
              <w:rPr>
                <w:rFonts w:ascii="Times New Roman" w:hAnsi="Times New Roman"/>
                <w:b/>
                <w:color w:val="0000FF"/>
                <w:kern w:val="0"/>
                <w:szCs w:val="21"/>
              </w:rPr>
            </w:pPr>
            <w:r>
              <w:rPr>
                <w:rFonts w:ascii="Times New Roman" w:hAnsi="Times New Roman"/>
                <w:b/>
                <w:color w:val="0000FF"/>
                <w:kern w:val="0"/>
                <w:szCs w:val="21"/>
              </w:rPr>
              <w:t>号</w:t>
            </w:r>
          </w:p>
        </w:tc>
      </w:tr>
    </w:tbl>
    <w:p>
      <w:pPr>
        <w:tabs>
          <w:tab w:val="left" w:pos="8080"/>
          <w:tab w:val="left" w:pos="8364"/>
        </w:tabs>
        <w:spacing w:line="1300" w:lineRule="exact"/>
        <w:rPr>
          <w:rFonts w:ascii="Times New Roman" w:hAnsi="Times New Roman" w:eastAsia="方正小标宋_GBK"/>
          <w:color w:val="FF0000"/>
          <w:spacing w:val="60"/>
          <w:sz w:val="52"/>
        </w:rPr>
      </w:pPr>
    </w:p>
    <w:p>
      <w:pPr>
        <w:tabs>
          <w:tab w:val="left" w:pos="8080"/>
          <w:tab w:val="left" w:pos="8364"/>
        </w:tabs>
        <w:spacing w:line="1300" w:lineRule="exact"/>
        <w:jc w:val="center"/>
        <w:rPr>
          <w:rFonts w:ascii="Times New Roman" w:hAnsi="Times New Roman" w:eastAsia="方正小标宋_GBK"/>
          <w:color w:val="FF0000"/>
          <w:spacing w:val="60"/>
          <w:sz w:val="52"/>
        </w:rPr>
      </w:pPr>
      <w:r>
        <w:rPr>
          <w:rFonts w:ascii="Times New Roman" w:hAnsi="Times New Roman" w:eastAsia="方正小标宋_GBK"/>
          <w:color w:val="FF0000"/>
          <w:spacing w:val="60"/>
          <w:sz w:val="52"/>
        </w:rPr>
        <w:t xml:space="preserve">龙胜各族自治县 </w:t>
      </w:r>
    </w:p>
    <w:p>
      <w:pPr>
        <w:spacing w:line="1300" w:lineRule="exact"/>
        <w:jc w:val="center"/>
        <w:rPr>
          <w:rFonts w:ascii="Times New Roman" w:hAnsi="Times New Roman" w:eastAsia="方正小标宋_GBK"/>
          <w:color w:val="FF0000"/>
        </w:rPr>
      </w:pPr>
      <w:r>
        <w:rPr>
          <w:rFonts w:ascii="Times New Roman" w:hAnsi="Times New Roman" w:eastAsia="方正小标宋_GBK"/>
          <w:color w:val="FF0000"/>
          <w:spacing w:val="60"/>
          <w:sz w:val="96"/>
        </w:rPr>
        <w:t>人民政府文件</w:t>
      </w:r>
    </w:p>
    <w:p>
      <w:pPr>
        <w:spacing w:line="200" w:lineRule="exact"/>
        <w:jc w:val="center"/>
        <w:rPr>
          <w:rFonts w:ascii="Times New Roman" w:hAnsi="Times New Roman" w:eastAsia="方正仿宋_GBK"/>
          <w:szCs w:val="32"/>
        </w:rPr>
      </w:pPr>
    </w:p>
    <w:p>
      <w:pPr>
        <w:spacing w:line="500" w:lineRule="exact"/>
        <w:jc w:val="center"/>
        <w:rPr>
          <w:rFonts w:ascii="Times New Roman" w:hAnsi="Times New Roman" w:eastAsia="方正仿宋_GBK"/>
          <w:sz w:val="32"/>
          <w:szCs w:val="32"/>
        </w:rPr>
      </w:pPr>
      <w:r>
        <w:rPr>
          <w:rFonts w:ascii="Times New Roman" w:hAnsi="Times New Roman" w:eastAsia="方正仿宋_GBK"/>
          <w:sz w:val="32"/>
          <w:szCs w:val="32"/>
        </w:rPr>
        <w:t>龙政发</w:t>
      </w:r>
      <w:r>
        <w:rPr>
          <w:rFonts w:hint="eastAsia" w:ascii="仿宋_GB2312" w:hAnsi="仿宋_GB2312" w:eastAsia="仿宋_GB2312" w:cs="仿宋_GB2312"/>
          <w:sz w:val="32"/>
          <w:szCs w:val="32"/>
        </w:rPr>
        <w:t>〔</w:t>
      </w:r>
      <w:r>
        <w:rPr>
          <w:rFonts w:ascii="Times New Roman" w:hAnsi="Times New Roman" w:eastAsia="方正仿宋_GBK"/>
          <w:sz w:val="32"/>
          <w:szCs w:val="32"/>
        </w:rPr>
        <w:t>2021</w:t>
      </w:r>
      <w:r>
        <w:rPr>
          <w:rFonts w:ascii="仿宋_GB2312" w:hAnsi="仿宋_GB2312" w:eastAsia="仿宋_GB2312" w:cs="仿宋_GB2312"/>
          <w:sz w:val="32"/>
          <w:szCs w:val="32"/>
        </w:rPr>
        <w:t>〕</w:t>
      </w:r>
      <w:r>
        <w:rPr>
          <w:rFonts w:hint="eastAsia" w:ascii="Times New Roman" w:hAnsi="Times New Roman" w:eastAsia="方正仿宋_GBK"/>
          <w:sz w:val="32"/>
          <w:szCs w:val="32"/>
        </w:rPr>
        <w:t>27</w:t>
      </w:r>
      <w:r>
        <w:rPr>
          <w:rFonts w:ascii="Times New Roman" w:hAnsi="Times New Roman" w:eastAsia="方正仿宋_GBK"/>
          <w:sz w:val="32"/>
          <w:szCs w:val="32"/>
        </w:rPr>
        <w:t>号</w:t>
      </w:r>
    </w:p>
    <w:p>
      <w:pPr>
        <w:tabs>
          <w:tab w:val="left" w:pos="8364"/>
        </w:tabs>
        <w:spacing w:line="500" w:lineRule="exact"/>
        <w:jc w:val="center"/>
        <w:rPr>
          <w:rFonts w:ascii="Times New Roman" w:hAnsi="Times New Roman" w:eastAsia="方正小标宋_GBK"/>
          <w:b/>
          <w:bCs/>
          <w:color w:val="000000" w:themeColor="text1"/>
          <w:sz w:val="52"/>
          <w:szCs w:val="52"/>
          <w14:textFill>
            <w14:solidFill>
              <w14:schemeClr w14:val="tx1"/>
            </w14:solidFill>
          </w14:textFill>
        </w:rPr>
      </w:pPr>
      <w:r>
        <w:rPr>
          <w:rFonts w:ascii="Times New Roman" w:hAnsi="Times New Roman"/>
        </w:rPr>
        <mc:AlternateContent>
          <mc:Choice Requires="wps">
            <w:drawing>
              <wp:anchor distT="0" distB="0" distL="114300" distR="114300" simplePos="0" relativeHeight="251672576" behindDoc="0" locked="0" layoutInCell="1" allowOverlap="1">
                <wp:simplePos x="0" y="0"/>
                <wp:positionH relativeFrom="column">
                  <wp:posOffset>-228600</wp:posOffset>
                </wp:positionH>
                <wp:positionV relativeFrom="paragraph">
                  <wp:posOffset>196850</wp:posOffset>
                </wp:positionV>
                <wp:extent cx="5829300" cy="0"/>
                <wp:effectExtent l="0" t="15875" r="0" b="22225"/>
                <wp:wrapNone/>
                <wp:docPr id="16" name="直接连接符 16"/>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31750">
                          <a:solidFill>
                            <a:srgbClr val="CC3300"/>
                          </a:solidFill>
                          <a:round/>
                        </a:ln>
                        <a:effectLst/>
                      </wps:spPr>
                      <wps:bodyPr/>
                    </wps:wsp>
                  </a:graphicData>
                </a:graphic>
              </wp:anchor>
            </w:drawing>
          </mc:Choice>
          <mc:Fallback>
            <w:pict>
              <v:line id="_x0000_s1026" o:spid="_x0000_s1026" o:spt="20" style="position:absolute;left:0pt;margin-left:-18pt;margin-top:15.5pt;height:0pt;width:459pt;z-index:251672576;mso-width-relative:page;mso-height-relative:page;" filled="f" stroked="t" coordsize="21600,21600" o:gfxdata="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YF0Z&#10;PtUAAAAJAQAADwAAAAAAAAABACAAAAAiAAAAZHJzL2Rvd25yZXYueG1sUEsBAhQAFAAAAAgAh07i&#10;QEX49AHsAQAAuwMAAA4AAAAAAAAAAQAgAAAAJAEAAGRycy9lMm9Eb2MueG1sUEsFBgAAAAAGAAYA&#10;WQEAAIIFAAAAAA==&#10;">
                <v:fill on="f" focussize="0,0"/>
                <v:stroke weight="2.5pt" color="#CC3300" joinstyle="round"/>
                <v:imagedata o:title=""/>
                <o:lock v:ext="edit" aspectratio="f"/>
              </v:line>
            </w:pict>
          </mc:Fallback>
        </mc:AlternateContent>
      </w:r>
    </w:p>
    <w:p>
      <w:pPr>
        <w:spacing w:line="640"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龙胜各族自治县人民政府关于印发龙胜各族</w:t>
      </w:r>
    </w:p>
    <w:p>
      <w:pPr>
        <w:spacing w:line="640"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自治县国民经济和社会发展第十四个五年</w:t>
      </w:r>
    </w:p>
    <w:p>
      <w:pPr>
        <w:spacing w:line="640" w:lineRule="exact"/>
        <w:jc w:val="center"/>
      </w:pPr>
      <w:r>
        <w:rPr>
          <w:rFonts w:hint="eastAsia" w:ascii="方正小标宋_GBK" w:hAnsi="方正小标宋_GBK" w:eastAsia="方正小标宋_GBK" w:cs="方正小标宋_GBK"/>
          <w:sz w:val="44"/>
          <w:szCs w:val="44"/>
        </w:rPr>
        <w:t>规划和2035年远景目标纲要的通知</w:t>
      </w:r>
    </w:p>
    <w:p>
      <w:pPr>
        <w:adjustRightInd w:val="0"/>
        <w:snapToGrid w:val="0"/>
        <w:jc w:val="center"/>
        <w:rPr>
          <w:rFonts w:ascii="Times New Roman" w:hAnsi="Times New Roman" w:eastAsia="方正小标宋_GBK"/>
          <w:color w:val="000000" w:themeColor="text1"/>
          <w:sz w:val="52"/>
          <w:szCs w:val="52"/>
          <w14:textFill>
            <w14:solidFill>
              <w14:schemeClr w14:val="tx1"/>
            </w14:solidFill>
          </w14:textFill>
        </w:rPr>
      </w:pPr>
    </w:p>
    <w:p>
      <w:pPr>
        <w:pStyle w:val="2"/>
        <w:spacing w:line="586" w:lineRule="exact"/>
        <w:ind w:left="0" w:leftChars="0"/>
        <w:rPr>
          <w:rFonts w:ascii="仿宋_GB2312" w:hAnsi="仿宋_GB2312" w:eastAsia="仿宋_GB2312" w:cs="仿宋_GB2312"/>
          <w:sz w:val="32"/>
          <w:szCs w:val="32"/>
        </w:rPr>
      </w:pPr>
      <w:r>
        <w:rPr>
          <w:rFonts w:hint="eastAsia" w:ascii="仿宋_GB2312" w:hAnsi="仿宋_GB2312" w:eastAsia="仿宋_GB2312" w:cs="仿宋_GB2312"/>
          <w:sz w:val="32"/>
          <w:szCs w:val="32"/>
        </w:rPr>
        <w:t>各乡、镇人民政府，县直各单位：</w:t>
      </w:r>
    </w:p>
    <w:p>
      <w:pPr>
        <w:pStyle w:val="2"/>
        <w:spacing w:line="586" w:lineRule="exact"/>
        <w:ind w:left="0" w:leftChars="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《龙胜各族自治县国民经济和社会发展第十四个五年规划和</w:t>
      </w:r>
      <w:r>
        <w:rPr>
          <w:rFonts w:hint="eastAsia" w:ascii="Times New Roman" w:hAnsi="Times New Roman" w:eastAsia="仿宋_GB2312"/>
          <w:color w:val="000000"/>
          <w:sz w:val="32"/>
          <w:szCs w:val="32"/>
        </w:rPr>
        <w:t>2035</w:t>
      </w:r>
      <w:r>
        <w:rPr>
          <w:rFonts w:hint="eastAsia" w:ascii="仿宋_GB2312" w:hAnsi="仿宋_GB2312" w:eastAsia="仿宋_GB2312" w:cs="仿宋_GB2312"/>
          <w:sz w:val="32"/>
          <w:szCs w:val="32"/>
        </w:rPr>
        <w:t>年远景目标纲要》已经自治县第十六届人民代表大会第六次会议批准，现印发给你们，请认真贯彻执行。</w:t>
      </w:r>
    </w:p>
    <w:p/>
    <w:p/>
    <w:p>
      <w:pPr>
        <w:pStyle w:val="2"/>
      </w:pPr>
    </w:p>
    <w:p>
      <w:pPr>
        <w:jc w:val="right"/>
        <w:rPr>
          <w:rFonts w:ascii="仿宋_GB2312" w:hAnsi="仿宋_GB2312" w:eastAsia="仿宋_GB2312" w:cs="仿宋_GB2312"/>
          <w:sz w:val="32"/>
          <w:szCs w:val="32"/>
        </w:rPr>
      </w:pPr>
      <w:r>
        <w:rPr>
          <w:rFonts w:hint="eastAsia" w:ascii="仿宋_GB2312" w:hAnsi="仿宋_GB2312" w:eastAsia="仿宋_GB2312" w:cs="仿宋_GB2312"/>
          <w:sz w:val="32"/>
          <w:szCs w:val="32"/>
        </w:rPr>
        <w:t>龙胜各族自治县人民政府</w:t>
      </w:r>
    </w:p>
    <w:p>
      <w:pPr>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hint="eastAsia" w:ascii="Times New Roman" w:hAnsi="Times New Roman" w:eastAsia="仿宋_GB2312"/>
          <w:color w:val="000000"/>
          <w:sz w:val="32"/>
          <w:szCs w:val="32"/>
        </w:rPr>
        <w:t xml:space="preserve"> 2021年8月30</w:t>
      </w:r>
      <w:r>
        <w:rPr>
          <w:rFonts w:hint="eastAsia" w:ascii="仿宋_GB2312" w:hAnsi="仿宋_GB2312" w:eastAsia="仿宋_GB2312" w:cs="仿宋_GB2312"/>
          <w:sz w:val="32"/>
          <w:szCs w:val="32"/>
        </w:rPr>
        <w:t>日</w:t>
      </w:r>
    </w:p>
    <w:p>
      <w:pPr>
        <w:adjustRightInd w:val="0"/>
        <w:snapToGrid w:val="0"/>
        <w:jc w:val="center"/>
        <w:rPr>
          <w:rFonts w:ascii="Times New Roman" w:hAnsi="Times New Roman" w:eastAsia="方正小标宋_GBK"/>
          <w:color w:val="000000" w:themeColor="text1"/>
          <w:sz w:val="52"/>
          <w:szCs w:val="52"/>
          <w14:textFill>
            <w14:solidFill>
              <w14:schemeClr w14:val="tx1"/>
            </w14:solidFill>
          </w14:textFill>
        </w:rPr>
      </w:pPr>
    </w:p>
    <w:p>
      <w:pPr>
        <w:adjustRightInd w:val="0"/>
        <w:snapToGrid w:val="0"/>
        <w:jc w:val="center"/>
        <w:rPr>
          <w:rFonts w:ascii="Times New Roman" w:hAnsi="Times New Roman" w:eastAsia="方正小标宋_GBK"/>
          <w:color w:val="000000" w:themeColor="text1"/>
          <w:sz w:val="52"/>
          <w:szCs w:val="52"/>
          <w14:textFill>
            <w14:solidFill>
              <w14:schemeClr w14:val="tx1"/>
            </w14:solidFill>
          </w14:textFill>
        </w:rPr>
      </w:pPr>
    </w:p>
    <w:p>
      <w:pPr>
        <w:adjustRightInd w:val="0"/>
        <w:snapToGrid w:val="0"/>
        <w:jc w:val="center"/>
        <w:rPr>
          <w:rFonts w:ascii="Times New Roman" w:hAnsi="Times New Roman" w:eastAsia="方正小标宋_GBK"/>
          <w:color w:val="000000" w:themeColor="text1"/>
          <w:sz w:val="52"/>
          <w:szCs w:val="52"/>
          <w14:textFill>
            <w14:solidFill>
              <w14:schemeClr w14:val="tx1"/>
            </w14:solidFill>
          </w14:textFill>
        </w:rPr>
      </w:pPr>
    </w:p>
    <w:p>
      <w:pPr>
        <w:adjustRightInd w:val="0"/>
        <w:snapToGrid w:val="0"/>
        <w:jc w:val="center"/>
        <w:rPr>
          <w:rFonts w:ascii="Times New Roman" w:hAnsi="Times New Roman" w:eastAsia="方正小标宋_GBK"/>
          <w:color w:val="000000" w:themeColor="text1"/>
          <w:sz w:val="52"/>
          <w:szCs w:val="52"/>
          <w14:textFill>
            <w14:solidFill>
              <w14:schemeClr w14:val="tx1"/>
            </w14:solidFill>
          </w14:textFill>
        </w:rPr>
      </w:pPr>
    </w:p>
    <w:p>
      <w:pPr>
        <w:adjustRightInd w:val="0"/>
        <w:snapToGrid w:val="0"/>
        <w:jc w:val="center"/>
        <w:rPr>
          <w:rFonts w:ascii="Times New Roman" w:hAnsi="Times New Roman" w:eastAsia="方正小标宋_GBK"/>
          <w:color w:val="000000" w:themeColor="text1"/>
          <w:sz w:val="52"/>
          <w:szCs w:val="52"/>
          <w14:textFill>
            <w14:solidFill>
              <w14:schemeClr w14:val="tx1"/>
            </w14:solidFill>
          </w14:textFill>
        </w:rPr>
      </w:pPr>
    </w:p>
    <w:p>
      <w:pPr>
        <w:adjustRightInd w:val="0"/>
        <w:snapToGrid w:val="0"/>
        <w:jc w:val="center"/>
        <w:rPr>
          <w:rFonts w:ascii="Times New Roman" w:hAnsi="Times New Roman" w:eastAsia="方正小标宋_GBK"/>
          <w:color w:val="000000" w:themeColor="text1"/>
          <w:sz w:val="52"/>
          <w:szCs w:val="52"/>
          <w14:textFill>
            <w14:solidFill>
              <w14:schemeClr w14:val="tx1"/>
            </w14:solidFill>
          </w14:textFill>
        </w:rPr>
      </w:pPr>
    </w:p>
    <w:p>
      <w:pPr>
        <w:adjustRightInd w:val="0"/>
        <w:snapToGrid w:val="0"/>
        <w:jc w:val="center"/>
        <w:rPr>
          <w:rFonts w:ascii="Times New Roman" w:hAnsi="Times New Roman" w:eastAsia="方正小标宋_GBK"/>
          <w:color w:val="000000" w:themeColor="text1"/>
          <w:sz w:val="52"/>
          <w:szCs w:val="52"/>
          <w14:textFill>
            <w14:solidFill>
              <w14:schemeClr w14:val="tx1"/>
            </w14:solidFill>
          </w14:textFill>
        </w:rPr>
      </w:pPr>
    </w:p>
    <w:p>
      <w:pPr>
        <w:adjustRightInd w:val="0"/>
        <w:snapToGrid w:val="0"/>
        <w:jc w:val="center"/>
        <w:rPr>
          <w:rFonts w:ascii="Times New Roman" w:hAnsi="Times New Roman" w:eastAsia="方正小标宋_GBK"/>
          <w:color w:val="000000" w:themeColor="text1"/>
          <w:sz w:val="52"/>
          <w:szCs w:val="52"/>
          <w14:textFill>
            <w14:solidFill>
              <w14:schemeClr w14:val="tx1"/>
            </w14:solidFill>
          </w14:textFill>
        </w:rPr>
      </w:pPr>
    </w:p>
    <w:p>
      <w:pPr>
        <w:adjustRightInd w:val="0"/>
        <w:snapToGrid w:val="0"/>
        <w:jc w:val="center"/>
        <w:rPr>
          <w:rFonts w:ascii="Times New Roman" w:hAnsi="Times New Roman" w:eastAsia="方正小标宋_GBK"/>
          <w:color w:val="000000" w:themeColor="text1"/>
          <w:sz w:val="52"/>
          <w:szCs w:val="52"/>
          <w14:textFill>
            <w14:solidFill>
              <w14:schemeClr w14:val="tx1"/>
            </w14:solidFill>
          </w14:textFill>
        </w:rPr>
      </w:pPr>
    </w:p>
    <w:p>
      <w:pPr>
        <w:adjustRightInd w:val="0"/>
        <w:snapToGrid w:val="0"/>
        <w:jc w:val="center"/>
        <w:rPr>
          <w:rFonts w:ascii="Times New Roman" w:hAnsi="Times New Roman" w:eastAsia="方正小标宋_GBK"/>
          <w:color w:val="000000" w:themeColor="text1"/>
          <w:sz w:val="52"/>
          <w:szCs w:val="52"/>
          <w14:textFill>
            <w14:solidFill>
              <w14:schemeClr w14:val="tx1"/>
            </w14:solidFill>
          </w14:textFill>
        </w:rPr>
      </w:pPr>
    </w:p>
    <w:p>
      <w:pPr>
        <w:pStyle w:val="2"/>
        <w:rPr>
          <w:rFonts w:ascii="Times New Roman" w:hAnsi="Times New Roman" w:eastAsia="方正小标宋_GBK"/>
          <w:color w:val="000000" w:themeColor="text1"/>
          <w:sz w:val="52"/>
          <w:szCs w:val="52"/>
          <w14:textFill>
            <w14:solidFill>
              <w14:schemeClr w14:val="tx1"/>
            </w14:solidFill>
          </w14:textFill>
        </w:rPr>
      </w:pPr>
    </w:p>
    <w:p>
      <w:pPr>
        <w:rPr>
          <w:rFonts w:ascii="Times New Roman" w:hAnsi="Times New Roman" w:eastAsia="方正小标宋_GBK"/>
          <w:color w:val="000000" w:themeColor="text1"/>
          <w:sz w:val="52"/>
          <w:szCs w:val="52"/>
          <w14:textFill>
            <w14:solidFill>
              <w14:schemeClr w14:val="tx1"/>
            </w14:solidFill>
          </w14:textFill>
        </w:rPr>
      </w:pPr>
    </w:p>
    <w:p>
      <w:pPr>
        <w:pStyle w:val="2"/>
        <w:rPr>
          <w:rFonts w:ascii="Times New Roman" w:hAnsi="Times New Roman" w:eastAsia="方正小标宋_GBK"/>
          <w:color w:val="000000" w:themeColor="text1"/>
          <w:sz w:val="52"/>
          <w:szCs w:val="52"/>
          <w14:textFill>
            <w14:solidFill>
              <w14:schemeClr w14:val="tx1"/>
            </w14:solidFill>
          </w14:textFill>
        </w:rPr>
      </w:pPr>
    </w:p>
    <w:p>
      <w:pPr>
        <w:pStyle w:val="2"/>
        <w:ind w:left="0" w:leftChars="0"/>
        <w:rPr>
          <w:rFonts w:ascii="Times New Roman" w:hAnsi="Times New Roman" w:eastAsia="方正小标宋_GBK"/>
          <w:color w:val="000000" w:themeColor="text1"/>
          <w:sz w:val="52"/>
          <w:szCs w:val="52"/>
          <w14:textFill>
            <w14:solidFill>
              <w14:schemeClr w14:val="tx1"/>
            </w14:solidFill>
          </w14:textFill>
        </w:rPr>
      </w:pPr>
    </w:p>
    <w:p>
      <w:pPr>
        <w:rPr>
          <w:rFonts w:ascii="Times New Roman" w:hAnsi="Times New Roman" w:eastAsia="方正小标宋_GBK"/>
          <w:color w:val="000000" w:themeColor="text1"/>
          <w:sz w:val="52"/>
          <w:szCs w:val="52"/>
          <w14:textFill>
            <w14:solidFill>
              <w14:schemeClr w14:val="tx1"/>
            </w14:solidFill>
          </w14:textFill>
        </w:rPr>
      </w:pPr>
    </w:p>
    <w:p>
      <w:pPr>
        <w:rPr>
          <w:rFonts w:ascii="Times New Roman" w:hAnsi="Times New Roman" w:eastAsia="方正小标宋_GBK"/>
          <w:color w:val="000000" w:themeColor="text1"/>
          <w:sz w:val="52"/>
          <w:szCs w:val="52"/>
          <w14:textFill>
            <w14:solidFill>
              <w14:schemeClr w14:val="tx1"/>
            </w14:solidFill>
          </w14:textFill>
        </w:rPr>
      </w:pPr>
    </w:p>
    <w:p>
      <w:pPr>
        <w:pStyle w:val="2"/>
      </w:pPr>
    </w:p>
    <w:p>
      <w:pPr>
        <w:pStyle w:val="9"/>
        <w:tabs>
          <w:tab w:val="left" w:pos="7560"/>
          <w:tab w:val="left" w:pos="7740"/>
          <w:tab w:val="left" w:pos="7920"/>
          <w:tab w:val="left" w:pos="8100"/>
          <w:tab w:val="left" w:pos="8280"/>
        </w:tabs>
        <w:spacing w:line="586" w:lineRule="exact"/>
        <w:ind w:firstLine="5280" w:firstLineChars="1650"/>
      </w:pPr>
    </w:p>
    <w:p>
      <w:pPr>
        <w:spacing w:line="5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（此件主动公开）</w:t>
      </w:r>
    </w:p>
    <w:p>
      <w:pPr>
        <w:tabs>
          <w:tab w:val="left" w:pos="2355"/>
        </w:tabs>
        <w:spacing w:line="500" w:lineRule="exact"/>
        <w:ind w:firstLine="1400" w:firstLineChars="500"/>
        <w:rPr>
          <w:rFonts w:ascii="仿宋_GB2312" w:hAnsi="仿宋_GB2312" w:cs="仿宋_GB2312"/>
          <w:sz w:val="28"/>
          <w:szCs w:val="28"/>
        </w:rPr>
      </w:pPr>
      <w:r>
        <w:rPr>
          <w:rFonts w:hint="eastAsia" w:ascii="仿宋_GB2312" w:hAnsi="仿宋_GB2312" w:cs="仿宋_GB2312"/>
          <w:sz w:val="28"/>
          <w:szCs w:val="28"/>
        </w:rPr>
        <w:tab/>
      </w:r>
    </w:p>
    <w:p>
      <w:pPr>
        <w:pBdr>
          <w:top w:val="single" w:color="auto" w:sz="4" w:space="0"/>
        </w:pBdr>
        <w:spacing w:line="380" w:lineRule="exact"/>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抄送：县委各部门，人民武装部，武警驻龙胜中队，各人民团体，</w:t>
      </w:r>
    </w:p>
    <w:p>
      <w:pPr>
        <w:pBdr>
          <w:top w:val="single" w:color="auto" w:sz="4" w:space="0"/>
        </w:pBdr>
        <w:spacing w:line="380" w:lineRule="exact"/>
        <w:ind w:firstLine="1120" w:firstLineChars="400"/>
        <w:rPr>
          <w:rFonts w:ascii="仿宋_GB2312" w:hAnsi="仿宋_GB2312" w:eastAsia="仿宋_GB2312" w:cs="仿宋_GB2312"/>
          <w:sz w:val="28"/>
          <w:szCs w:val="28"/>
        </w:rPr>
      </w:pPr>
      <w:r>
        <w:rPr>
          <w:rFonts w:hint="eastAsia" w:ascii="仿宋_GB2312" w:hAnsi="仿宋_GB2312" w:eastAsia="仿宋_GB2312" w:cs="仿宋_GB2312"/>
          <w:sz w:val="28"/>
          <w:szCs w:val="28"/>
        </w:rPr>
        <w:t>中央、自治区、市直驻龙胜各单位，县人大办，政协办，</w:t>
      </w:r>
    </w:p>
    <w:p>
      <w:pPr>
        <w:pBdr>
          <w:top w:val="single" w:color="auto" w:sz="4" w:space="0"/>
        </w:pBdr>
        <w:spacing w:line="380" w:lineRule="exact"/>
        <w:ind w:firstLine="1120" w:firstLineChars="400"/>
        <w:rPr>
          <w:rFonts w:ascii="仿宋_GB2312" w:hAnsi="仿宋_GB2312" w:eastAsia="仿宋_GB2312" w:cs="仿宋_GB2312"/>
          <w:sz w:val="28"/>
          <w:szCs w:val="28"/>
        </w:rPr>
      </w:pPr>
      <w:r>
        <w:rPr>
          <w:rFonts w:hint="eastAsia" w:ascii="仿宋_GB2312" w:hAnsi="仿宋_GB2312" w:eastAsia="仿宋_GB2312" w:cs="仿宋_GB2312"/>
          <w:sz w:val="28"/>
          <w:szCs w:val="28"/>
        </w:rPr>
        <w:t>法院，检察院，县工商联。</w:t>
      </w:r>
    </w:p>
    <w:p>
      <w:pPr>
        <w:pBdr>
          <w:top w:val="single" w:color="auto" w:sz="4" w:space="1"/>
          <w:bottom w:val="single" w:color="auto" w:sz="4" w:space="1"/>
        </w:pBdr>
        <w:tabs>
          <w:tab w:val="left" w:pos="7797"/>
          <w:tab w:val="left" w:pos="8460"/>
        </w:tabs>
        <w:spacing w:line="380" w:lineRule="exact"/>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龙胜各族自治县人民政府办公室            </w:t>
      </w:r>
      <w:r>
        <w:rPr>
          <w:rFonts w:hint="eastAsia" w:ascii="Times New Roman" w:hAnsi="Times New Roman" w:eastAsia="仿宋_GB2312"/>
          <w:color w:val="000000"/>
          <w:sz w:val="28"/>
          <w:szCs w:val="28"/>
        </w:rPr>
        <w:t xml:space="preserve"> 2021</w:t>
      </w:r>
      <w:r>
        <w:rPr>
          <w:rFonts w:hint="eastAsia" w:ascii="仿宋_GB2312" w:hAnsi="仿宋_GB2312" w:eastAsia="仿宋_GB2312" w:cs="仿宋_GB2312"/>
          <w:sz w:val="28"/>
          <w:szCs w:val="28"/>
        </w:rPr>
        <w:t>年</w:t>
      </w:r>
      <w:r>
        <w:rPr>
          <w:rFonts w:hint="eastAsia" w:ascii="Times New Roman" w:hAnsi="Times New Roman" w:eastAsia="仿宋_GB2312"/>
          <w:color w:val="000000"/>
          <w:sz w:val="28"/>
          <w:szCs w:val="28"/>
        </w:rPr>
        <w:t>8</w:t>
      </w:r>
      <w:r>
        <w:rPr>
          <w:rFonts w:hint="eastAsia" w:ascii="仿宋_GB2312" w:hAnsi="仿宋_GB2312" w:eastAsia="仿宋_GB2312" w:cs="仿宋_GB2312"/>
          <w:sz w:val="28"/>
          <w:szCs w:val="28"/>
        </w:rPr>
        <w:t>月</w:t>
      </w:r>
      <w:r>
        <w:rPr>
          <w:rFonts w:hint="eastAsia" w:ascii="Times New Roman" w:hAnsi="Times New Roman" w:eastAsia="仿宋_GB2312"/>
          <w:color w:val="000000"/>
          <w:sz w:val="28"/>
          <w:szCs w:val="28"/>
        </w:rPr>
        <w:t>30</w:t>
      </w:r>
      <w:r>
        <w:rPr>
          <w:rFonts w:hint="eastAsia" w:ascii="仿宋_GB2312" w:hAnsi="仿宋_GB2312" w:eastAsia="仿宋_GB2312" w:cs="仿宋_GB2312"/>
          <w:sz w:val="28"/>
          <w:szCs w:val="28"/>
        </w:rPr>
        <w:t>日印发</w:t>
      </w:r>
    </w:p>
    <w:p>
      <w:pPr>
        <w:pStyle w:val="2"/>
      </w:pPr>
    </w:p>
    <w:p>
      <w:pPr>
        <w:adjustRightInd w:val="0"/>
        <w:snapToGrid w:val="0"/>
        <w:jc w:val="center"/>
        <w:rPr>
          <w:rFonts w:ascii="Times New Roman" w:hAnsi="Times New Roman" w:eastAsia="方正小标宋_GBK"/>
          <w:color w:val="000000" w:themeColor="text1"/>
          <w:sz w:val="52"/>
          <w:szCs w:val="52"/>
          <w14:textFill>
            <w14:solidFill>
              <w14:schemeClr w14:val="tx1"/>
            </w14:solidFill>
          </w14:textFill>
        </w:rPr>
      </w:pPr>
    </w:p>
    <w:p>
      <w:pPr>
        <w:adjustRightInd w:val="0"/>
        <w:snapToGrid w:val="0"/>
        <w:jc w:val="center"/>
        <w:rPr>
          <w:rFonts w:ascii="Times New Roman" w:hAnsi="Times New Roman" w:eastAsia="方正小标宋_GBK"/>
          <w:color w:val="000000" w:themeColor="text1"/>
          <w:sz w:val="52"/>
          <w:szCs w:val="52"/>
          <w14:textFill>
            <w14:solidFill>
              <w14:schemeClr w14:val="tx1"/>
            </w14:solidFill>
          </w14:textFill>
        </w:rPr>
      </w:pPr>
    </w:p>
    <w:p>
      <w:pPr>
        <w:adjustRightInd w:val="0"/>
        <w:snapToGrid w:val="0"/>
        <w:jc w:val="center"/>
        <w:rPr>
          <w:rFonts w:ascii="Times New Roman" w:hAnsi="Times New Roman" w:eastAsia="方正小标宋_GBK"/>
          <w:color w:val="000000" w:themeColor="text1"/>
          <w:sz w:val="52"/>
          <w:szCs w:val="52"/>
          <w14:textFill>
            <w14:solidFill>
              <w14:schemeClr w14:val="tx1"/>
            </w14:solidFill>
          </w14:textFill>
        </w:rPr>
      </w:pPr>
    </w:p>
    <w:p>
      <w:pPr>
        <w:adjustRightInd w:val="0"/>
        <w:snapToGrid w:val="0"/>
        <w:jc w:val="center"/>
        <w:rPr>
          <w:rFonts w:ascii="Times New Roman" w:hAnsi="Times New Roman" w:eastAsia="方正小标宋_GBK"/>
          <w:color w:val="000000" w:themeColor="text1"/>
          <w:sz w:val="52"/>
          <w:szCs w:val="52"/>
          <w14:textFill>
            <w14:solidFill>
              <w14:schemeClr w14:val="tx1"/>
            </w14:solidFill>
          </w14:textFill>
        </w:rPr>
      </w:pPr>
      <w:r>
        <w:rPr>
          <w:rFonts w:hint="eastAsia" w:ascii="Times New Roman" w:hAnsi="Times New Roman" w:eastAsia="方正小标宋_GBK"/>
          <w:color w:val="000000" w:themeColor="text1"/>
          <w:sz w:val="52"/>
          <w:szCs w:val="52"/>
          <w14:textFill>
            <w14:solidFill>
              <w14:schemeClr w14:val="tx1"/>
            </w14:solidFill>
          </w14:textFill>
        </w:rPr>
        <w:t>龙胜各族自治县国民经济和社会发展</w:t>
      </w:r>
    </w:p>
    <w:p>
      <w:pPr>
        <w:adjustRightInd w:val="0"/>
        <w:snapToGrid w:val="0"/>
        <w:jc w:val="center"/>
        <w:rPr>
          <w:rFonts w:ascii="Times New Roman" w:hAnsi="Times New Roman" w:eastAsia="方正小标宋_GBK"/>
          <w:color w:val="000000" w:themeColor="text1"/>
          <w:sz w:val="52"/>
          <w:szCs w:val="52"/>
          <w14:textFill>
            <w14:solidFill>
              <w14:schemeClr w14:val="tx1"/>
            </w14:solidFill>
          </w14:textFill>
        </w:rPr>
      </w:pPr>
      <w:r>
        <w:rPr>
          <w:rFonts w:hint="eastAsia" w:ascii="Times New Roman" w:hAnsi="Times New Roman" w:eastAsia="方正小标宋_GBK"/>
          <w:color w:val="000000" w:themeColor="text1"/>
          <w:sz w:val="52"/>
          <w:szCs w:val="52"/>
          <w14:textFill>
            <w14:solidFill>
              <w14:schemeClr w14:val="tx1"/>
            </w14:solidFill>
          </w14:textFill>
        </w:rPr>
        <w:t>第十四个五年规划和2035年</w:t>
      </w:r>
    </w:p>
    <w:p>
      <w:pPr>
        <w:adjustRightInd w:val="0"/>
        <w:snapToGrid w:val="0"/>
        <w:jc w:val="center"/>
        <w:rPr>
          <w:rFonts w:ascii="Times New Roman" w:hAnsi="Times New Roman" w:eastAsia="方正小标宋_GBK"/>
          <w:color w:val="000000" w:themeColor="text1"/>
          <w:sz w:val="52"/>
          <w:szCs w:val="52"/>
          <w14:textFill>
            <w14:solidFill>
              <w14:schemeClr w14:val="tx1"/>
            </w14:solidFill>
          </w14:textFill>
        </w:rPr>
      </w:pPr>
      <w:r>
        <w:rPr>
          <w:rFonts w:hint="eastAsia" w:ascii="Times New Roman" w:hAnsi="Times New Roman" w:eastAsia="方正小标宋_GBK"/>
          <w:color w:val="000000" w:themeColor="text1"/>
          <w:sz w:val="52"/>
          <w:szCs w:val="52"/>
          <w14:textFill>
            <w14:solidFill>
              <w14:schemeClr w14:val="tx1"/>
            </w14:solidFill>
          </w14:textFill>
        </w:rPr>
        <w:t>远景目标纲要</w:t>
      </w:r>
    </w:p>
    <w:p>
      <w:pPr>
        <w:adjustRightInd w:val="0"/>
        <w:snapToGrid w:val="0"/>
        <w:jc w:val="center"/>
        <w:rPr>
          <w:rFonts w:ascii="Times New Roman" w:hAnsi="Times New Roman" w:eastAsia="仿宋_GB2312"/>
          <w:color w:val="000000" w:themeColor="text1"/>
          <w:sz w:val="30"/>
          <w:szCs w:val="30"/>
          <w14:textFill>
            <w14:solidFill>
              <w14:schemeClr w14:val="tx1"/>
            </w14:solidFill>
          </w14:textFill>
        </w:rPr>
      </w:pPr>
    </w:p>
    <w:p>
      <w:pPr>
        <w:pStyle w:val="6"/>
        <w:ind w:firstLine="0" w:firstLineChars="0"/>
        <w:rPr>
          <w:rFonts w:ascii="Times New Roman" w:hAnsi="Times New Roman"/>
          <w:color w:val="000000" w:themeColor="text1"/>
          <w14:textFill>
            <w14:solidFill>
              <w14:schemeClr w14:val="tx1"/>
            </w14:solidFill>
          </w14:textFill>
        </w:rPr>
      </w:pPr>
    </w:p>
    <w:p>
      <w:pPr>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color w:val="000000" w:themeColor="text1"/>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7219315</wp:posOffset>
                </wp:positionH>
                <wp:positionV relativeFrom="paragraph">
                  <wp:posOffset>49530</wp:posOffset>
                </wp:positionV>
                <wp:extent cx="4762500" cy="3162935"/>
                <wp:effectExtent l="4445" t="4445" r="14605" b="13970"/>
                <wp:wrapNone/>
                <wp:docPr id="15" name="文本框 15"/>
                <wp:cNvGraphicFramePr/>
                <a:graphic xmlns:a="http://schemas.openxmlformats.org/drawingml/2006/main">
                  <a:graphicData uri="http://schemas.microsoft.com/office/word/2010/wordprocessingShape">
                    <wps:wsp>
                      <wps:cNvSpPr txBox="1"/>
                      <wps:spPr>
                        <a:xfrm>
                          <a:off x="1591310" y="3824605"/>
                          <a:ext cx="4762500" cy="31629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ascii="黑体" w:hAnsi="黑体" w:eastAsia="黑体" w:cs="黑体"/>
                                <w:color w:val="FF0000"/>
                                <w:sz w:val="44"/>
                                <w:szCs w:val="44"/>
                                <w:highlight w:val="cyan"/>
                              </w:rPr>
                            </w:pPr>
                            <w:r>
                              <w:rPr>
                                <w:rFonts w:hint="eastAsia" w:ascii="黑体" w:hAnsi="黑体" w:eastAsia="黑体" w:cs="黑体"/>
                                <w:color w:val="FF0000"/>
                                <w:sz w:val="28"/>
                                <w:szCs w:val="28"/>
                              </w:rPr>
                              <w:t>农业农村局改：</w:t>
                            </w:r>
                            <w:r>
                              <w:rPr>
                                <w:rFonts w:hint="eastAsia" w:ascii="黑体" w:hAnsi="黑体" w:eastAsia="黑体" w:cs="黑体"/>
                                <w:color w:val="FF0000"/>
                                <w:sz w:val="44"/>
                                <w:szCs w:val="44"/>
                                <w:highlight w:val="cyan"/>
                              </w:rPr>
                              <w:t>加青底表示</w:t>
                            </w:r>
                          </w:p>
                          <w:p>
                            <w:pPr>
                              <w:pStyle w:val="31"/>
                              <w:rPr>
                                <w:rFonts w:ascii="华文楷体" w:hAnsi="华文楷体" w:eastAsia="华文楷体" w:cs="华文楷体"/>
                                <w:color w:val="auto"/>
                                <w:sz w:val="32"/>
                                <w:szCs w:val="32"/>
                              </w:rPr>
                            </w:pPr>
                            <w:r>
                              <w:rPr>
                                <w:rFonts w:hint="eastAsia" w:ascii="黑体" w:hAnsi="黑体" w:eastAsia="黑体" w:cs="黑体"/>
                                <w:color w:val="auto"/>
                                <w:sz w:val="32"/>
                                <w:szCs w:val="32"/>
                              </w:rPr>
                              <w:t>文本：</w:t>
                            </w:r>
                            <w:r>
                              <w:rPr>
                                <w:rFonts w:hint="eastAsia" w:ascii="华文楷体" w:hAnsi="华文楷体" w:eastAsia="华文楷体" w:cs="华文楷体"/>
                                <w:color w:val="auto"/>
                                <w:sz w:val="32"/>
                                <w:szCs w:val="32"/>
                              </w:rPr>
                              <w:t>修改的有P39、P41~P47</w:t>
                            </w:r>
                          </w:p>
                          <w:p>
                            <w:pPr>
                              <w:pStyle w:val="31"/>
                              <w:rPr>
                                <w:rFonts w:ascii="华文楷体" w:hAnsi="华文楷体" w:eastAsia="华文楷体" w:cs="华文楷体"/>
                                <w:color w:val="auto"/>
                                <w:sz w:val="32"/>
                                <w:szCs w:val="32"/>
                              </w:rPr>
                            </w:pPr>
                            <w:r>
                              <w:rPr>
                                <w:rFonts w:hint="eastAsia" w:ascii="黑体" w:hAnsi="黑体" w:eastAsia="黑体" w:cs="黑体"/>
                                <w:color w:val="auto"/>
                                <w:sz w:val="32"/>
                                <w:szCs w:val="32"/>
                              </w:rPr>
                              <w:t>项目表：1、</w:t>
                            </w:r>
                            <w:r>
                              <w:rPr>
                                <w:rFonts w:hint="eastAsia" w:ascii="华文楷体" w:hAnsi="华文楷体" w:eastAsia="华文楷体" w:cs="华文楷体"/>
                                <w:color w:val="auto"/>
                                <w:sz w:val="32"/>
                                <w:szCs w:val="32"/>
                              </w:rPr>
                              <w:t>删除了第85项、第111项</w:t>
                            </w:r>
                          </w:p>
                          <w:p>
                            <w:pPr>
                              <w:pStyle w:val="31"/>
                              <w:numPr>
                                <w:ilvl w:val="0"/>
                                <w:numId w:val="2"/>
                              </w:numPr>
                              <w:ind w:firstLine="1280" w:firstLineChars="400"/>
                              <w:rPr>
                                <w:rFonts w:ascii="华文楷体" w:hAnsi="华文楷体" w:eastAsia="华文楷体" w:cs="华文楷体"/>
                                <w:color w:val="auto"/>
                                <w:sz w:val="32"/>
                                <w:szCs w:val="32"/>
                              </w:rPr>
                            </w:pPr>
                            <w:r>
                              <w:rPr>
                                <w:rFonts w:hint="eastAsia" w:ascii="华文楷体" w:hAnsi="华文楷体" w:eastAsia="华文楷体" w:cs="华文楷体"/>
                                <w:color w:val="auto"/>
                                <w:sz w:val="32"/>
                                <w:szCs w:val="32"/>
                              </w:rPr>
                              <w:t>在第149项之后增加了“龙胜县农村人居环境整治基础施放建设项目”，在150项之后增加了“福满金坑田园综合体建设项目”</w:t>
                            </w:r>
                          </w:p>
                          <w:p>
                            <w:pPr>
                              <w:pStyle w:val="31"/>
                              <w:numPr>
                                <w:ilvl w:val="0"/>
                                <w:numId w:val="2"/>
                              </w:numPr>
                              <w:ind w:firstLine="1280" w:firstLineChars="400"/>
                              <w:rPr>
                                <w:rFonts w:ascii="华文楷体" w:hAnsi="华文楷体" w:eastAsia="华文楷体" w:cs="华文楷体"/>
                                <w:color w:val="auto"/>
                                <w:sz w:val="32"/>
                                <w:szCs w:val="32"/>
                              </w:rPr>
                            </w:pPr>
                            <w:r>
                              <w:rPr>
                                <w:rFonts w:hint="eastAsia" w:ascii="华文楷体" w:hAnsi="华文楷体" w:eastAsia="华文楷体" w:cs="华文楷体"/>
                                <w:color w:val="auto"/>
                                <w:sz w:val="32"/>
                                <w:szCs w:val="32"/>
                              </w:rPr>
                              <w:t>修改了第89项的投资额度。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68.45pt;margin-top:3.9pt;height:249.05pt;width:375pt;z-index:251667456;mso-width-relative:page;mso-height-relative:page;" fillcolor="#FFFFFF [3201]" filled="t" stroked="t" coordsize="21600,21600" o:gfxdata="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Mrm6GvWAAAACwEAAA8AAAAAAAAAAQAgAAAAIgAAAGRycy9kb3ducmV2LnhtbFBLAQIU&#10;ABQAAAAIAIdO4kCuEJVfZwIAAMYEAAAOAAAAAAAAAAEAIAAAACUBAABkcnMvZTJvRG9jLnhtbFBL&#10;BQYAAAAABgAGAFkBAAD+BQAAAAA=&#10;">
                <v:fill on="t" focussize="0,0"/>
                <v:stroke weight="0.5pt" color="#000000 [3204]" joinstyle="round"/>
                <v:imagedata o:title=""/>
                <o:lock v:ext="edit" aspectratio="f"/>
                <v:textbox>
                  <w:txbxContent>
                    <w:p>
                      <w:pPr>
                        <w:jc w:val="center"/>
                        <w:rPr>
                          <w:rFonts w:ascii="黑体" w:hAnsi="黑体" w:eastAsia="黑体" w:cs="黑体"/>
                          <w:color w:val="FF0000"/>
                          <w:sz w:val="44"/>
                          <w:szCs w:val="44"/>
                          <w:highlight w:val="cyan"/>
                        </w:rPr>
                      </w:pPr>
                      <w:r>
                        <w:rPr>
                          <w:rFonts w:hint="eastAsia" w:ascii="黑体" w:hAnsi="黑体" w:eastAsia="黑体" w:cs="黑体"/>
                          <w:color w:val="FF0000"/>
                          <w:sz w:val="28"/>
                          <w:szCs w:val="28"/>
                        </w:rPr>
                        <w:t>农业农村局改：</w:t>
                      </w:r>
                      <w:r>
                        <w:rPr>
                          <w:rFonts w:hint="eastAsia" w:ascii="黑体" w:hAnsi="黑体" w:eastAsia="黑体" w:cs="黑体"/>
                          <w:color w:val="FF0000"/>
                          <w:sz w:val="44"/>
                          <w:szCs w:val="44"/>
                          <w:highlight w:val="cyan"/>
                        </w:rPr>
                        <w:t>加青底表示</w:t>
                      </w:r>
                    </w:p>
                    <w:p>
                      <w:pPr>
                        <w:pStyle w:val="31"/>
                        <w:rPr>
                          <w:rFonts w:ascii="华文楷体" w:hAnsi="华文楷体" w:eastAsia="华文楷体" w:cs="华文楷体"/>
                          <w:color w:val="auto"/>
                          <w:sz w:val="32"/>
                          <w:szCs w:val="32"/>
                        </w:rPr>
                      </w:pPr>
                      <w:r>
                        <w:rPr>
                          <w:rFonts w:hint="eastAsia" w:ascii="黑体" w:hAnsi="黑体" w:eastAsia="黑体" w:cs="黑体"/>
                          <w:color w:val="auto"/>
                          <w:sz w:val="32"/>
                          <w:szCs w:val="32"/>
                        </w:rPr>
                        <w:t>文本：</w:t>
                      </w:r>
                      <w:r>
                        <w:rPr>
                          <w:rFonts w:hint="eastAsia" w:ascii="华文楷体" w:hAnsi="华文楷体" w:eastAsia="华文楷体" w:cs="华文楷体"/>
                          <w:color w:val="auto"/>
                          <w:sz w:val="32"/>
                          <w:szCs w:val="32"/>
                        </w:rPr>
                        <w:t>修改的有P39、P41~P47</w:t>
                      </w:r>
                    </w:p>
                    <w:p>
                      <w:pPr>
                        <w:pStyle w:val="31"/>
                        <w:rPr>
                          <w:rFonts w:ascii="华文楷体" w:hAnsi="华文楷体" w:eastAsia="华文楷体" w:cs="华文楷体"/>
                          <w:color w:val="auto"/>
                          <w:sz w:val="32"/>
                          <w:szCs w:val="32"/>
                        </w:rPr>
                      </w:pPr>
                      <w:r>
                        <w:rPr>
                          <w:rFonts w:hint="eastAsia" w:ascii="黑体" w:hAnsi="黑体" w:eastAsia="黑体" w:cs="黑体"/>
                          <w:color w:val="auto"/>
                          <w:sz w:val="32"/>
                          <w:szCs w:val="32"/>
                        </w:rPr>
                        <w:t>项目表：1、</w:t>
                      </w:r>
                      <w:r>
                        <w:rPr>
                          <w:rFonts w:hint="eastAsia" w:ascii="华文楷体" w:hAnsi="华文楷体" w:eastAsia="华文楷体" w:cs="华文楷体"/>
                          <w:color w:val="auto"/>
                          <w:sz w:val="32"/>
                          <w:szCs w:val="32"/>
                        </w:rPr>
                        <w:t>删除了第85项、第111项</w:t>
                      </w:r>
                    </w:p>
                    <w:p>
                      <w:pPr>
                        <w:pStyle w:val="31"/>
                        <w:numPr>
                          <w:ilvl w:val="0"/>
                          <w:numId w:val="2"/>
                        </w:numPr>
                        <w:ind w:firstLine="1280" w:firstLineChars="400"/>
                        <w:rPr>
                          <w:rFonts w:ascii="华文楷体" w:hAnsi="华文楷体" w:eastAsia="华文楷体" w:cs="华文楷体"/>
                          <w:color w:val="auto"/>
                          <w:sz w:val="32"/>
                          <w:szCs w:val="32"/>
                        </w:rPr>
                      </w:pPr>
                      <w:r>
                        <w:rPr>
                          <w:rFonts w:hint="eastAsia" w:ascii="华文楷体" w:hAnsi="华文楷体" w:eastAsia="华文楷体" w:cs="华文楷体"/>
                          <w:color w:val="auto"/>
                          <w:sz w:val="32"/>
                          <w:szCs w:val="32"/>
                        </w:rPr>
                        <w:t>在第149项之后增加了“龙胜县农村人居环境整治基础施放建设项目”，在150项之后增加了“福满金坑田园综合体建设项目”</w:t>
                      </w:r>
                    </w:p>
                    <w:p>
                      <w:pPr>
                        <w:pStyle w:val="31"/>
                        <w:numPr>
                          <w:ilvl w:val="0"/>
                          <w:numId w:val="2"/>
                        </w:numPr>
                        <w:ind w:firstLine="1280" w:firstLineChars="400"/>
                        <w:rPr>
                          <w:rFonts w:ascii="华文楷体" w:hAnsi="华文楷体" w:eastAsia="华文楷体" w:cs="华文楷体"/>
                          <w:color w:val="auto"/>
                          <w:sz w:val="32"/>
                          <w:szCs w:val="32"/>
                        </w:rPr>
                      </w:pPr>
                      <w:r>
                        <w:rPr>
                          <w:rFonts w:hint="eastAsia" w:ascii="华文楷体" w:hAnsi="华文楷体" w:eastAsia="华文楷体" w:cs="华文楷体"/>
                          <w:color w:val="auto"/>
                          <w:sz w:val="32"/>
                          <w:szCs w:val="32"/>
                        </w:rPr>
                        <w:t>修改了第89项的投资额度。</w:t>
                      </w:r>
                    </w:p>
                  </w:txbxContent>
                </v:textbox>
              </v:shape>
            </w:pict>
          </mc:Fallback>
        </mc:AlternateContent>
      </w:r>
    </w:p>
    <w:p>
      <w:pPr>
        <w:pStyle w:val="31"/>
        <w:rPr>
          <w:rFonts w:ascii="Times New Roman" w:hAnsi="Times New Roman"/>
          <w:color w:val="000000" w:themeColor="text1"/>
          <w14:textFill>
            <w14:solidFill>
              <w14:schemeClr w14:val="tx1"/>
            </w14:solidFill>
          </w14:textFill>
        </w:rPr>
      </w:pPr>
    </w:p>
    <w:p>
      <w:pPr>
        <w:pStyle w:val="31"/>
        <w:rPr>
          <w:rFonts w:ascii="Times New Roman" w:hAnsi="Times New Roman"/>
          <w:color w:val="000000" w:themeColor="text1"/>
          <w14:textFill>
            <w14:solidFill>
              <w14:schemeClr w14:val="tx1"/>
            </w14:solidFill>
          </w14:textFill>
        </w:rPr>
      </w:pPr>
    </w:p>
    <w:p>
      <w:pPr>
        <w:pStyle w:val="31"/>
        <w:rPr>
          <w:rFonts w:ascii="Times New Roman" w:hAnsi="Times New Roman"/>
          <w:color w:val="000000" w:themeColor="text1"/>
          <w14:textFill>
            <w14:solidFill>
              <w14:schemeClr w14:val="tx1"/>
            </w14:solidFill>
          </w14:textFill>
        </w:rPr>
      </w:pPr>
    </w:p>
    <w:p>
      <w:pPr>
        <w:pStyle w:val="31"/>
        <w:rPr>
          <w:rFonts w:ascii="Times New Roman" w:hAnsi="Times New Roman"/>
          <w:color w:val="000000" w:themeColor="text1"/>
          <w14:textFill>
            <w14:solidFill>
              <w14:schemeClr w14:val="tx1"/>
            </w14:solidFill>
          </w14:textFill>
        </w:rPr>
      </w:pPr>
    </w:p>
    <w:p>
      <w:pPr>
        <w:pStyle w:val="31"/>
        <w:rPr>
          <w:rFonts w:ascii="Times New Roman" w:hAnsi="Times New Roman"/>
          <w:color w:val="000000" w:themeColor="text1"/>
          <w14:textFill>
            <w14:solidFill>
              <w14:schemeClr w14:val="tx1"/>
            </w14:solidFill>
          </w14:textFill>
        </w:rPr>
      </w:pPr>
    </w:p>
    <w:p>
      <w:pPr>
        <w:pStyle w:val="31"/>
        <w:rPr>
          <w:rFonts w:ascii="Times New Roman" w:hAnsi="Times New Roman"/>
          <w:color w:val="000000" w:themeColor="text1"/>
          <w14:textFill>
            <w14:solidFill>
              <w14:schemeClr w14:val="tx1"/>
            </w14:solidFill>
          </w14:textFill>
        </w:rPr>
      </w:pPr>
    </w:p>
    <w:p>
      <w:pPr>
        <w:pStyle w:val="31"/>
        <w:rPr>
          <w:rFonts w:ascii="Times New Roman" w:hAnsi="Times New Roman"/>
          <w:color w:val="000000" w:themeColor="text1"/>
          <w14:textFill>
            <w14:solidFill>
              <w14:schemeClr w14:val="tx1"/>
            </w14:solidFill>
          </w14:textFill>
        </w:rPr>
      </w:pPr>
    </w:p>
    <w:p>
      <w:pPr>
        <w:pStyle w:val="31"/>
        <w:rPr>
          <w:rFonts w:ascii="Times New Roman" w:hAnsi="Times New Roman"/>
          <w:color w:val="000000" w:themeColor="text1"/>
          <w14:textFill>
            <w14:solidFill>
              <w14:schemeClr w14:val="tx1"/>
            </w14:solidFill>
          </w14:textFill>
        </w:rPr>
      </w:pPr>
    </w:p>
    <w:p>
      <w:pPr>
        <w:pStyle w:val="31"/>
        <w:rPr>
          <w:rFonts w:ascii="Times New Roman" w:hAnsi="Times New Roman"/>
          <w:color w:val="000000" w:themeColor="text1"/>
          <w14:textFill>
            <w14:solidFill>
              <w14:schemeClr w14:val="tx1"/>
            </w14:solidFill>
          </w14:textFill>
        </w:rPr>
      </w:pPr>
    </w:p>
    <w:p>
      <w:pPr>
        <w:pStyle w:val="31"/>
        <w:rPr>
          <w:rFonts w:ascii="Times New Roman" w:hAnsi="Times New Roman"/>
          <w:color w:val="000000" w:themeColor="text1"/>
          <w14:textFill>
            <w14:solidFill>
              <w14:schemeClr w14:val="tx1"/>
            </w14:solidFill>
          </w14:textFill>
        </w:rPr>
      </w:pPr>
    </w:p>
    <w:p>
      <w:pPr>
        <w:pStyle w:val="31"/>
        <w:rPr>
          <w:rFonts w:ascii="Times New Roman" w:hAnsi="Times New Roman"/>
          <w:color w:val="000000" w:themeColor="text1"/>
          <w14:textFill>
            <w14:solidFill>
              <w14:schemeClr w14:val="tx1"/>
            </w14:solidFill>
          </w14:textFill>
        </w:rPr>
      </w:pPr>
    </w:p>
    <w:p>
      <w:pPr>
        <w:pStyle w:val="31"/>
        <w:rPr>
          <w:rFonts w:ascii="Times New Roman" w:hAnsi="Times New Roman"/>
          <w:color w:val="000000" w:themeColor="text1"/>
          <w14:textFill>
            <w14:solidFill>
              <w14:schemeClr w14:val="tx1"/>
            </w14:solidFill>
          </w14:textFill>
        </w:rPr>
      </w:pPr>
    </w:p>
    <w:p>
      <w:pPr>
        <w:pStyle w:val="31"/>
        <w:rPr>
          <w:rFonts w:ascii="Times New Roman" w:hAnsi="Times New Roman"/>
          <w:color w:val="000000" w:themeColor="text1"/>
          <w14:textFill>
            <w14:solidFill>
              <w14:schemeClr w14:val="tx1"/>
            </w14:solidFill>
          </w14:textFill>
        </w:rPr>
      </w:pPr>
    </w:p>
    <w:p>
      <w:pPr>
        <w:pStyle w:val="31"/>
        <w:rPr>
          <w:rFonts w:ascii="Times New Roman" w:hAnsi="Times New Roman"/>
          <w:color w:val="000000" w:themeColor="text1"/>
          <w14:textFill>
            <w14:solidFill>
              <w14:schemeClr w14:val="tx1"/>
            </w14:solidFill>
          </w14:textFill>
        </w:rPr>
      </w:pPr>
    </w:p>
    <w:p>
      <w:pPr>
        <w:pStyle w:val="31"/>
        <w:rPr>
          <w:rFonts w:ascii="Times New Roman" w:hAnsi="Times New Roman"/>
          <w:color w:val="000000" w:themeColor="text1"/>
          <w14:textFill>
            <w14:solidFill>
              <w14:schemeClr w14:val="tx1"/>
            </w14:solidFill>
          </w14:textFill>
        </w:rPr>
      </w:pPr>
    </w:p>
    <w:p>
      <w:pPr>
        <w:pStyle w:val="31"/>
        <w:rPr>
          <w:rFonts w:ascii="Times New Roman" w:hAnsi="Times New Roman"/>
          <w:color w:val="000000" w:themeColor="text1"/>
          <w14:textFill>
            <w14:solidFill>
              <w14:schemeClr w14:val="tx1"/>
            </w14:solidFill>
          </w14:textFill>
        </w:rPr>
      </w:pPr>
    </w:p>
    <w:p>
      <w:pPr>
        <w:pStyle w:val="31"/>
        <w:rPr>
          <w:rFonts w:ascii="Times New Roman" w:hAnsi="Times New Roman"/>
          <w:color w:val="000000" w:themeColor="text1"/>
          <w14:textFill>
            <w14:solidFill>
              <w14:schemeClr w14:val="tx1"/>
            </w14:solidFill>
          </w14:textFill>
        </w:rPr>
      </w:pPr>
    </w:p>
    <w:p>
      <w:pPr>
        <w:pStyle w:val="31"/>
        <w:rPr>
          <w:rFonts w:ascii="Times New Roman" w:hAnsi="Times New Roman"/>
          <w:color w:val="000000" w:themeColor="text1"/>
          <w14:textFill>
            <w14:solidFill>
              <w14:schemeClr w14:val="tx1"/>
            </w14:solidFill>
          </w14:textFill>
        </w:rPr>
      </w:pPr>
    </w:p>
    <w:p>
      <w:pPr>
        <w:pStyle w:val="31"/>
        <w:rPr>
          <w:rFonts w:ascii="Times New Roman" w:hAnsi="Times New Roman"/>
          <w:color w:val="000000" w:themeColor="text1"/>
          <w14:textFill>
            <w14:solidFill>
              <w14:schemeClr w14:val="tx1"/>
            </w14:solidFill>
          </w14:textFill>
        </w:rPr>
      </w:pPr>
    </w:p>
    <w:p>
      <w:pPr>
        <w:pStyle w:val="6"/>
        <w:ind w:firstLine="0" w:firstLineChars="0"/>
        <w:rPr>
          <w:rFonts w:ascii="Times New Roman" w:hAnsi="Times New Roman"/>
          <w:color w:val="000000" w:themeColor="text1"/>
          <w14:textFill>
            <w14:solidFill>
              <w14:schemeClr w14:val="tx1"/>
            </w14:solidFill>
          </w14:textFill>
        </w:rPr>
      </w:pPr>
    </w:p>
    <w:p>
      <w:pPr>
        <w:pStyle w:val="6"/>
        <w:rPr>
          <w:rFonts w:ascii="Times New Roman" w:hAnsi="Times New Roman"/>
          <w:color w:val="000000" w:themeColor="text1"/>
          <w14:textFill>
            <w14:solidFill>
              <w14:schemeClr w14:val="tx1"/>
            </w14:solidFill>
          </w14:textFill>
        </w:rPr>
      </w:pPr>
    </w:p>
    <w:p>
      <w:pPr>
        <w:spacing w:line="640" w:lineRule="exact"/>
        <w:jc w:val="center"/>
        <w:rPr>
          <w:rFonts w:ascii="Times New Roman" w:hAnsi="Times New Roman" w:eastAsia="方正小标宋_GBK"/>
          <w:color w:val="000000" w:themeColor="text1"/>
          <w:sz w:val="32"/>
          <w:szCs w:val="32"/>
          <w14:textFill>
            <w14:solidFill>
              <w14:schemeClr w14:val="tx1"/>
            </w14:solidFill>
          </w14:textFill>
        </w:rPr>
      </w:pPr>
      <w:r>
        <w:rPr>
          <w:rFonts w:hint="eastAsia" w:ascii="Times New Roman" w:hAnsi="Times New Roman" w:eastAsia="方正小标宋_GBK"/>
          <w:color w:val="000000" w:themeColor="text1"/>
          <w:sz w:val="32"/>
          <w:szCs w:val="32"/>
          <w14:textFill>
            <w14:solidFill>
              <w14:schemeClr w14:val="tx1"/>
            </w14:solidFill>
          </w14:textFill>
        </w:rPr>
        <w:t>龙胜各族自治县人民政府</w:t>
      </w:r>
    </w:p>
    <w:p>
      <w:pPr>
        <w:ind w:firstLine="3680" w:firstLineChars="1150"/>
        <w:jc w:val="left"/>
        <w:rPr>
          <w:rFonts w:ascii="Times New Roman" w:hAnsi="Times New Roman" w:eastAsia="方正小标宋_GBK"/>
          <w:color w:val="000000" w:themeColor="text1"/>
          <w:sz w:val="32"/>
          <w:szCs w:val="32"/>
          <w14:textFill>
            <w14:solidFill>
              <w14:schemeClr w14:val="tx1"/>
            </w14:solidFill>
          </w14:textFill>
        </w:rPr>
        <w:sectPr>
          <w:headerReference r:id="rId4" w:type="default"/>
          <w:footerReference r:id="rId5" w:type="default"/>
          <w:pgSz w:w="11906" w:h="16838"/>
          <w:pgMar w:top="2098" w:right="1304" w:bottom="1304" w:left="1588" w:header="851" w:footer="992" w:gutter="0"/>
          <w:cols w:space="425" w:num="1"/>
          <w:docGrid w:type="lines" w:linePitch="312" w:charSpace="0"/>
        </w:sectPr>
      </w:pPr>
      <w:r>
        <w:rPr>
          <w:rFonts w:hint="eastAsia" w:ascii="Times New Roman" w:hAnsi="Times New Roman" w:eastAsia="方正小标宋_GBK"/>
          <w:color w:val="000000" w:themeColor="text1"/>
          <w:sz w:val="32"/>
          <w:szCs w:val="32"/>
          <w14:textFill>
            <w14:solidFill>
              <w14:schemeClr w14:val="tx1"/>
            </w14:solidFill>
          </w14:textFill>
        </w:rPr>
        <w:t>2021年1月</w:t>
      </w:r>
    </w:p>
    <w:p>
      <w:pPr>
        <w:pStyle w:val="31"/>
        <w:spacing w:line="360" w:lineRule="auto"/>
        <w:jc w:val="center"/>
        <w:rPr>
          <w:rFonts w:ascii="Times New Roman" w:hAnsi="Times New Roman"/>
          <w:b/>
          <w:color w:val="000000" w:themeColor="text1"/>
          <w:sz w:val="44"/>
          <w:szCs w:val="44"/>
          <w14:textFill>
            <w14:solidFill>
              <w14:schemeClr w14:val="tx1"/>
            </w14:solidFill>
          </w14:textFill>
        </w:rPr>
      </w:pPr>
      <w:bookmarkStart w:id="0" w:name="_Toc22552"/>
      <w:bookmarkStart w:id="1" w:name="_Toc7457"/>
      <w:bookmarkStart w:id="2" w:name="_Toc27475"/>
      <w:bookmarkStart w:id="3" w:name="_Toc52201130"/>
      <w:r>
        <w:rPr>
          <w:rFonts w:hint="eastAsia" w:ascii="Times New Roman" w:hAnsi="Times New Roman"/>
          <w:b/>
          <w:color w:val="000000" w:themeColor="text1"/>
          <w:sz w:val="44"/>
          <w:szCs w:val="44"/>
          <w14:textFill>
            <w14:solidFill>
              <w14:schemeClr w14:val="tx1"/>
            </w14:solidFill>
          </w14:textFill>
        </w:rPr>
        <w:t>目  录</w:t>
      </w:r>
      <w:bookmarkEnd w:id="0"/>
      <w:bookmarkEnd w:id="1"/>
      <w:bookmarkEnd w:id="2"/>
    </w:p>
    <w:p>
      <w:pPr>
        <w:pStyle w:val="31"/>
        <w:spacing w:line="360" w:lineRule="auto"/>
        <w:jc w:val="center"/>
        <w:rPr>
          <w:rFonts w:ascii="Times New Roman" w:hAnsi="Times New Roman"/>
          <w:b/>
          <w:color w:val="000000" w:themeColor="text1"/>
          <w:sz w:val="44"/>
          <w:szCs w:val="44"/>
          <w14:textFill>
            <w14:solidFill>
              <w14:schemeClr w14:val="tx1"/>
            </w14:solidFill>
          </w14:textFill>
        </w:rPr>
      </w:pPr>
    </w:p>
    <w:p>
      <w:pPr>
        <w:pStyle w:val="17"/>
        <w:tabs>
          <w:tab w:val="right" w:leader="dot" w:pos="8732"/>
        </w:tabs>
        <w:spacing w:line="560" w:lineRule="exact"/>
        <w:rPr>
          <w:rFonts w:ascii="Times New Roman" w:hAnsi="Times New Roman"/>
          <w:sz w:val="28"/>
          <w:szCs w:val="28"/>
        </w:rPr>
      </w:pPr>
      <w:r>
        <w:rPr>
          <w:rFonts w:hint="eastAsia" w:ascii="Times New Roman" w:hAnsi="Times New Roman"/>
          <w:b/>
          <w:color w:val="000000" w:themeColor="text1"/>
          <w:sz w:val="44"/>
          <w:szCs w:val="44"/>
          <w14:textFill>
            <w14:solidFill>
              <w14:schemeClr w14:val="tx1"/>
            </w14:solidFill>
          </w14:textFill>
        </w:rPr>
        <w:fldChar w:fldCharType="begin"/>
      </w:r>
      <w:r>
        <w:rPr>
          <w:rFonts w:hint="eastAsia" w:ascii="Times New Roman" w:hAnsi="Times New Roman"/>
          <w:b/>
          <w:color w:val="000000" w:themeColor="text1"/>
          <w:sz w:val="44"/>
          <w:szCs w:val="44"/>
          <w14:textFill>
            <w14:solidFill>
              <w14:schemeClr w14:val="tx1"/>
            </w14:solidFill>
          </w14:textFill>
        </w:rPr>
        <w:instrText xml:space="preserve">TOC \o "1-3" \h \u </w:instrText>
      </w:r>
      <w:r>
        <w:rPr>
          <w:rFonts w:hint="eastAsia" w:ascii="Times New Roman" w:hAnsi="Times New Roman"/>
          <w:b/>
          <w:color w:val="000000" w:themeColor="text1"/>
          <w:sz w:val="44"/>
          <w:szCs w:val="44"/>
          <w14:textFill>
            <w14:solidFill>
              <w14:schemeClr w14:val="tx1"/>
            </w14:solidFill>
          </w14:textFill>
        </w:rPr>
        <w:fldChar w:fldCharType="separate"/>
      </w:r>
      <w:r>
        <w:fldChar w:fldCharType="begin"/>
      </w:r>
      <w:r>
        <w:instrText xml:space="preserve"> HYPERLINK \l "_Toc25821" </w:instrText>
      </w:r>
      <w:r>
        <w:fldChar w:fldCharType="separate"/>
      </w:r>
      <w:r>
        <w:rPr>
          <w:rFonts w:hint="eastAsia" w:ascii="Times New Roman" w:hAnsi="Times New Roman" w:eastAsia="方正小标宋_GBK"/>
          <w:bCs/>
          <w:sz w:val="28"/>
          <w:szCs w:val="28"/>
        </w:rPr>
        <w:t>第一篇</w:t>
      </w:r>
      <w:r>
        <w:rPr>
          <w:rFonts w:hint="eastAsia" w:ascii="Times New Roman" w:hAnsi="Times New Roman" w:eastAsia="仿宋"/>
          <w:bCs/>
          <w:sz w:val="28"/>
          <w:szCs w:val="28"/>
        </w:rPr>
        <w:t xml:space="preserve"> </w:t>
      </w:r>
      <w:r>
        <w:rPr>
          <w:rFonts w:hint="eastAsia" w:ascii="Times New Roman" w:hAnsi="Times New Roman" w:eastAsia="方正小标宋_GBK"/>
          <w:bCs/>
          <w:sz w:val="28"/>
          <w:szCs w:val="28"/>
        </w:rPr>
        <w:t>“两个建成”取得明显成就，龙胜发展进入新阶段</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_Toc25821 </w:instrText>
      </w:r>
      <w:r>
        <w:rPr>
          <w:rFonts w:ascii="Times New Roman" w:hAnsi="Times New Roman"/>
          <w:sz w:val="28"/>
          <w:szCs w:val="28"/>
        </w:rPr>
        <w:fldChar w:fldCharType="separate"/>
      </w:r>
      <w:r>
        <w:rPr>
          <w:rFonts w:ascii="Times New Roman" w:hAnsi="Times New Roman"/>
          <w:sz w:val="28"/>
          <w:szCs w:val="28"/>
        </w:rPr>
        <w:t>1</w:t>
      </w:r>
      <w:r>
        <w:rPr>
          <w:rFonts w:ascii="Times New Roman" w:hAnsi="Times New Roman"/>
          <w:sz w:val="28"/>
          <w:szCs w:val="28"/>
        </w:rPr>
        <w:fldChar w:fldCharType="end"/>
      </w:r>
      <w:r>
        <w:rPr>
          <w:rFonts w:ascii="Times New Roman" w:hAnsi="Times New Roman"/>
          <w:sz w:val="28"/>
          <w:szCs w:val="28"/>
        </w:rPr>
        <w:fldChar w:fldCharType="end"/>
      </w:r>
    </w:p>
    <w:p>
      <w:pPr>
        <w:pStyle w:val="2"/>
        <w:tabs>
          <w:tab w:val="right" w:leader="dot" w:pos="8732"/>
        </w:tabs>
        <w:spacing w:line="560" w:lineRule="exact"/>
        <w:rPr>
          <w:rFonts w:ascii="Times New Roman" w:hAnsi="Times New Roman" w:eastAsia="黑体"/>
          <w:sz w:val="28"/>
          <w:szCs w:val="28"/>
        </w:rPr>
      </w:pPr>
      <w:r>
        <w:fldChar w:fldCharType="begin"/>
      </w:r>
      <w:r>
        <w:instrText xml:space="preserve"> HYPERLINK \l "_Toc29703" </w:instrText>
      </w:r>
      <w:r>
        <w:fldChar w:fldCharType="separate"/>
      </w:r>
      <w:r>
        <w:rPr>
          <w:rFonts w:hint="eastAsia" w:ascii="Times New Roman" w:hAnsi="Times New Roman" w:eastAsia="黑体"/>
          <w:kern w:val="0"/>
          <w:sz w:val="28"/>
          <w:szCs w:val="28"/>
        </w:rPr>
        <w:t>第一章  “十三五”规划圆满收官</w:t>
      </w:r>
      <w:r>
        <w:rPr>
          <w:rFonts w:hint="eastAsia" w:ascii="Times New Roman" w:hAnsi="Times New Roman" w:eastAsia="黑体"/>
          <w:sz w:val="28"/>
          <w:szCs w:val="28"/>
        </w:rPr>
        <w:tab/>
      </w:r>
      <w:r>
        <w:rPr>
          <w:rFonts w:hint="eastAsia" w:ascii="Times New Roman" w:hAnsi="Times New Roman" w:eastAsia="黑体"/>
          <w:sz w:val="28"/>
          <w:szCs w:val="28"/>
        </w:rPr>
        <w:fldChar w:fldCharType="begin"/>
      </w:r>
      <w:r>
        <w:rPr>
          <w:rFonts w:hint="eastAsia" w:ascii="Times New Roman" w:hAnsi="Times New Roman" w:eastAsia="黑体"/>
          <w:sz w:val="28"/>
          <w:szCs w:val="28"/>
        </w:rPr>
        <w:instrText xml:space="preserve"> PAGEREF _Toc29703 </w:instrText>
      </w:r>
      <w:r>
        <w:rPr>
          <w:rFonts w:hint="eastAsia" w:ascii="Times New Roman" w:hAnsi="Times New Roman" w:eastAsia="黑体"/>
          <w:sz w:val="28"/>
          <w:szCs w:val="28"/>
        </w:rPr>
        <w:fldChar w:fldCharType="separate"/>
      </w:r>
      <w:r>
        <w:rPr>
          <w:rFonts w:hint="eastAsia" w:ascii="Times New Roman" w:hAnsi="Times New Roman" w:eastAsia="黑体"/>
          <w:sz w:val="28"/>
          <w:szCs w:val="28"/>
        </w:rPr>
        <w:t>1</w:t>
      </w:r>
      <w:r>
        <w:rPr>
          <w:rFonts w:hint="eastAsia" w:ascii="Times New Roman" w:hAnsi="Times New Roman" w:eastAsia="黑体"/>
          <w:sz w:val="28"/>
          <w:szCs w:val="28"/>
        </w:rPr>
        <w:fldChar w:fldCharType="end"/>
      </w:r>
      <w:r>
        <w:rPr>
          <w:rFonts w:hint="eastAsia" w:ascii="Times New Roman" w:hAnsi="Times New Roman" w:eastAsia="黑体"/>
          <w:sz w:val="28"/>
          <w:szCs w:val="28"/>
        </w:rPr>
        <w:fldChar w:fldCharType="end"/>
      </w:r>
    </w:p>
    <w:p>
      <w:pPr>
        <w:pStyle w:val="10"/>
        <w:tabs>
          <w:tab w:val="right" w:leader="dot" w:pos="8732"/>
        </w:tabs>
        <w:spacing w:line="560" w:lineRule="exact"/>
        <w:rPr>
          <w:rFonts w:ascii="Times New Roman" w:hAnsi="Times New Roman" w:eastAsia="黑体"/>
          <w:sz w:val="28"/>
          <w:szCs w:val="28"/>
        </w:rPr>
      </w:pPr>
      <w:r>
        <w:fldChar w:fldCharType="begin"/>
      </w:r>
      <w:r>
        <w:instrText xml:space="preserve"> HYPERLINK \l "_Toc24521" </w:instrText>
      </w:r>
      <w:r>
        <w:fldChar w:fldCharType="separate"/>
      </w:r>
      <w:r>
        <w:rPr>
          <w:rFonts w:hint="eastAsia" w:ascii="Times New Roman" w:hAnsi="Times New Roman" w:eastAsia="黑体"/>
          <w:sz w:val="28"/>
          <w:szCs w:val="28"/>
        </w:rPr>
        <w:t>第一节“两个建成”目标如期实现</w:t>
      </w:r>
      <w:r>
        <w:rPr>
          <w:rFonts w:hint="eastAsia" w:ascii="Times New Roman" w:hAnsi="Times New Roman" w:eastAsia="黑体"/>
          <w:sz w:val="28"/>
          <w:szCs w:val="28"/>
        </w:rPr>
        <w:tab/>
      </w:r>
      <w:r>
        <w:rPr>
          <w:rFonts w:hint="eastAsia" w:ascii="Times New Roman" w:hAnsi="Times New Roman" w:eastAsia="黑体"/>
          <w:sz w:val="28"/>
          <w:szCs w:val="28"/>
        </w:rPr>
        <w:fldChar w:fldCharType="begin"/>
      </w:r>
      <w:r>
        <w:rPr>
          <w:rFonts w:hint="eastAsia" w:ascii="Times New Roman" w:hAnsi="Times New Roman" w:eastAsia="黑体"/>
          <w:sz w:val="28"/>
          <w:szCs w:val="28"/>
        </w:rPr>
        <w:instrText xml:space="preserve"> PAGEREF _Toc24521 </w:instrText>
      </w:r>
      <w:r>
        <w:rPr>
          <w:rFonts w:hint="eastAsia" w:ascii="Times New Roman" w:hAnsi="Times New Roman" w:eastAsia="黑体"/>
          <w:sz w:val="28"/>
          <w:szCs w:val="28"/>
        </w:rPr>
        <w:fldChar w:fldCharType="separate"/>
      </w:r>
      <w:r>
        <w:rPr>
          <w:rFonts w:hint="eastAsia" w:ascii="Times New Roman" w:hAnsi="Times New Roman" w:eastAsia="黑体"/>
          <w:sz w:val="28"/>
          <w:szCs w:val="28"/>
        </w:rPr>
        <w:t>2</w:t>
      </w:r>
      <w:r>
        <w:rPr>
          <w:rFonts w:hint="eastAsia" w:ascii="Times New Roman" w:hAnsi="Times New Roman" w:eastAsia="黑体"/>
          <w:sz w:val="28"/>
          <w:szCs w:val="28"/>
        </w:rPr>
        <w:fldChar w:fldCharType="end"/>
      </w:r>
      <w:r>
        <w:rPr>
          <w:rFonts w:hint="eastAsia" w:ascii="Times New Roman" w:hAnsi="Times New Roman" w:eastAsia="黑体"/>
          <w:sz w:val="28"/>
          <w:szCs w:val="28"/>
        </w:rPr>
        <w:fldChar w:fldCharType="end"/>
      </w:r>
    </w:p>
    <w:p>
      <w:pPr>
        <w:pStyle w:val="10"/>
        <w:tabs>
          <w:tab w:val="right" w:leader="dot" w:pos="8732"/>
        </w:tabs>
        <w:spacing w:line="560" w:lineRule="exact"/>
        <w:rPr>
          <w:rFonts w:ascii="Times New Roman" w:hAnsi="Times New Roman" w:eastAsia="黑体"/>
          <w:sz w:val="28"/>
          <w:szCs w:val="28"/>
        </w:rPr>
      </w:pPr>
      <w:r>
        <w:fldChar w:fldCharType="begin"/>
      </w:r>
      <w:r>
        <w:instrText xml:space="preserve"> HYPERLINK \l "_Toc26677" </w:instrText>
      </w:r>
      <w:r>
        <w:fldChar w:fldCharType="separate"/>
      </w:r>
      <w:r>
        <w:rPr>
          <w:rFonts w:hint="eastAsia" w:ascii="Times New Roman" w:hAnsi="Times New Roman" w:eastAsia="黑体"/>
          <w:sz w:val="28"/>
          <w:szCs w:val="28"/>
        </w:rPr>
        <w:t>第二节  “十三五”期经济社会发展取得的重大成就</w:t>
      </w:r>
      <w:r>
        <w:rPr>
          <w:rFonts w:hint="eastAsia" w:ascii="Times New Roman" w:hAnsi="Times New Roman" w:eastAsia="黑体"/>
          <w:sz w:val="28"/>
          <w:szCs w:val="28"/>
        </w:rPr>
        <w:tab/>
      </w:r>
      <w:r>
        <w:rPr>
          <w:rFonts w:hint="eastAsia" w:ascii="Times New Roman" w:hAnsi="Times New Roman" w:eastAsia="黑体"/>
          <w:sz w:val="28"/>
          <w:szCs w:val="28"/>
        </w:rPr>
        <w:fldChar w:fldCharType="begin"/>
      </w:r>
      <w:r>
        <w:rPr>
          <w:rFonts w:hint="eastAsia" w:ascii="Times New Roman" w:hAnsi="Times New Roman" w:eastAsia="黑体"/>
          <w:sz w:val="28"/>
          <w:szCs w:val="28"/>
        </w:rPr>
        <w:instrText xml:space="preserve"> PAGEREF _Toc26677 </w:instrText>
      </w:r>
      <w:r>
        <w:rPr>
          <w:rFonts w:hint="eastAsia" w:ascii="Times New Roman" w:hAnsi="Times New Roman" w:eastAsia="黑体"/>
          <w:sz w:val="28"/>
          <w:szCs w:val="28"/>
        </w:rPr>
        <w:fldChar w:fldCharType="separate"/>
      </w:r>
      <w:r>
        <w:rPr>
          <w:rFonts w:hint="eastAsia" w:ascii="Times New Roman" w:hAnsi="Times New Roman" w:eastAsia="黑体"/>
          <w:sz w:val="28"/>
          <w:szCs w:val="28"/>
        </w:rPr>
        <w:t>3</w:t>
      </w:r>
      <w:r>
        <w:rPr>
          <w:rFonts w:hint="eastAsia" w:ascii="Times New Roman" w:hAnsi="Times New Roman" w:eastAsia="黑体"/>
          <w:sz w:val="28"/>
          <w:szCs w:val="28"/>
        </w:rPr>
        <w:fldChar w:fldCharType="end"/>
      </w:r>
      <w:r>
        <w:rPr>
          <w:rFonts w:hint="eastAsia" w:ascii="Times New Roman" w:hAnsi="Times New Roman" w:eastAsia="黑体"/>
          <w:sz w:val="28"/>
          <w:szCs w:val="28"/>
        </w:rPr>
        <w:fldChar w:fldCharType="end"/>
      </w:r>
    </w:p>
    <w:p>
      <w:pPr>
        <w:pStyle w:val="2"/>
        <w:tabs>
          <w:tab w:val="right" w:leader="dot" w:pos="8732"/>
        </w:tabs>
        <w:spacing w:line="560" w:lineRule="exact"/>
        <w:rPr>
          <w:rFonts w:ascii="Times New Roman" w:hAnsi="Times New Roman" w:eastAsia="黑体"/>
          <w:sz w:val="28"/>
          <w:szCs w:val="28"/>
        </w:rPr>
      </w:pPr>
      <w:r>
        <w:fldChar w:fldCharType="begin"/>
      </w:r>
      <w:r>
        <w:instrText xml:space="preserve"> HYPERLINK \l "_Toc25992" </w:instrText>
      </w:r>
      <w:r>
        <w:fldChar w:fldCharType="separate"/>
      </w:r>
      <w:r>
        <w:rPr>
          <w:rFonts w:hint="eastAsia" w:ascii="Times New Roman" w:hAnsi="Times New Roman" w:eastAsia="黑体"/>
          <w:sz w:val="28"/>
          <w:szCs w:val="28"/>
        </w:rPr>
        <w:t>第二章  新发展阶段的新历史方位</w:t>
      </w:r>
      <w:r>
        <w:rPr>
          <w:rFonts w:hint="eastAsia" w:ascii="Times New Roman" w:hAnsi="Times New Roman" w:eastAsia="黑体"/>
          <w:sz w:val="28"/>
          <w:szCs w:val="28"/>
        </w:rPr>
        <w:tab/>
      </w:r>
      <w:r>
        <w:rPr>
          <w:rFonts w:hint="eastAsia" w:ascii="Times New Roman" w:hAnsi="Times New Roman" w:eastAsia="黑体"/>
          <w:sz w:val="28"/>
          <w:szCs w:val="28"/>
        </w:rPr>
        <w:fldChar w:fldCharType="begin"/>
      </w:r>
      <w:r>
        <w:rPr>
          <w:rFonts w:hint="eastAsia" w:ascii="Times New Roman" w:hAnsi="Times New Roman" w:eastAsia="黑体"/>
          <w:sz w:val="28"/>
          <w:szCs w:val="28"/>
        </w:rPr>
        <w:instrText xml:space="preserve"> PAGEREF _Toc25992 </w:instrText>
      </w:r>
      <w:r>
        <w:rPr>
          <w:rFonts w:hint="eastAsia" w:ascii="Times New Roman" w:hAnsi="Times New Roman" w:eastAsia="黑体"/>
          <w:sz w:val="28"/>
          <w:szCs w:val="28"/>
        </w:rPr>
        <w:fldChar w:fldCharType="separate"/>
      </w:r>
      <w:r>
        <w:rPr>
          <w:rFonts w:hint="eastAsia" w:ascii="Times New Roman" w:hAnsi="Times New Roman" w:eastAsia="黑体"/>
          <w:sz w:val="28"/>
          <w:szCs w:val="28"/>
        </w:rPr>
        <w:t>9</w:t>
      </w:r>
      <w:r>
        <w:rPr>
          <w:rFonts w:hint="eastAsia" w:ascii="Times New Roman" w:hAnsi="Times New Roman" w:eastAsia="黑体"/>
          <w:sz w:val="28"/>
          <w:szCs w:val="28"/>
        </w:rPr>
        <w:fldChar w:fldCharType="end"/>
      </w:r>
      <w:r>
        <w:rPr>
          <w:rFonts w:hint="eastAsia" w:ascii="Times New Roman" w:hAnsi="Times New Roman" w:eastAsia="黑体"/>
          <w:sz w:val="28"/>
          <w:szCs w:val="28"/>
        </w:rPr>
        <w:fldChar w:fldCharType="end"/>
      </w:r>
    </w:p>
    <w:p>
      <w:pPr>
        <w:pStyle w:val="10"/>
        <w:tabs>
          <w:tab w:val="right" w:leader="dot" w:pos="8732"/>
        </w:tabs>
        <w:spacing w:line="560" w:lineRule="exact"/>
        <w:rPr>
          <w:rFonts w:ascii="Times New Roman" w:hAnsi="Times New Roman" w:eastAsia="黑体"/>
          <w:sz w:val="28"/>
          <w:szCs w:val="28"/>
        </w:rPr>
      </w:pPr>
      <w:r>
        <w:fldChar w:fldCharType="begin"/>
      </w:r>
      <w:r>
        <w:instrText xml:space="preserve"> HYPERLINK \l "_Toc31928" </w:instrText>
      </w:r>
      <w:r>
        <w:fldChar w:fldCharType="separate"/>
      </w:r>
      <w:r>
        <w:rPr>
          <w:rFonts w:hint="eastAsia" w:ascii="Times New Roman" w:hAnsi="Times New Roman" w:eastAsia="黑体"/>
          <w:sz w:val="28"/>
          <w:szCs w:val="28"/>
        </w:rPr>
        <w:t>第一节  “十四五”时期发展面临的新形势</w:t>
      </w:r>
      <w:r>
        <w:rPr>
          <w:rFonts w:hint="eastAsia" w:ascii="Times New Roman" w:hAnsi="Times New Roman" w:eastAsia="黑体"/>
          <w:sz w:val="28"/>
          <w:szCs w:val="28"/>
        </w:rPr>
        <w:tab/>
      </w:r>
      <w:r>
        <w:rPr>
          <w:rFonts w:hint="eastAsia" w:ascii="Times New Roman" w:hAnsi="Times New Roman" w:eastAsia="黑体"/>
          <w:sz w:val="28"/>
          <w:szCs w:val="28"/>
        </w:rPr>
        <w:fldChar w:fldCharType="begin"/>
      </w:r>
      <w:r>
        <w:rPr>
          <w:rFonts w:hint="eastAsia" w:ascii="Times New Roman" w:hAnsi="Times New Roman" w:eastAsia="黑体"/>
          <w:sz w:val="28"/>
          <w:szCs w:val="28"/>
        </w:rPr>
        <w:instrText xml:space="preserve"> PAGEREF _Toc31928 </w:instrText>
      </w:r>
      <w:r>
        <w:rPr>
          <w:rFonts w:hint="eastAsia" w:ascii="Times New Roman" w:hAnsi="Times New Roman" w:eastAsia="黑体"/>
          <w:sz w:val="28"/>
          <w:szCs w:val="28"/>
        </w:rPr>
        <w:fldChar w:fldCharType="separate"/>
      </w:r>
      <w:r>
        <w:rPr>
          <w:rFonts w:hint="eastAsia" w:ascii="Times New Roman" w:hAnsi="Times New Roman" w:eastAsia="黑体"/>
          <w:sz w:val="28"/>
          <w:szCs w:val="28"/>
        </w:rPr>
        <w:t>9</w:t>
      </w:r>
      <w:r>
        <w:rPr>
          <w:rFonts w:hint="eastAsia" w:ascii="Times New Roman" w:hAnsi="Times New Roman" w:eastAsia="黑体"/>
          <w:sz w:val="28"/>
          <w:szCs w:val="28"/>
        </w:rPr>
        <w:fldChar w:fldCharType="end"/>
      </w:r>
      <w:r>
        <w:rPr>
          <w:rFonts w:hint="eastAsia" w:ascii="Times New Roman" w:hAnsi="Times New Roman" w:eastAsia="黑体"/>
          <w:sz w:val="28"/>
          <w:szCs w:val="28"/>
        </w:rPr>
        <w:fldChar w:fldCharType="end"/>
      </w:r>
    </w:p>
    <w:p>
      <w:pPr>
        <w:pStyle w:val="10"/>
        <w:tabs>
          <w:tab w:val="right" w:leader="dot" w:pos="8732"/>
        </w:tabs>
        <w:spacing w:line="560" w:lineRule="exact"/>
        <w:rPr>
          <w:rFonts w:ascii="Times New Roman" w:hAnsi="Times New Roman"/>
          <w:sz w:val="28"/>
          <w:szCs w:val="28"/>
        </w:rPr>
      </w:pPr>
      <w:r>
        <w:fldChar w:fldCharType="begin"/>
      </w:r>
      <w:r>
        <w:instrText xml:space="preserve"> HYPERLINK \l "_Toc20704" </w:instrText>
      </w:r>
      <w:r>
        <w:fldChar w:fldCharType="separate"/>
      </w:r>
      <w:r>
        <w:rPr>
          <w:rFonts w:hint="eastAsia" w:ascii="Times New Roman" w:hAnsi="Times New Roman" w:eastAsia="黑体"/>
          <w:sz w:val="28"/>
          <w:szCs w:val="28"/>
        </w:rPr>
        <w:t>第二节  面临的机遇和挑战</w:t>
      </w:r>
      <w:r>
        <w:rPr>
          <w:rFonts w:hint="eastAsia" w:ascii="Times New Roman" w:hAnsi="Times New Roman" w:eastAsia="黑体"/>
          <w:sz w:val="28"/>
          <w:szCs w:val="28"/>
        </w:rPr>
        <w:tab/>
      </w:r>
      <w:r>
        <w:rPr>
          <w:rFonts w:hint="eastAsia" w:ascii="Times New Roman" w:hAnsi="Times New Roman" w:eastAsia="黑体"/>
          <w:sz w:val="28"/>
          <w:szCs w:val="28"/>
        </w:rPr>
        <w:fldChar w:fldCharType="begin"/>
      </w:r>
      <w:r>
        <w:rPr>
          <w:rFonts w:hint="eastAsia" w:ascii="Times New Roman" w:hAnsi="Times New Roman" w:eastAsia="黑体"/>
          <w:sz w:val="28"/>
          <w:szCs w:val="28"/>
        </w:rPr>
        <w:instrText xml:space="preserve"> PAGEREF _Toc20704 </w:instrText>
      </w:r>
      <w:r>
        <w:rPr>
          <w:rFonts w:hint="eastAsia" w:ascii="Times New Roman" w:hAnsi="Times New Roman" w:eastAsia="黑体"/>
          <w:sz w:val="28"/>
          <w:szCs w:val="28"/>
        </w:rPr>
        <w:fldChar w:fldCharType="separate"/>
      </w:r>
      <w:r>
        <w:rPr>
          <w:rFonts w:hint="eastAsia" w:ascii="Times New Roman" w:hAnsi="Times New Roman" w:eastAsia="黑体"/>
          <w:sz w:val="28"/>
          <w:szCs w:val="28"/>
        </w:rPr>
        <w:t>11</w:t>
      </w:r>
      <w:r>
        <w:rPr>
          <w:rFonts w:hint="eastAsia" w:ascii="Times New Roman" w:hAnsi="Times New Roman" w:eastAsia="黑体"/>
          <w:sz w:val="28"/>
          <w:szCs w:val="28"/>
        </w:rPr>
        <w:fldChar w:fldCharType="end"/>
      </w:r>
      <w:r>
        <w:rPr>
          <w:rFonts w:hint="eastAsia" w:ascii="Times New Roman" w:hAnsi="Times New Roman" w:eastAsia="黑体"/>
          <w:sz w:val="28"/>
          <w:szCs w:val="28"/>
        </w:rPr>
        <w:fldChar w:fldCharType="end"/>
      </w:r>
    </w:p>
    <w:p>
      <w:pPr>
        <w:pStyle w:val="2"/>
        <w:tabs>
          <w:tab w:val="right" w:leader="dot" w:pos="8732"/>
        </w:tabs>
        <w:spacing w:line="560" w:lineRule="exact"/>
        <w:ind w:left="0" w:leftChars="0"/>
        <w:rPr>
          <w:rFonts w:ascii="Times New Roman" w:hAnsi="Times New Roman"/>
          <w:sz w:val="28"/>
          <w:szCs w:val="28"/>
        </w:rPr>
      </w:pPr>
      <w:r>
        <w:fldChar w:fldCharType="begin"/>
      </w:r>
      <w:r>
        <w:instrText xml:space="preserve"> HYPERLINK \l "_Toc29104" </w:instrText>
      </w:r>
      <w:r>
        <w:fldChar w:fldCharType="separate"/>
      </w:r>
      <w:r>
        <w:rPr>
          <w:rFonts w:hint="eastAsia" w:ascii="Times New Roman" w:hAnsi="Times New Roman" w:eastAsia="方正小标宋_GBK"/>
          <w:sz w:val="28"/>
          <w:szCs w:val="28"/>
        </w:rPr>
        <w:t>第二篇  深入贯彻新发展理念，开启现代化建设新征程</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_Toc29104 </w:instrText>
      </w:r>
      <w:r>
        <w:rPr>
          <w:rFonts w:ascii="Times New Roman" w:hAnsi="Times New Roman"/>
          <w:sz w:val="28"/>
          <w:szCs w:val="28"/>
        </w:rPr>
        <w:fldChar w:fldCharType="separate"/>
      </w:r>
      <w:r>
        <w:rPr>
          <w:rFonts w:ascii="Times New Roman" w:hAnsi="Times New Roman"/>
          <w:sz w:val="28"/>
          <w:szCs w:val="28"/>
        </w:rPr>
        <w:t>13</w:t>
      </w:r>
      <w:r>
        <w:rPr>
          <w:rFonts w:ascii="Times New Roman" w:hAnsi="Times New Roman"/>
          <w:sz w:val="28"/>
          <w:szCs w:val="28"/>
        </w:rPr>
        <w:fldChar w:fldCharType="end"/>
      </w:r>
      <w:r>
        <w:rPr>
          <w:rFonts w:ascii="Times New Roman" w:hAnsi="Times New Roman"/>
          <w:sz w:val="28"/>
          <w:szCs w:val="28"/>
        </w:rPr>
        <w:fldChar w:fldCharType="end"/>
      </w:r>
    </w:p>
    <w:p>
      <w:pPr>
        <w:pStyle w:val="2"/>
        <w:tabs>
          <w:tab w:val="right" w:leader="dot" w:pos="8732"/>
        </w:tabs>
        <w:spacing w:line="560" w:lineRule="exact"/>
        <w:rPr>
          <w:rFonts w:ascii="Times New Roman" w:hAnsi="Times New Roman" w:eastAsia="黑体"/>
          <w:sz w:val="28"/>
          <w:szCs w:val="28"/>
        </w:rPr>
      </w:pPr>
      <w:r>
        <w:fldChar w:fldCharType="begin"/>
      </w:r>
      <w:r>
        <w:instrText xml:space="preserve"> HYPERLINK \l "_Toc14358" </w:instrText>
      </w:r>
      <w:r>
        <w:fldChar w:fldCharType="separate"/>
      </w:r>
      <w:r>
        <w:rPr>
          <w:rFonts w:hint="eastAsia" w:ascii="Times New Roman" w:hAnsi="Times New Roman" w:eastAsia="黑体"/>
          <w:sz w:val="28"/>
          <w:szCs w:val="28"/>
        </w:rPr>
        <w:t>第三章  “十四五”时期发展总体要求</w:t>
      </w:r>
      <w:r>
        <w:rPr>
          <w:rFonts w:hint="eastAsia" w:ascii="Times New Roman" w:hAnsi="Times New Roman" w:eastAsia="黑体"/>
          <w:sz w:val="28"/>
          <w:szCs w:val="28"/>
        </w:rPr>
        <w:tab/>
      </w:r>
      <w:r>
        <w:rPr>
          <w:rFonts w:hint="eastAsia" w:ascii="Times New Roman" w:hAnsi="Times New Roman" w:eastAsia="黑体"/>
          <w:sz w:val="28"/>
          <w:szCs w:val="28"/>
        </w:rPr>
        <w:fldChar w:fldCharType="begin"/>
      </w:r>
      <w:r>
        <w:rPr>
          <w:rFonts w:hint="eastAsia" w:ascii="Times New Roman" w:hAnsi="Times New Roman" w:eastAsia="黑体"/>
          <w:sz w:val="28"/>
          <w:szCs w:val="28"/>
        </w:rPr>
        <w:instrText xml:space="preserve"> PAGEREF _Toc14358 </w:instrText>
      </w:r>
      <w:r>
        <w:rPr>
          <w:rFonts w:hint="eastAsia" w:ascii="Times New Roman" w:hAnsi="Times New Roman" w:eastAsia="黑体"/>
          <w:sz w:val="28"/>
          <w:szCs w:val="28"/>
        </w:rPr>
        <w:fldChar w:fldCharType="separate"/>
      </w:r>
      <w:r>
        <w:rPr>
          <w:rFonts w:hint="eastAsia" w:ascii="Times New Roman" w:hAnsi="Times New Roman" w:eastAsia="黑体"/>
          <w:sz w:val="28"/>
          <w:szCs w:val="28"/>
        </w:rPr>
        <w:t>13</w:t>
      </w:r>
      <w:r>
        <w:rPr>
          <w:rFonts w:hint="eastAsia" w:ascii="Times New Roman" w:hAnsi="Times New Roman" w:eastAsia="黑体"/>
          <w:sz w:val="28"/>
          <w:szCs w:val="28"/>
        </w:rPr>
        <w:fldChar w:fldCharType="end"/>
      </w:r>
      <w:r>
        <w:rPr>
          <w:rFonts w:hint="eastAsia" w:ascii="Times New Roman" w:hAnsi="Times New Roman" w:eastAsia="黑体"/>
          <w:sz w:val="28"/>
          <w:szCs w:val="28"/>
        </w:rPr>
        <w:fldChar w:fldCharType="end"/>
      </w:r>
    </w:p>
    <w:p>
      <w:pPr>
        <w:pStyle w:val="10"/>
        <w:tabs>
          <w:tab w:val="right" w:leader="dot" w:pos="8732"/>
        </w:tabs>
        <w:spacing w:line="560" w:lineRule="exact"/>
        <w:rPr>
          <w:rFonts w:ascii="Times New Roman" w:hAnsi="Times New Roman" w:eastAsia="黑体"/>
          <w:sz w:val="28"/>
          <w:szCs w:val="28"/>
        </w:rPr>
      </w:pPr>
      <w:r>
        <w:fldChar w:fldCharType="begin"/>
      </w:r>
      <w:r>
        <w:instrText xml:space="preserve"> HYPERLINK \l "_Toc10321" </w:instrText>
      </w:r>
      <w:r>
        <w:fldChar w:fldCharType="separate"/>
      </w:r>
      <w:r>
        <w:rPr>
          <w:rFonts w:hint="eastAsia" w:ascii="Times New Roman" w:hAnsi="Times New Roman" w:eastAsia="黑体"/>
          <w:sz w:val="28"/>
          <w:szCs w:val="28"/>
        </w:rPr>
        <w:t>第一节  指导思想</w:t>
      </w:r>
      <w:r>
        <w:rPr>
          <w:rFonts w:hint="eastAsia" w:ascii="Times New Roman" w:hAnsi="Times New Roman" w:eastAsia="黑体"/>
          <w:sz w:val="28"/>
          <w:szCs w:val="28"/>
        </w:rPr>
        <w:tab/>
      </w:r>
      <w:r>
        <w:rPr>
          <w:rFonts w:hint="eastAsia" w:ascii="Times New Roman" w:hAnsi="Times New Roman" w:eastAsia="黑体"/>
          <w:sz w:val="28"/>
          <w:szCs w:val="28"/>
        </w:rPr>
        <w:fldChar w:fldCharType="begin"/>
      </w:r>
      <w:r>
        <w:rPr>
          <w:rFonts w:hint="eastAsia" w:ascii="Times New Roman" w:hAnsi="Times New Roman" w:eastAsia="黑体"/>
          <w:sz w:val="28"/>
          <w:szCs w:val="28"/>
        </w:rPr>
        <w:instrText xml:space="preserve"> PAGEREF _Toc10321 </w:instrText>
      </w:r>
      <w:r>
        <w:rPr>
          <w:rFonts w:hint="eastAsia" w:ascii="Times New Roman" w:hAnsi="Times New Roman" w:eastAsia="黑体"/>
          <w:sz w:val="28"/>
          <w:szCs w:val="28"/>
        </w:rPr>
        <w:fldChar w:fldCharType="separate"/>
      </w:r>
      <w:r>
        <w:rPr>
          <w:rFonts w:hint="eastAsia" w:ascii="Times New Roman" w:hAnsi="Times New Roman" w:eastAsia="黑体"/>
          <w:sz w:val="28"/>
          <w:szCs w:val="28"/>
        </w:rPr>
        <w:t>13</w:t>
      </w:r>
      <w:r>
        <w:rPr>
          <w:rFonts w:hint="eastAsia" w:ascii="Times New Roman" w:hAnsi="Times New Roman" w:eastAsia="黑体"/>
          <w:sz w:val="28"/>
          <w:szCs w:val="28"/>
        </w:rPr>
        <w:fldChar w:fldCharType="end"/>
      </w:r>
      <w:r>
        <w:rPr>
          <w:rFonts w:hint="eastAsia" w:ascii="Times New Roman" w:hAnsi="Times New Roman" w:eastAsia="黑体"/>
          <w:sz w:val="28"/>
          <w:szCs w:val="28"/>
        </w:rPr>
        <w:fldChar w:fldCharType="end"/>
      </w:r>
    </w:p>
    <w:p>
      <w:pPr>
        <w:pStyle w:val="10"/>
        <w:tabs>
          <w:tab w:val="right" w:leader="dot" w:pos="8732"/>
        </w:tabs>
        <w:spacing w:line="560" w:lineRule="exact"/>
        <w:rPr>
          <w:rFonts w:ascii="Times New Roman" w:hAnsi="Times New Roman" w:eastAsia="黑体"/>
          <w:sz w:val="28"/>
          <w:szCs w:val="28"/>
        </w:rPr>
      </w:pPr>
      <w:r>
        <w:fldChar w:fldCharType="begin"/>
      </w:r>
      <w:r>
        <w:instrText xml:space="preserve"> HYPERLINK \l "_Toc5003" </w:instrText>
      </w:r>
      <w:r>
        <w:fldChar w:fldCharType="separate"/>
      </w:r>
      <w:r>
        <w:rPr>
          <w:rFonts w:hint="eastAsia" w:ascii="Times New Roman" w:hAnsi="Times New Roman" w:eastAsia="黑体"/>
          <w:sz w:val="28"/>
          <w:szCs w:val="28"/>
        </w:rPr>
        <w:t>第二节  基本原则</w:t>
      </w:r>
      <w:r>
        <w:rPr>
          <w:rFonts w:hint="eastAsia" w:ascii="Times New Roman" w:hAnsi="Times New Roman" w:eastAsia="黑体"/>
          <w:sz w:val="28"/>
          <w:szCs w:val="28"/>
        </w:rPr>
        <w:tab/>
      </w:r>
      <w:r>
        <w:rPr>
          <w:rFonts w:hint="eastAsia" w:ascii="Times New Roman" w:hAnsi="Times New Roman" w:eastAsia="黑体"/>
          <w:sz w:val="28"/>
          <w:szCs w:val="28"/>
        </w:rPr>
        <w:fldChar w:fldCharType="begin"/>
      </w:r>
      <w:r>
        <w:rPr>
          <w:rFonts w:hint="eastAsia" w:ascii="Times New Roman" w:hAnsi="Times New Roman" w:eastAsia="黑体"/>
          <w:sz w:val="28"/>
          <w:szCs w:val="28"/>
        </w:rPr>
        <w:instrText xml:space="preserve"> PAGEREF _Toc5003 </w:instrText>
      </w:r>
      <w:r>
        <w:rPr>
          <w:rFonts w:hint="eastAsia" w:ascii="Times New Roman" w:hAnsi="Times New Roman" w:eastAsia="黑体"/>
          <w:sz w:val="28"/>
          <w:szCs w:val="28"/>
        </w:rPr>
        <w:fldChar w:fldCharType="separate"/>
      </w:r>
      <w:r>
        <w:rPr>
          <w:rFonts w:hint="eastAsia" w:ascii="Times New Roman" w:hAnsi="Times New Roman" w:eastAsia="黑体"/>
          <w:sz w:val="28"/>
          <w:szCs w:val="28"/>
        </w:rPr>
        <w:t>13</w:t>
      </w:r>
      <w:r>
        <w:rPr>
          <w:rFonts w:hint="eastAsia" w:ascii="Times New Roman" w:hAnsi="Times New Roman" w:eastAsia="黑体"/>
          <w:sz w:val="28"/>
          <w:szCs w:val="28"/>
        </w:rPr>
        <w:fldChar w:fldCharType="end"/>
      </w:r>
      <w:r>
        <w:rPr>
          <w:rFonts w:hint="eastAsia" w:ascii="Times New Roman" w:hAnsi="Times New Roman" w:eastAsia="黑体"/>
          <w:sz w:val="28"/>
          <w:szCs w:val="28"/>
        </w:rPr>
        <w:fldChar w:fldCharType="end"/>
      </w:r>
    </w:p>
    <w:p>
      <w:pPr>
        <w:pStyle w:val="10"/>
        <w:tabs>
          <w:tab w:val="right" w:leader="dot" w:pos="8732"/>
        </w:tabs>
        <w:spacing w:line="560" w:lineRule="exact"/>
        <w:rPr>
          <w:rFonts w:ascii="Times New Roman" w:hAnsi="Times New Roman"/>
          <w:sz w:val="28"/>
          <w:szCs w:val="28"/>
        </w:rPr>
      </w:pPr>
      <w:r>
        <w:fldChar w:fldCharType="begin"/>
      </w:r>
      <w:r>
        <w:instrText xml:space="preserve"> HYPERLINK \l "_Toc19335" </w:instrText>
      </w:r>
      <w:r>
        <w:fldChar w:fldCharType="separate"/>
      </w:r>
      <w:r>
        <w:rPr>
          <w:rFonts w:hint="eastAsia" w:ascii="Times New Roman" w:hAnsi="Times New Roman" w:eastAsia="黑体"/>
          <w:sz w:val="28"/>
          <w:szCs w:val="28"/>
        </w:rPr>
        <w:t>第三节  发展目标</w:t>
      </w:r>
      <w:r>
        <w:rPr>
          <w:rFonts w:hint="eastAsia" w:ascii="Times New Roman" w:hAnsi="Times New Roman" w:eastAsia="黑体"/>
          <w:sz w:val="28"/>
          <w:szCs w:val="28"/>
        </w:rPr>
        <w:tab/>
      </w:r>
      <w:r>
        <w:rPr>
          <w:rFonts w:hint="eastAsia" w:ascii="Times New Roman" w:hAnsi="Times New Roman" w:eastAsia="黑体"/>
          <w:sz w:val="28"/>
          <w:szCs w:val="28"/>
        </w:rPr>
        <w:fldChar w:fldCharType="begin"/>
      </w:r>
      <w:r>
        <w:rPr>
          <w:rFonts w:hint="eastAsia" w:ascii="Times New Roman" w:hAnsi="Times New Roman" w:eastAsia="黑体"/>
          <w:sz w:val="28"/>
          <w:szCs w:val="28"/>
        </w:rPr>
        <w:instrText xml:space="preserve"> PAGEREF _Toc19335 </w:instrText>
      </w:r>
      <w:r>
        <w:rPr>
          <w:rFonts w:hint="eastAsia" w:ascii="Times New Roman" w:hAnsi="Times New Roman" w:eastAsia="黑体"/>
          <w:sz w:val="28"/>
          <w:szCs w:val="28"/>
        </w:rPr>
        <w:fldChar w:fldCharType="separate"/>
      </w:r>
      <w:r>
        <w:rPr>
          <w:rFonts w:hint="eastAsia" w:ascii="Times New Roman" w:hAnsi="Times New Roman" w:eastAsia="黑体"/>
          <w:sz w:val="28"/>
          <w:szCs w:val="28"/>
        </w:rPr>
        <w:t>15</w:t>
      </w:r>
      <w:r>
        <w:rPr>
          <w:rFonts w:hint="eastAsia" w:ascii="Times New Roman" w:hAnsi="Times New Roman" w:eastAsia="黑体"/>
          <w:sz w:val="28"/>
          <w:szCs w:val="28"/>
        </w:rPr>
        <w:fldChar w:fldCharType="end"/>
      </w:r>
      <w:r>
        <w:rPr>
          <w:rFonts w:hint="eastAsia" w:ascii="Times New Roman" w:hAnsi="Times New Roman" w:eastAsia="黑体"/>
          <w:sz w:val="28"/>
          <w:szCs w:val="28"/>
        </w:rPr>
        <w:fldChar w:fldCharType="end"/>
      </w:r>
    </w:p>
    <w:p>
      <w:pPr>
        <w:pStyle w:val="2"/>
        <w:tabs>
          <w:tab w:val="right" w:leader="dot" w:pos="8732"/>
        </w:tabs>
        <w:spacing w:line="560" w:lineRule="exact"/>
        <w:ind w:left="0" w:leftChars="0"/>
        <w:rPr>
          <w:rFonts w:ascii="Times New Roman" w:hAnsi="Times New Roman"/>
          <w:sz w:val="28"/>
          <w:szCs w:val="28"/>
        </w:rPr>
      </w:pPr>
      <w:r>
        <w:fldChar w:fldCharType="begin"/>
      </w:r>
      <w:r>
        <w:instrText xml:space="preserve"> HYPERLINK \l "_Toc28230" </w:instrText>
      </w:r>
      <w:r>
        <w:fldChar w:fldCharType="separate"/>
      </w:r>
      <w:r>
        <w:rPr>
          <w:rFonts w:hint="eastAsia" w:ascii="Times New Roman" w:hAnsi="Times New Roman" w:eastAsia="方正小标宋_GBK"/>
          <w:sz w:val="28"/>
          <w:szCs w:val="28"/>
        </w:rPr>
        <w:t xml:space="preserve">第三篇   </w:t>
      </w:r>
      <w:r>
        <w:rPr>
          <w:rFonts w:hint="eastAsia" w:ascii="Times New Roman" w:hAnsi="Times New Roman" w:eastAsia="方正小标宋_GBK"/>
          <w:spacing w:val="-11"/>
          <w:sz w:val="28"/>
          <w:szCs w:val="28"/>
        </w:rPr>
        <w:t>实施三大振兴，坚持两大战略，绘就富裕和谐美丽龙胜新篇章</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_Toc28230 </w:instrText>
      </w:r>
      <w:r>
        <w:rPr>
          <w:rFonts w:ascii="Times New Roman" w:hAnsi="Times New Roman"/>
          <w:sz w:val="28"/>
          <w:szCs w:val="28"/>
        </w:rPr>
        <w:fldChar w:fldCharType="separate"/>
      </w:r>
      <w:r>
        <w:rPr>
          <w:rFonts w:ascii="Times New Roman" w:hAnsi="Times New Roman"/>
          <w:sz w:val="28"/>
          <w:szCs w:val="28"/>
        </w:rPr>
        <w:t>21</w:t>
      </w:r>
      <w:r>
        <w:rPr>
          <w:rFonts w:ascii="Times New Roman" w:hAnsi="Times New Roman"/>
          <w:sz w:val="28"/>
          <w:szCs w:val="28"/>
        </w:rPr>
        <w:fldChar w:fldCharType="end"/>
      </w:r>
      <w:r>
        <w:rPr>
          <w:rFonts w:ascii="Times New Roman" w:hAnsi="Times New Roman"/>
          <w:sz w:val="28"/>
          <w:szCs w:val="28"/>
        </w:rPr>
        <w:fldChar w:fldCharType="end"/>
      </w:r>
    </w:p>
    <w:p>
      <w:pPr>
        <w:pStyle w:val="2"/>
        <w:tabs>
          <w:tab w:val="right" w:leader="dot" w:pos="8732"/>
        </w:tabs>
        <w:spacing w:line="560" w:lineRule="exact"/>
        <w:rPr>
          <w:rFonts w:ascii="Times New Roman" w:hAnsi="Times New Roman" w:eastAsia="黑体"/>
          <w:sz w:val="28"/>
          <w:szCs w:val="28"/>
        </w:rPr>
      </w:pPr>
      <w:r>
        <w:fldChar w:fldCharType="begin"/>
      </w:r>
      <w:r>
        <w:instrText xml:space="preserve"> HYPERLINK \l "_Toc16102" </w:instrText>
      </w:r>
      <w:r>
        <w:fldChar w:fldCharType="separate"/>
      </w:r>
      <w:r>
        <w:rPr>
          <w:rFonts w:hint="eastAsia" w:ascii="Times New Roman" w:hAnsi="Times New Roman" w:eastAsia="黑体"/>
          <w:sz w:val="28"/>
          <w:szCs w:val="28"/>
        </w:rPr>
        <w:t>第四章  着力工业振兴，确保规模企业提质增效</w:t>
      </w:r>
      <w:r>
        <w:rPr>
          <w:rFonts w:hint="eastAsia" w:ascii="Times New Roman" w:hAnsi="Times New Roman" w:eastAsia="黑体"/>
          <w:sz w:val="28"/>
          <w:szCs w:val="28"/>
        </w:rPr>
        <w:tab/>
      </w:r>
      <w:r>
        <w:rPr>
          <w:rFonts w:hint="eastAsia" w:ascii="Times New Roman" w:hAnsi="Times New Roman" w:eastAsia="黑体"/>
          <w:sz w:val="28"/>
          <w:szCs w:val="28"/>
        </w:rPr>
        <w:fldChar w:fldCharType="begin"/>
      </w:r>
      <w:r>
        <w:rPr>
          <w:rFonts w:hint="eastAsia" w:ascii="Times New Roman" w:hAnsi="Times New Roman" w:eastAsia="黑体"/>
          <w:sz w:val="28"/>
          <w:szCs w:val="28"/>
        </w:rPr>
        <w:instrText xml:space="preserve"> PAGEREF _Toc16102 </w:instrText>
      </w:r>
      <w:r>
        <w:rPr>
          <w:rFonts w:hint="eastAsia" w:ascii="Times New Roman" w:hAnsi="Times New Roman" w:eastAsia="黑体"/>
          <w:sz w:val="28"/>
          <w:szCs w:val="28"/>
        </w:rPr>
        <w:fldChar w:fldCharType="separate"/>
      </w:r>
      <w:r>
        <w:rPr>
          <w:rFonts w:hint="eastAsia" w:ascii="Times New Roman" w:hAnsi="Times New Roman" w:eastAsia="黑体"/>
          <w:sz w:val="28"/>
          <w:szCs w:val="28"/>
        </w:rPr>
        <w:t>21</w:t>
      </w:r>
      <w:r>
        <w:rPr>
          <w:rFonts w:hint="eastAsia" w:ascii="Times New Roman" w:hAnsi="Times New Roman" w:eastAsia="黑体"/>
          <w:sz w:val="28"/>
          <w:szCs w:val="28"/>
        </w:rPr>
        <w:fldChar w:fldCharType="end"/>
      </w:r>
      <w:r>
        <w:rPr>
          <w:rFonts w:hint="eastAsia" w:ascii="Times New Roman" w:hAnsi="Times New Roman" w:eastAsia="黑体"/>
          <w:sz w:val="28"/>
          <w:szCs w:val="28"/>
        </w:rPr>
        <w:fldChar w:fldCharType="end"/>
      </w:r>
    </w:p>
    <w:p>
      <w:pPr>
        <w:pStyle w:val="10"/>
        <w:tabs>
          <w:tab w:val="right" w:leader="dot" w:pos="8732"/>
        </w:tabs>
        <w:spacing w:line="560" w:lineRule="exact"/>
        <w:rPr>
          <w:rFonts w:ascii="Times New Roman" w:hAnsi="Times New Roman" w:eastAsia="黑体"/>
          <w:sz w:val="28"/>
          <w:szCs w:val="28"/>
        </w:rPr>
      </w:pPr>
      <w:r>
        <w:fldChar w:fldCharType="begin"/>
      </w:r>
      <w:r>
        <w:instrText xml:space="preserve"> HYPERLINK \l "_Toc6051" </w:instrText>
      </w:r>
      <w:r>
        <w:fldChar w:fldCharType="separate"/>
      </w:r>
      <w:r>
        <w:rPr>
          <w:rFonts w:hint="eastAsia" w:ascii="Times New Roman" w:hAnsi="Times New Roman" w:eastAsia="黑体"/>
          <w:sz w:val="28"/>
          <w:szCs w:val="28"/>
        </w:rPr>
        <w:t>第一节  优化工业发展园区</w:t>
      </w:r>
      <w:r>
        <w:rPr>
          <w:rFonts w:hint="eastAsia" w:ascii="Times New Roman" w:hAnsi="Times New Roman" w:eastAsia="黑体"/>
          <w:sz w:val="28"/>
          <w:szCs w:val="28"/>
        </w:rPr>
        <w:tab/>
      </w:r>
      <w:r>
        <w:rPr>
          <w:rFonts w:hint="eastAsia" w:ascii="Times New Roman" w:hAnsi="Times New Roman" w:eastAsia="黑体"/>
          <w:sz w:val="28"/>
          <w:szCs w:val="28"/>
        </w:rPr>
        <w:fldChar w:fldCharType="begin"/>
      </w:r>
      <w:r>
        <w:rPr>
          <w:rFonts w:hint="eastAsia" w:ascii="Times New Roman" w:hAnsi="Times New Roman" w:eastAsia="黑体"/>
          <w:sz w:val="28"/>
          <w:szCs w:val="28"/>
        </w:rPr>
        <w:instrText xml:space="preserve"> PAGEREF _Toc6051 </w:instrText>
      </w:r>
      <w:r>
        <w:rPr>
          <w:rFonts w:hint="eastAsia" w:ascii="Times New Roman" w:hAnsi="Times New Roman" w:eastAsia="黑体"/>
          <w:sz w:val="28"/>
          <w:szCs w:val="28"/>
        </w:rPr>
        <w:fldChar w:fldCharType="separate"/>
      </w:r>
      <w:r>
        <w:rPr>
          <w:rFonts w:hint="eastAsia" w:ascii="Times New Roman" w:hAnsi="Times New Roman" w:eastAsia="黑体"/>
          <w:sz w:val="28"/>
          <w:szCs w:val="28"/>
        </w:rPr>
        <w:t>21</w:t>
      </w:r>
      <w:r>
        <w:rPr>
          <w:rFonts w:hint="eastAsia" w:ascii="Times New Roman" w:hAnsi="Times New Roman" w:eastAsia="黑体"/>
          <w:sz w:val="28"/>
          <w:szCs w:val="28"/>
        </w:rPr>
        <w:fldChar w:fldCharType="end"/>
      </w:r>
      <w:r>
        <w:rPr>
          <w:rFonts w:hint="eastAsia" w:ascii="Times New Roman" w:hAnsi="Times New Roman" w:eastAsia="黑体"/>
          <w:sz w:val="28"/>
          <w:szCs w:val="28"/>
        </w:rPr>
        <w:fldChar w:fldCharType="end"/>
      </w:r>
    </w:p>
    <w:p>
      <w:pPr>
        <w:pStyle w:val="10"/>
        <w:tabs>
          <w:tab w:val="right" w:leader="dot" w:pos="8732"/>
        </w:tabs>
        <w:spacing w:line="560" w:lineRule="exact"/>
        <w:rPr>
          <w:rFonts w:ascii="Times New Roman" w:hAnsi="Times New Roman" w:eastAsia="黑体"/>
          <w:sz w:val="28"/>
          <w:szCs w:val="28"/>
        </w:rPr>
      </w:pPr>
      <w:r>
        <w:fldChar w:fldCharType="begin"/>
      </w:r>
      <w:r>
        <w:instrText xml:space="preserve"> HYPERLINK \l "_Toc3586" </w:instrText>
      </w:r>
      <w:r>
        <w:fldChar w:fldCharType="separate"/>
      </w:r>
      <w:r>
        <w:rPr>
          <w:rFonts w:hint="eastAsia" w:ascii="Times New Roman" w:hAnsi="Times New Roman" w:eastAsia="黑体"/>
          <w:sz w:val="28"/>
          <w:szCs w:val="28"/>
        </w:rPr>
        <w:t>第二节  实施特色产业项目</w:t>
      </w:r>
      <w:r>
        <w:rPr>
          <w:rFonts w:hint="eastAsia" w:ascii="Times New Roman" w:hAnsi="Times New Roman" w:eastAsia="黑体"/>
          <w:sz w:val="28"/>
          <w:szCs w:val="28"/>
        </w:rPr>
        <w:tab/>
      </w:r>
      <w:r>
        <w:rPr>
          <w:rFonts w:hint="eastAsia" w:ascii="Times New Roman" w:hAnsi="Times New Roman" w:eastAsia="黑体"/>
          <w:sz w:val="28"/>
          <w:szCs w:val="28"/>
        </w:rPr>
        <w:fldChar w:fldCharType="begin"/>
      </w:r>
      <w:r>
        <w:rPr>
          <w:rFonts w:hint="eastAsia" w:ascii="Times New Roman" w:hAnsi="Times New Roman" w:eastAsia="黑体"/>
          <w:sz w:val="28"/>
          <w:szCs w:val="28"/>
        </w:rPr>
        <w:instrText xml:space="preserve"> PAGEREF _Toc3586 </w:instrText>
      </w:r>
      <w:r>
        <w:rPr>
          <w:rFonts w:hint="eastAsia" w:ascii="Times New Roman" w:hAnsi="Times New Roman" w:eastAsia="黑体"/>
          <w:sz w:val="28"/>
          <w:szCs w:val="28"/>
        </w:rPr>
        <w:fldChar w:fldCharType="separate"/>
      </w:r>
      <w:r>
        <w:rPr>
          <w:rFonts w:hint="eastAsia" w:ascii="Times New Roman" w:hAnsi="Times New Roman" w:eastAsia="黑体"/>
          <w:sz w:val="28"/>
          <w:szCs w:val="28"/>
        </w:rPr>
        <w:t>22</w:t>
      </w:r>
      <w:r>
        <w:rPr>
          <w:rFonts w:hint="eastAsia" w:ascii="Times New Roman" w:hAnsi="Times New Roman" w:eastAsia="黑体"/>
          <w:sz w:val="28"/>
          <w:szCs w:val="28"/>
        </w:rPr>
        <w:fldChar w:fldCharType="end"/>
      </w:r>
      <w:r>
        <w:rPr>
          <w:rFonts w:hint="eastAsia" w:ascii="Times New Roman" w:hAnsi="Times New Roman" w:eastAsia="黑体"/>
          <w:sz w:val="28"/>
          <w:szCs w:val="28"/>
        </w:rPr>
        <w:fldChar w:fldCharType="end"/>
      </w:r>
    </w:p>
    <w:p>
      <w:pPr>
        <w:pStyle w:val="10"/>
        <w:tabs>
          <w:tab w:val="right" w:leader="dot" w:pos="8732"/>
        </w:tabs>
        <w:spacing w:line="560" w:lineRule="exact"/>
        <w:rPr>
          <w:rFonts w:ascii="Times New Roman" w:hAnsi="Times New Roman" w:eastAsia="黑体"/>
          <w:sz w:val="28"/>
          <w:szCs w:val="28"/>
        </w:rPr>
      </w:pPr>
      <w:r>
        <w:fldChar w:fldCharType="begin"/>
      </w:r>
      <w:r>
        <w:instrText xml:space="preserve"> HYPERLINK \l "_Toc18381" </w:instrText>
      </w:r>
      <w:r>
        <w:fldChar w:fldCharType="separate"/>
      </w:r>
      <w:r>
        <w:rPr>
          <w:rFonts w:hint="eastAsia" w:ascii="Times New Roman" w:hAnsi="Times New Roman" w:eastAsia="黑体"/>
          <w:sz w:val="28"/>
          <w:szCs w:val="28"/>
        </w:rPr>
        <w:t>第三节  壮大龙头骨干企业</w:t>
      </w:r>
      <w:r>
        <w:rPr>
          <w:rFonts w:hint="eastAsia" w:ascii="Times New Roman" w:hAnsi="Times New Roman" w:eastAsia="黑体"/>
          <w:sz w:val="28"/>
          <w:szCs w:val="28"/>
        </w:rPr>
        <w:tab/>
      </w:r>
      <w:r>
        <w:rPr>
          <w:rFonts w:hint="eastAsia" w:ascii="Times New Roman" w:hAnsi="Times New Roman" w:eastAsia="黑体"/>
          <w:sz w:val="28"/>
          <w:szCs w:val="28"/>
        </w:rPr>
        <w:fldChar w:fldCharType="begin"/>
      </w:r>
      <w:r>
        <w:rPr>
          <w:rFonts w:hint="eastAsia" w:ascii="Times New Roman" w:hAnsi="Times New Roman" w:eastAsia="黑体"/>
          <w:sz w:val="28"/>
          <w:szCs w:val="28"/>
        </w:rPr>
        <w:instrText xml:space="preserve"> PAGEREF _Toc18381 </w:instrText>
      </w:r>
      <w:r>
        <w:rPr>
          <w:rFonts w:hint="eastAsia" w:ascii="Times New Roman" w:hAnsi="Times New Roman" w:eastAsia="黑体"/>
          <w:sz w:val="28"/>
          <w:szCs w:val="28"/>
        </w:rPr>
        <w:fldChar w:fldCharType="separate"/>
      </w:r>
      <w:r>
        <w:rPr>
          <w:rFonts w:hint="eastAsia" w:ascii="Times New Roman" w:hAnsi="Times New Roman" w:eastAsia="黑体"/>
          <w:sz w:val="28"/>
          <w:szCs w:val="28"/>
        </w:rPr>
        <w:t>24</w:t>
      </w:r>
      <w:r>
        <w:rPr>
          <w:rFonts w:hint="eastAsia" w:ascii="Times New Roman" w:hAnsi="Times New Roman" w:eastAsia="黑体"/>
          <w:sz w:val="28"/>
          <w:szCs w:val="28"/>
        </w:rPr>
        <w:fldChar w:fldCharType="end"/>
      </w:r>
      <w:r>
        <w:rPr>
          <w:rFonts w:hint="eastAsia" w:ascii="Times New Roman" w:hAnsi="Times New Roman" w:eastAsia="黑体"/>
          <w:sz w:val="28"/>
          <w:szCs w:val="28"/>
        </w:rPr>
        <w:fldChar w:fldCharType="end"/>
      </w:r>
    </w:p>
    <w:p>
      <w:pPr>
        <w:pStyle w:val="10"/>
        <w:tabs>
          <w:tab w:val="right" w:leader="dot" w:pos="8732"/>
        </w:tabs>
        <w:spacing w:line="560" w:lineRule="exact"/>
        <w:rPr>
          <w:rFonts w:ascii="Times New Roman" w:hAnsi="Times New Roman" w:eastAsia="黑体"/>
          <w:sz w:val="28"/>
          <w:szCs w:val="28"/>
        </w:rPr>
      </w:pPr>
      <w:r>
        <w:fldChar w:fldCharType="begin"/>
      </w:r>
      <w:r>
        <w:instrText xml:space="preserve"> HYPERLINK \l "_Toc10149" </w:instrText>
      </w:r>
      <w:r>
        <w:fldChar w:fldCharType="separate"/>
      </w:r>
      <w:r>
        <w:rPr>
          <w:rFonts w:hint="eastAsia" w:ascii="Times New Roman" w:hAnsi="Times New Roman" w:eastAsia="黑体"/>
          <w:sz w:val="28"/>
          <w:szCs w:val="28"/>
        </w:rPr>
        <w:t>第四节  信息数字设施建设</w:t>
      </w:r>
      <w:r>
        <w:rPr>
          <w:rFonts w:hint="eastAsia" w:ascii="Times New Roman" w:hAnsi="Times New Roman" w:eastAsia="黑体"/>
          <w:sz w:val="28"/>
          <w:szCs w:val="28"/>
        </w:rPr>
        <w:tab/>
      </w:r>
      <w:r>
        <w:rPr>
          <w:rFonts w:hint="eastAsia" w:ascii="Times New Roman" w:hAnsi="Times New Roman" w:eastAsia="黑体"/>
          <w:sz w:val="28"/>
          <w:szCs w:val="28"/>
        </w:rPr>
        <w:fldChar w:fldCharType="begin"/>
      </w:r>
      <w:r>
        <w:rPr>
          <w:rFonts w:hint="eastAsia" w:ascii="Times New Roman" w:hAnsi="Times New Roman" w:eastAsia="黑体"/>
          <w:sz w:val="28"/>
          <w:szCs w:val="28"/>
        </w:rPr>
        <w:instrText xml:space="preserve"> PAGEREF _Toc10149 </w:instrText>
      </w:r>
      <w:r>
        <w:rPr>
          <w:rFonts w:hint="eastAsia" w:ascii="Times New Roman" w:hAnsi="Times New Roman" w:eastAsia="黑体"/>
          <w:sz w:val="28"/>
          <w:szCs w:val="28"/>
        </w:rPr>
        <w:fldChar w:fldCharType="separate"/>
      </w:r>
      <w:r>
        <w:rPr>
          <w:rFonts w:hint="eastAsia" w:ascii="Times New Roman" w:hAnsi="Times New Roman" w:eastAsia="黑体"/>
          <w:sz w:val="28"/>
          <w:szCs w:val="28"/>
        </w:rPr>
        <w:t>25</w:t>
      </w:r>
      <w:r>
        <w:rPr>
          <w:rFonts w:hint="eastAsia" w:ascii="Times New Roman" w:hAnsi="Times New Roman" w:eastAsia="黑体"/>
          <w:sz w:val="28"/>
          <w:szCs w:val="28"/>
        </w:rPr>
        <w:fldChar w:fldCharType="end"/>
      </w:r>
      <w:r>
        <w:rPr>
          <w:rFonts w:hint="eastAsia" w:ascii="Times New Roman" w:hAnsi="Times New Roman" w:eastAsia="黑体"/>
          <w:sz w:val="28"/>
          <w:szCs w:val="28"/>
        </w:rPr>
        <w:fldChar w:fldCharType="end"/>
      </w:r>
    </w:p>
    <w:p>
      <w:pPr>
        <w:pStyle w:val="10"/>
        <w:tabs>
          <w:tab w:val="right" w:leader="dot" w:pos="8732"/>
        </w:tabs>
        <w:spacing w:line="560" w:lineRule="exact"/>
        <w:rPr>
          <w:rFonts w:ascii="Times New Roman" w:hAnsi="Times New Roman" w:eastAsia="黑体"/>
          <w:sz w:val="28"/>
          <w:szCs w:val="28"/>
        </w:rPr>
      </w:pPr>
      <w:r>
        <w:fldChar w:fldCharType="begin"/>
      </w:r>
      <w:r>
        <w:instrText xml:space="preserve"> HYPERLINK \l "_Toc29863" </w:instrText>
      </w:r>
      <w:r>
        <w:fldChar w:fldCharType="separate"/>
      </w:r>
      <w:r>
        <w:rPr>
          <w:rFonts w:hint="eastAsia" w:ascii="Times New Roman" w:hAnsi="Times New Roman" w:eastAsia="黑体"/>
          <w:sz w:val="28"/>
          <w:szCs w:val="28"/>
        </w:rPr>
        <w:t>第五节  要素和机制保障</w:t>
      </w:r>
      <w:r>
        <w:rPr>
          <w:rFonts w:hint="eastAsia" w:ascii="Times New Roman" w:hAnsi="Times New Roman" w:eastAsia="黑体"/>
          <w:sz w:val="28"/>
          <w:szCs w:val="28"/>
        </w:rPr>
        <w:tab/>
      </w:r>
      <w:r>
        <w:rPr>
          <w:rFonts w:hint="eastAsia" w:ascii="Times New Roman" w:hAnsi="Times New Roman" w:eastAsia="黑体"/>
          <w:sz w:val="28"/>
          <w:szCs w:val="28"/>
        </w:rPr>
        <w:fldChar w:fldCharType="begin"/>
      </w:r>
      <w:r>
        <w:rPr>
          <w:rFonts w:hint="eastAsia" w:ascii="Times New Roman" w:hAnsi="Times New Roman" w:eastAsia="黑体"/>
          <w:sz w:val="28"/>
          <w:szCs w:val="28"/>
        </w:rPr>
        <w:instrText xml:space="preserve"> PAGEREF _Toc29863 </w:instrText>
      </w:r>
      <w:r>
        <w:rPr>
          <w:rFonts w:hint="eastAsia" w:ascii="Times New Roman" w:hAnsi="Times New Roman" w:eastAsia="黑体"/>
          <w:sz w:val="28"/>
          <w:szCs w:val="28"/>
        </w:rPr>
        <w:fldChar w:fldCharType="separate"/>
      </w:r>
      <w:r>
        <w:rPr>
          <w:rFonts w:hint="eastAsia" w:ascii="Times New Roman" w:hAnsi="Times New Roman" w:eastAsia="黑体"/>
          <w:sz w:val="28"/>
          <w:szCs w:val="28"/>
        </w:rPr>
        <w:t>25</w:t>
      </w:r>
      <w:r>
        <w:rPr>
          <w:rFonts w:hint="eastAsia" w:ascii="Times New Roman" w:hAnsi="Times New Roman" w:eastAsia="黑体"/>
          <w:sz w:val="28"/>
          <w:szCs w:val="28"/>
        </w:rPr>
        <w:fldChar w:fldCharType="end"/>
      </w:r>
      <w:r>
        <w:rPr>
          <w:rFonts w:hint="eastAsia" w:ascii="Times New Roman" w:hAnsi="Times New Roman" w:eastAsia="黑体"/>
          <w:sz w:val="28"/>
          <w:szCs w:val="28"/>
        </w:rPr>
        <w:fldChar w:fldCharType="end"/>
      </w:r>
    </w:p>
    <w:p>
      <w:pPr>
        <w:pStyle w:val="2"/>
        <w:tabs>
          <w:tab w:val="right" w:leader="dot" w:pos="8732"/>
        </w:tabs>
        <w:spacing w:line="560" w:lineRule="exact"/>
        <w:rPr>
          <w:rFonts w:ascii="Times New Roman" w:hAnsi="Times New Roman" w:eastAsia="黑体"/>
          <w:sz w:val="28"/>
          <w:szCs w:val="28"/>
        </w:rPr>
      </w:pPr>
      <w:r>
        <w:fldChar w:fldCharType="begin"/>
      </w:r>
      <w:r>
        <w:instrText xml:space="preserve"> HYPERLINK \l "_Toc19314" </w:instrText>
      </w:r>
      <w:r>
        <w:fldChar w:fldCharType="separate"/>
      </w:r>
      <w:r>
        <w:rPr>
          <w:rFonts w:hint="eastAsia" w:ascii="Times New Roman" w:hAnsi="Times New Roman" w:eastAsia="黑体"/>
          <w:sz w:val="28"/>
          <w:szCs w:val="28"/>
        </w:rPr>
        <w:t>第五章  实施乡村振兴，巩固拓展脱贫攻坚成果</w:t>
      </w:r>
      <w:r>
        <w:rPr>
          <w:rFonts w:hint="eastAsia" w:ascii="Times New Roman" w:hAnsi="Times New Roman" w:eastAsia="黑体"/>
          <w:sz w:val="28"/>
          <w:szCs w:val="28"/>
        </w:rPr>
        <w:tab/>
      </w:r>
      <w:r>
        <w:rPr>
          <w:rFonts w:hint="eastAsia" w:ascii="Times New Roman" w:hAnsi="Times New Roman" w:eastAsia="黑体"/>
          <w:sz w:val="28"/>
          <w:szCs w:val="28"/>
        </w:rPr>
        <w:fldChar w:fldCharType="begin"/>
      </w:r>
      <w:r>
        <w:rPr>
          <w:rFonts w:hint="eastAsia" w:ascii="Times New Roman" w:hAnsi="Times New Roman" w:eastAsia="黑体"/>
          <w:sz w:val="28"/>
          <w:szCs w:val="28"/>
        </w:rPr>
        <w:instrText xml:space="preserve"> PAGEREF _Toc19314 </w:instrText>
      </w:r>
      <w:r>
        <w:rPr>
          <w:rFonts w:hint="eastAsia" w:ascii="Times New Roman" w:hAnsi="Times New Roman" w:eastAsia="黑体"/>
          <w:sz w:val="28"/>
          <w:szCs w:val="28"/>
        </w:rPr>
        <w:fldChar w:fldCharType="separate"/>
      </w:r>
      <w:r>
        <w:rPr>
          <w:rFonts w:hint="eastAsia" w:ascii="Times New Roman" w:hAnsi="Times New Roman" w:eastAsia="黑体"/>
          <w:sz w:val="28"/>
          <w:szCs w:val="28"/>
        </w:rPr>
        <w:t>26</w:t>
      </w:r>
      <w:r>
        <w:rPr>
          <w:rFonts w:hint="eastAsia" w:ascii="Times New Roman" w:hAnsi="Times New Roman" w:eastAsia="黑体"/>
          <w:sz w:val="28"/>
          <w:szCs w:val="28"/>
        </w:rPr>
        <w:fldChar w:fldCharType="end"/>
      </w:r>
      <w:r>
        <w:rPr>
          <w:rFonts w:hint="eastAsia" w:ascii="Times New Roman" w:hAnsi="Times New Roman" w:eastAsia="黑体"/>
          <w:sz w:val="28"/>
          <w:szCs w:val="28"/>
        </w:rPr>
        <w:fldChar w:fldCharType="end"/>
      </w:r>
    </w:p>
    <w:p>
      <w:pPr>
        <w:pStyle w:val="10"/>
        <w:tabs>
          <w:tab w:val="right" w:leader="dot" w:pos="8732"/>
        </w:tabs>
        <w:spacing w:line="560" w:lineRule="exact"/>
        <w:rPr>
          <w:rFonts w:ascii="Times New Roman" w:hAnsi="Times New Roman" w:eastAsia="黑体"/>
          <w:sz w:val="28"/>
          <w:szCs w:val="28"/>
        </w:rPr>
      </w:pPr>
      <w:r>
        <w:fldChar w:fldCharType="begin"/>
      </w:r>
      <w:r>
        <w:instrText xml:space="preserve"> HYPERLINK \l "_Toc17227" </w:instrText>
      </w:r>
      <w:r>
        <w:fldChar w:fldCharType="separate"/>
      </w:r>
      <w:r>
        <w:rPr>
          <w:rFonts w:hint="eastAsia" w:ascii="Times New Roman" w:hAnsi="Times New Roman" w:eastAsia="黑体"/>
          <w:sz w:val="28"/>
          <w:szCs w:val="28"/>
        </w:rPr>
        <w:t>第一节  提高特色农业发展质量效益和竞争力</w:t>
      </w:r>
      <w:r>
        <w:rPr>
          <w:rFonts w:hint="eastAsia" w:ascii="Times New Roman" w:hAnsi="Times New Roman" w:eastAsia="黑体"/>
          <w:sz w:val="28"/>
          <w:szCs w:val="28"/>
        </w:rPr>
        <w:tab/>
      </w:r>
      <w:r>
        <w:rPr>
          <w:rFonts w:hint="eastAsia" w:ascii="Times New Roman" w:hAnsi="Times New Roman" w:eastAsia="黑体"/>
          <w:sz w:val="28"/>
          <w:szCs w:val="28"/>
        </w:rPr>
        <w:fldChar w:fldCharType="begin"/>
      </w:r>
      <w:r>
        <w:rPr>
          <w:rFonts w:hint="eastAsia" w:ascii="Times New Roman" w:hAnsi="Times New Roman" w:eastAsia="黑体"/>
          <w:sz w:val="28"/>
          <w:szCs w:val="28"/>
        </w:rPr>
        <w:instrText xml:space="preserve"> PAGEREF _Toc17227 </w:instrText>
      </w:r>
      <w:r>
        <w:rPr>
          <w:rFonts w:hint="eastAsia" w:ascii="Times New Roman" w:hAnsi="Times New Roman" w:eastAsia="黑体"/>
          <w:sz w:val="28"/>
          <w:szCs w:val="28"/>
        </w:rPr>
        <w:fldChar w:fldCharType="separate"/>
      </w:r>
      <w:r>
        <w:rPr>
          <w:rFonts w:hint="eastAsia" w:ascii="Times New Roman" w:hAnsi="Times New Roman" w:eastAsia="黑体"/>
          <w:sz w:val="28"/>
          <w:szCs w:val="28"/>
        </w:rPr>
        <w:t>27</w:t>
      </w:r>
      <w:r>
        <w:rPr>
          <w:rFonts w:hint="eastAsia" w:ascii="Times New Roman" w:hAnsi="Times New Roman" w:eastAsia="黑体"/>
          <w:sz w:val="28"/>
          <w:szCs w:val="28"/>
        </w:rPr>
        <w:fldChar w:fldCharType="end"/>
      </w:r>
      <w:r>
        <w:rPr>
          <w:rFonts w:hint="eastAsia" w:ascii="Times New Roman" w:hAnsi="Times New Roman" w:eastAsia="黑体"/>
          <w:sz w:val="28"/>
          <w:szCs w:val="28"/>
        </w:rPr>
        <w:fldChar w:fldCharType="end"/>
      </w:r>
    </w:p>
    <w:p>
      <w:pPr>
        <w:pStyle w:val="10"/>
        <w:tabs>
          <w:tab w:val="right" w:leader="dot" w:pos="8732"/>
        </w:tabs>
        <w:spacing w:line="560" w:lineRule="exact"/>
        <w:rPr>
          <w:rFonts w:ascii="Times New Roman" w:hAnsi="Times New Roman" w:eastAsia="黑体"/>
          <w:sz w:val="28"/>
          <w:szCs w:val="28"/>
        </w:rPr>
      </w:pPr>
      <w:r>
        <w:fldChar w:fldCharType="begin"/>
      </w:r>
      <w:r>
        <w:instrText xml:space="preserve"> HYPERLINK \l "_Toc1536" </w:instrText>
      </w:r>
      <w:r>
        <w:fldChar w:fldCharType="separate"/>
      </w:r>
      <w:r>
        <w:rPr>
          <w:rFonts w:hint="eastAsia" w:ascii="Times New Roman" w:hAnsi="Times New Roman" w:eastAsia="黑体"/>
          <w:sz w:val="28"/>
          <w:szCs w:val="28"/>
        </w:rPr>
        <w:t>第二节  实施乡村建设行动</w:t>
      </w:r>
      <w:r>
        <w:rPr>
          <w:rFonts w:hint="eastAsia" w:ascii="Times New Roman" w:hAnsi="Times New Roman" w:eastAsia="黑体"/>
          <w:sz w:val="28"/>
          <w:szCs w:val="28"/>
        </w:rPr>
        <w:tab/>
      </w:r>
      <w:r>
        <w:rPr>
          <w:rFonts w:hint="eastAsia" w:ascii="Times New Roman" w:hAnsi="Times New Roman" w:eastAsia="黑体"/>
          <w:sz w:val="28"/>
          <w:szCs w:val="28"/>
        </w:rPr>
        <w:fldChar w:fldCharType="begin"/>
      </w:r>
      <w:r>
        <w:rPr>
          <w:rFonts w:hint="eastAsia" w:ascii="Times New Roman" w:hAnsi="Times New Roman" w:eastAsia="黑体"/>
          <w:sz w:val="28"/>
          <w:szCs w:val="28"/>
        </w:rPr>
        <w:instrText xml:space="preserve"> PAGEREF _Toc1536 </w:instrText>
      </w:r>
      <w:r>
        <w:rPr>
          <w:rFonts w:hint="eastAsia" w:ascii="Times New Roman" w:hAnsi="Times New Roman" w:eastAsia="黑体"/>
          <w:sz w:val="28"/>
          <w:szCs w:val="28"/>
        </w:rPr>
        <w:fldChar w:fldCharType="separate"/>
      </w:r>
      <w:r>
        <w:rPr>
          <w:rFonts w:hint="eastAsia" w:ascii="Times New Roman" w:hAnsi="Times New Roman" w:eastAsia="黑体"/>
          <w:sz w:val="28"/>
          <w:szCs w:val="28"/>
        </w:rPr>
        <w:t>34</w:t>
      </w:r>
      <w:r>
        <w:rPr>
          <w:rFonts w:hint="eastAsia" w:ascii="Times New Roman" w:hAnsi="Times New Roman" w:eastAsia="黑体"/>
          <w:sz w:val="28"/>
          <w:szCs w:val="28"/>
        </w:rPr>
        <w:fldChar w:fldCharType="end"/>
      </w:r>
      <w:r>
        <w:rPr>
          <w:rFonts w:hint="eastAsia" w:ascii="Times New Roman" w:hAnsi="Times New Roman" w:eastAsia="黑体"/>
          <w:sz w:val="28"/>
          <w:szCs w:val="28"/>
        </w:rPr>
        <w:fldChar w:fldCharType="end"/>
      </w:r>
    </w:p>
    <w:p>
      <w:pPr>
        <w:pStyle w:val="10"/>
        <w:tabs>
          <w:tab w:val="right" w:leader="dot" w:pos="8732"/>
        </w:tabs>
        <w:spacing w:line="560" w:lineRule="exact"/>
        <w:rPr>
          <w:rFonts w:ascii="Times New Roman" w:hAnsi="Times New Roman" w:eastAsia="黑体"/>
          <w:sz w:val="28"/>
          <w:szCs w:val="28"/>
        </w:rPr>
      </w:pPr>
      <w:r>
        <w:fldChar w:fldCharType="begin"/>
      </w:r>
      <w:r>
        <w:instrText xml:space="preserve"> HYPERLINK \l "_Toc8787" </w:instrText>
      </w:r>
      <w:r>
        <w:fldChar w:fldCharType="separate"/>
      </w:r>
      <w:r>
        <w:rPr>
          <w:rFonts w:hint="eastAsia" w:ascii="Times New Roman" w:hAnsi="Times New Roman" w:eastAsia="黑体"/>
          <w:sz w:val="28"/>
          <w:szCs w:val="28"/>
        </w:rPr>
        <w:t>第三节  健全乡村治理体系</w:t>
      </w:r>
      <w:r>
        <w:rPr>
          <w:rFonts w:hint="eastAsia" w:ascii="Times New Roman" w:hAnsi="Times New Roman" w:eastAsia="黑体"/>
          <w:sz w:val="28"/>
          <w:szCs w:val="28"/>
        </w:rPr>
        <w:tab/>
      </w:r>
      <w:r>
        <w:rPr>
          <w:rFonts w:hint="eastAsia" w:ascii="Times New Roman" w:hAnsi="Times New Roman" w:eastAsia="黑体"/>
          <w:sz w:val="28"/>
          <w:szCs w:val="28"/>
        </w:rPr>
        <w:fldChar w:fldCharType="begin"/>
      </w:r>
      <w:r>
        <w:rPr>
          <w:rFonts w:hint="eastAsia" w:ascii="Times New Roman" w:hAnsi="Times New Roman" w:eastAsia="黑体"/>
          <w:sz w:val="28"/>
          <w:szCs w:val="28"/>
        </w:rPr>
        <w:instrText xml:space="preserve"> PAGEREF _Toc8787 </w:instrText>
      </w:r>
      <w:r>
        <w:rPr>
          <w:rFonts w:hint="eastAsia" w:ascii="Times New Roman" w:hAnsi="Times New Roman" w:eastAsia="黑体"/>
          <w:sz w:val="28"/>
          <w:szCs w:val="28"/>
        </w:rPr>
        <w:fldChar w:fldCharType="separate"/>
      </w:r>
      <w:r>
        <w:rPr>
          <w:rFonts w:hint="eastAsia" w:ascii="Times New Roman" w:hAnsi="Times New Roman" w:eastAsia="黑体"/>
          <w:sz w:val="28"/>
          <w:szCs w:val="28"/>
        </w:rPr>
        <w:t>36</w:t>
      </w:r>
      <w:r>
        <w:rPr>
          <w:rFonts w:hint="eastAsia" w:ascii="Times New Roman" w:hAnsi="Times New Roman" w:eastAsia="黑体"/>
          <w:sz w:val="28"/>
          <w:szCs w:val="28"/>
        </w:rPr>
        <w:fldChar w:fldCharType="end"/>
      </w:r>
      <w:r>
        <w:rPr>
          <w:rFonts w:hint="eastAsia" w:ascii="Times New Roman" w:hAnsi="Times New Roman" w:eastAsia="黑体"/>
          <w:sz w:val="28"/>
          <w:szCs w:val="28"/>
        </w:rPr>
        <w:fldChar w:fldCharType="end"/>
      </w:r>
    </w:p>
    <w:p>
      <w:pPr>
        <w:pStyle w:val="10"/>
        <w:tabs>
          <w:tab w:val="right" w:leader="dot" w:pos="8732"/>
        </w:tabs>
        <w:spacing w:line="560" w:lineRule="exact"/>
        <w:rPr>
          <w:rFonts w:ascii="Times New Roman" w:hAnsi="Times New Roman" w:eastAsia="黑体"/>
          <w:sz w:val="28"/>
          <w:szCs w:val="28"/>
        </w:rPr>
      </w:pPr>
      <w:r>
        <w:fldChar w:fldCharType="begin"/>
      </w:r>
      <w:r>
        <w:instrText xml:space="preserve"> HYPERLINK \l "_Toc13938" </w:instrText>
      </w:r>
      <w:r>
        <w:fldChar w:fldCharType="separate"/>
      </w:r>
      <w:r>
        <w:rPr>
          <w:rFonts w:hint="eastAsia" w:ascii="Times New Roman" w:hAnsi="Times New Roman" w:eastAsia="黑体"/>
          <w:sz w:val="28"/>
          <w:szCs w:val="28"/>
        </w:rPr>
        <w:t>第四节  巩固拓展脱贫攻坚成果</w:t>
      </w:r>
      <w:r>
        <w:rPr>
          <w:rFonts w:hint="eastAsia" w:ascii="Times New Roman" w:hAnsi="Times New Roman" w:eastAsia="黑体"/>
          <w:sz w:val="28"/>
          <w:szCs w:val="28"/>
        </w:rPr>
        <w:tab/>
      </w:r>
      <w:r>
        <w:rPr>
          <w:rFonts w:hint="eastAsia" w:ascii="Times New Roman" w:hAnsi="Times New Roman" w:eastAsia="黑体"/>
          <w:sz w:val="28"/>
          <w:szCs w:val="28"/>
        </w:rPr>
        <w:fldChar w:fldCharType="begin"/>
      </w:r>
      <w:r>
        <w:rPr>
          <w:rFonts w:hint="eastAsia" w:ascii="Times New Roman" w:hAnsi="Times New Roman" w:eastAsia="黑体"/>
          <w:sz w:val="28"/>
          <w:szCs w:val="28"/>
        </w:rPr>
        <w:instrText xml:space="preserve"> PAGEREF _Toc13938 </w:instrText>
      </w:r>
      <w:r>
        <w:rPr>
          <w:rFonts w:hint="eastAsia" w:ascii="Times New Roman" w:hAnsi="Times New Roman" w:eastAsia="黑体"/>
          <w:sz w:val="28"/>
          <w:szCs w:val="28"/>
        </w:rPr>
        <w:fldChar w:fldCharType="separate"/>
      </w:r>
      <w:r>
        <w:rPr>
          <w:rFonts w:hint="eastAsia" w:ascii="Times New Roman" w:hAnsi="Times New Roman" w:eastAsia="黑体"/>
          <w:sz w:val="28"/>
          <w:szCs w:val="28"/>
        </w:rPr>
        <w:t>37</w:t>
      </w:r>
      <w:r>
        <w:rPr>
          <w:rFonts w:hint="eastAsia" w:ascii="Times New Roman" w:hAnsi="Times New Roman" w:eastAsia="黑体"/>
          <w:sz w:val="28"/>
          <w:szCs w:val="28"/>
        </w:rPr>
        <w:fldChar w:fldCharType="end"/>
      </w:r>
      <w:r>
        <w:rPr>
          <w:rFonts w:hint="eastAsia" w:ascii="Times New Roman" w:hAnsi="Times New Roman" w:eastAsia="黑体"/>
          <w:sz w:val="28"/>
          <w:szCs w:val="28"/>
        </w:rPr>
        <w:fldChar w:fldCharType="end"/>
      </w:r>
    </w:p>
    <w:p>
      <w:pPr>
        <w:pStyle w:val="2"/>
        <w:tabs>
          <w:tab w:val="right" w:leader="dot" w:pos="8732"/>
        </w:tabs>
        <w:spacing w:line="560" w:lineRule="exact"/>
        <w:rPr>
          <w:rFonts w:ascii="Times New Roman" w:hAnsi="Times New Roman" w:eastAsia="黑体"/>
          <w:sz w:val="28"/>
          <w:szCs w:val="28"/>
        </w:rPr>
      </w:pPr>
      <w:r>
        <w:fldChar w:fldCharType="begin"/>
      </w:r>
      <w:r>
        <w:instrText xml:space="preserve"> HYPERLINK \l "_Toc15230" </w:instrText>
      </w:r>
      <w:r>
        <w:fldChar w:fldCharType="separate"/>
      </w:r>
      <w:r>
        <w:rPr>
          <w:rFonts w:hint="eastAsia" w:ascii="Times New Roman" w:hAnsi="Times New Roman" w:eastAsia="黑体"/>
          <w:sz w:val="28"/>
          <w:szCs w:val="28"/>
        </w:rPr>
        <w:t>第六章  促进文旅振兴，铸就国际品牌</w:t>
      </w:r>
      <w:r>
        <w:rPr>
          <w:rFonts w:hint="eastAsia" w:ascii="Times New Roman" w:hAnsi="Times New Roman" w:eastAsia="黑体"/>
          <w:sz w:val="28"/>
          <w:szCs w:val="28"/>
        </w:rPr>
        <w:tab/>
      </w:r>
      <w:r>
        <w:rPr>
          <w:rFonts w:hint="eastAsia" w:ascii="Times New Roman" w:hAnsi="Times New Roman" w:eastAsia="黑体"/>
          <w:sz w:val="28"/>
          <w:szCs w:val="28"/>
        </w:rPr>
        <w:fldChar w:fldCharType="begin"/>
      </w:r>
      <w:r>
        <w:rPr>
          <w:rFonts w:hint="eastAsia" w:ascii="Times New Roman" w:hAnsi="Times New Roman" w:eastAsia="黑体"/>
          <w:sz w:val="28"/>
          <w:szCs w:val="28"/>
        </w:rPr>
        <w:instrText xml:space="preserve"> PAGEREF _Toc15230 </w:instrText>
      </w:r>
      <w:r>
        <w:rPr>
          <w:rFonts w:hint="eastAsia" w:ascii="Times New Roman" w:hAnsi="Times New Roman" w:eastAsia="黑体"/>
          <w:sz w:val="28"/>
          <w:szCs w:val="28"/>
        </w:rPr>
        <w:fldChar w:fldCharType="separate"/>
      </w:r>
      <w:r>
        <w:rPr>
          <w:rFonts w:hint="eastAsia" w:ascii="Times New Roman" w:hAnsi="Times New Roman" w:eastAsia="黑体"/>
          <w:sz w:val="28"/>
          <w:szCs w:val="28"/>
        </w:rPr>
        <w:t>38</w:t>
      </w:r>
      <w:r>
        <w:rPr>
          <w:rFonts w:hint="eastAsia" w:ascii="Times New Roman" w:hAnsi="Times New Roman" w:eastAsia="黑体"/>
          <w:sz w:val="28"/>
          <w:szCs w:val="28"/>
        </w:rPr>
        <w:fldChar w:fldCharType="end"/>
      </w:r>
      <w:r>
        <w:rPr>
          <w:rFonts w:hint="eastAsia" w:ascii="Times New Roman" w:hAnsi="Times New Roman" w:eastAsia="黑体"/>
          <w:sz w:val="28"/>
          <w:szCs w:val="28"/>
        </w:rPr>
        <w:fldChar w:fldCharType="end"/>
      </w:r>
    </w:p>
    <w:p>
      <w:pPr>
        <w:pStyle w:val="10"/>
        <w:tabs>
          <w:tab w:val="right" w:leader="dot" w:pos="8732"/>
        </w:tabs>
        <w:spacing w:line="560" w:lineRule="exact"/>
        <w:rPr>
          <w:rFonts w:ascii="Times New Roman" w:hAnsi="Times New Roman" w:eastAsia="黑体"/>
          <w:sz w:val="28"/>
          <w:szCs w:val="28"/>
        </w:rPr>
      </w:pPr>
      <w:r>
        <w:fldChar w:fldCharType="begin"/>
      </w:r>
      <w:r>
        <w:instrText xml:space="preserve"> HYPERLINK \l "_Toc12815" </w:instrText>
      </w:r>
      <w:r>
        <w:fldChar w:fldCharType="separate"/>
      </w:r>
      <w:r>
        <w:rPr>
          <w:rFonts w:hint="eastAsia" w:ascii="Times New Roman" w:hAnsi="Times New Roman" w:eastAsia="黑体"/>
          <w:sz w:val="28"/>
          <w:szCs w:val="28"/>
        </w:rPr>
        <w:t>第一节  推进全域旅游建设</w:t>
      </w:r>
      <w:r>
        <w:rPr>
          <w:rFonts w:hint="eastAsia" w:ascii="Times New Roman" w:hAnsi="Times New Roman" w:eastAsia="黑体"/>
          <w:sz w:val="28"/>
          <w:szCs w:val="28"/>
        </w:rPr>
        <w:tab/>
      </w:r>
      <w:r>
        <w:rPr>
          <w:rFonts w:hint="eastAsia" w:ascii="Times New Roman" w:hAnsi="Times New Roman" w:eastAsia="黑体"/>
          <w:sz w:val="28"/>
          <w:szCs w:val="28"/>
        </w:rPr>
        <w:fldChar w:fldCharType="begin"/>
      </w:r>
      <w:r>
        <w:rPr>
          <w:rFonts w:hint="eastAsia" w:ascii="Times New Roman" w:hAnsi="Times New Roman" w:eastAsia="黑体"/>
          <w:sz w:val="28"/>
          <w:szCs w:val="28"/>
        </w:rPr>
        <w:instrText xml:space="preserve"> PAGEREF _Toc12815 </w:instrText>
      </w:r>
      <w:r>
        <w:rPr>
          <w:rFonts w:hint="eastAsia" w:ascii="Times New Roman" w:hAnsi="Times New Roman" w:eastAsia="黑体"/>
          <w:sz w:val="28"/>
          <w:szCs w:val="28"/>
        </w:rPr>
        <w:fldChar w:fldCharType="separate"/>
      </w:r>
      <w:r>
        <w:rPr>
          <w:rFonts w:hint="eastAsia" w:ascii="Times New Roman" w:hAnsi="Times New Roman" w:eastAsia="黑体"/>
          <w:sz w:val="28"/>
          <w:szCs w:val="28"/>
        </w:rPr>
        <w:t>38</w:t>
      </w:r>
      <w:r>
        <w:rPr>
          <w:rFonts w:hint="eastAsia" w:ascii="Times New Roman" w:hAnsi="Times New Roman" w:eastAsia="黑体"/>
          <w:sz w:val="28"/>
          <w:szCs w:val="28"/>
        </w:rPr>
        <w:fldChar w:fldCharType="end"/>
      </w:r>
      <w:r>
        <w:rPr>
          <w:rFonts w:hint="eastAsia" w:ascii="Times New Roman" w:hAnsi="Times New Roman" w:eastAsia="黑体"/>
          <w:sz w:val="28"/>
          <w:szCs w:val="28"/>
        </w:rPr>
        <w:fldChar w:fldCharType="end"/>
      </w:r>
    </w:p>
    <w:p>
      <w:pPr>
        <w:pStyle w:val="10"/>
        <w:tabs>
          <w:tab w:val="right" w:leader="dot" w:pos="8732"/>
        </w:tabs>
        <w:spacing w:line="560" w:lineRule="exact"/>
        <w:rPr>
          <w:rFonts w:ascii="Times New Roman" w:hAnsi="Times New Roman" w:eastAsia="黑体"/>
          <w:sz w:val="28"/>
          <w:szCs w:val="28"/>
        </w:rPr>
      </w:pPr>
      <w:r>
        <w:fldChar w:fldCharType="begin"/>
      </w:r>
      <w:r>
        <w:instrText xml:space="preserve"> HYPERLINK \l "_Toc8052" </w:instrText>
      </w:r>
      <w:r>
        <w:fldChar w:fldCharType="separate"/>
      </w:r>
      <w:r>
        <w:rPr>
          <w:rFonts w:hint="eastAsia" w:ascii="Times New Roman" w:hAnsi="Times New Roman" w:eastAsia="黑体"/>
          <w:sz w:val="28"/>
          <w:szCs w:val="28"/>
        </w:rPr>
        <w:t>第二节  促进文化事业发展</w:t>
      </w:r>
      <w:r>
        <w:rPr>
          <w:rFonts w:hint="eastAsia" w:ascii="Times New Roman" w:hAnsi="Times New Roman" w:eastAsia="黑体"/>
          <w:sz w:val="28"/>
          <w:szCs w:val="28"/>
        </w:rPr>
        <w:tab/>
      </w:r>
      <w:r>
        <w:rPr>
          <w:rFonts w:hint="eastAsia" w:ascii="Times New Roman" w:hAnsi="Times New Roman" w:eastAsia="黑体"/>
          <w:sz w:val="28"/>
          <w:szCs w:val="28"/>
        </w:rPr>
        <w:fldChar w:fldCharType="begin"/>
      </w:r>
      <w:r>
        <w:rPr>
          <w:rFonts w:hint="eastAsia" w:ascii="Times New Roman" w:hAnsi="Times New Roman" w:eastAsia="黑体"/>
          <w:sz w:val="28"/>
          <w:szCs w:val="28"/>
        </w:rPr>
        <w:instrText xml:space="preserve"> PAGEREF _Toc8052 </w:instrText>
      </w:r>
      <w:r>
        <w:rPr>
          <w:rFonts w:hint="eastAsia" w:ascii="Times New Roman" w:hAnsi="Times New Roman" w:eastAsia="黑体"/>
          <w:sz w:val="28"/>
          <w:szCs w:val="28"/>
        </w:rPr>
        <w:fldChar w:fldCharType="separate"/>
      </w:r>
      <w:r>
        <w:rPr>
          <w:rFonts w:hint="eastAsia" w:ascii="Times New Roman" w:hAnsi="Times New Roman" w:eastAsia="黑体"/>
          <w:sz w:val="28"/>
          <w:szCs w:val="28"/>
        </w:rPr>
        <w:t>42</w:t>
      </w:r>
      <w:r>
        <w:rPr>
          <w:rFonts w:hint="eastAsia" w:ascii="Times New Roman" w:hAnsi="Times New Roman" w:eastAsia="黑体"/>
          <w:sz w:val="28"/>
          <w:szCs w:val="28"/>
        </w:rPr>
        <w:fldChar w:fldCharType="end"/>
      </w:r>
      <w:r>
        <w:rPr>
          <w:rFonts w:hint="eastAsia" w:ascii="Times New Roman" w:hAnsi="Times New Roman" w:eastAsia="黑体"/>
          <w:sz w:val="28"/>
          <w:szCs w:val="28"/>
        </w:rPr>
        <w:fldChar w:fldCharType="end"/>
      </w:r>
    </w:p>
    <w:p>
      <w:pPr>
        <w:pStyle w:val="10"/>
        <w:tabs>
          <w:tab w:val="right" w:leader="dot" w:pos="8732"/>
        </w:tabs>
        <w:spacing w:line="560" w:lineRule="exact"/>
        <w:rPr>
          <w:rFonts w:ascii="Times New Roman" w:hAnsi="Times New Roman" w:eastAsia="黑体"/>
          <w:sz w:val="28"/>
          <w:szCs w:val="28"/>
        </w:rPr>
      </w:pPr>
      <w:r>
        <w:fldChar w:fldCharType="begin"/>
      </w:r>
      <w:r>
        <w:instrText xml:space="preserve"> HYPERLINK \l "_Toc32109" </w:instrText>
      </w:r>
      <w:r>
        <w:fldChar w:fldCharType="separate"/>
      </w:r>
      <w:r>
        <w:rPr>
          <w:rFonts w:hint="eastAsia" w:ascii="Times New Roman" w:hAnsi="Times New Roman" w:eastAsia="黑体"/>
          <w:sz w:val="28"/>
          <w:szCs w:val="28"/>
        </w:rPr>
        <w:t>第三节  加快广电体育事业发展</w:t>
      </w:r>
      <w:r>
        <w:rPr>
          <w:rFonts w:hint="eastAsia" w:ascii="Times New Roman" w:hAnsi="Times New Roman" w:eastAsia="黑体"/>
          <w:sz w:val="28"/>
          <w:szCs w:val="28"/>
        </w:rPr>
        <w:tab/>
      </w:r>
      <w:r>
        <w:rPr>
          <w:rFonts w:hint="eastAsia" w:ascii="Times New Roman" w:hAnsi="Times New Roman" w:eastAsia="黑体"/>
          <w:sz w:val="28"/>
          <w:szCs w:val="28"/>
        </w:rPr>
        <w:fldChar w:fldCharType="begin"/>
      </w:r>
      <w:r>
        <w:rPr>
          <w:rFonts w:hint="eastAsia" w:ascii="Times New Roman" w:hAnsi="Times New Roman" w:eastAsia="黑体"/>
          <w:sz w:val="28"/>
          <w:szCs w:val="28"/>
        </w:rPr>
        <w:instrText xml:space="preserve"> PAGEREF _Toc32109 </w:instrText>
      </w:r>
      <w:r>
        <w:rPr>
          <w:rFonts w:hint="eastAsia" w:ascii="Times New Roman" w:hAnsi="Times New Roman" w:eastAsia="黑体"/>
          <w:sz w:val="28"/>
          <w:szCs w:val="28"/>
        </w:rPr>
        <w:fldChar w:fldCharType="separate"/>
      </w:r>
      <w:r>
        <w:rPr>
          <w:rFonts w:hint="eastAsia" w:ascii="Times New Roman" w:hAnsi="Times New Roman" w:eastAsia="黑体"/>
          <w:sz w:val="28"/>
          <w:szCs w:val="28"/>
        </w:rPr>
        <w:t>44</w:t>
      </w:r>
      <w:r>
        <w:rPr>
          <w:rFonts w:hint="eastAsia" w:ascii="Times New Roman" w:hAnsi="Times New Roman" w:eastAsia="黑体"/>
          <w:sz w:val="28"/>
          <w:szCs w:val="28"/>
        </w:rPr>
        <w:fldChar w:fldCharType="end"/>
      </w:r>
      <w:r>
        <w:rPr>
          <w:rFonts w:hint="eastAsia" w:ascii="Times New Roman" w:hAnsi="Times New Roman" w:eastAsia="黑体"/>
          <w:sz w:val="28"/>
          <w:szCs w:val="28"/>
        </w:rPr>
        <w:fldChar w:fldCharType="end"/>
      </w:r>
    </w:p>
    <w:p>
      <w:pPr>
        <w:pStyle w:val="2"/>
        <w:tabs>
          <w:tab w:val="right" w:leader="dot" w:pos="8732"/>
        </w:tabs>
        <w:spacing w:line="560" w:lineRule="exact"/>
        <w:rPr>
          <w:rFonts w:ascii="Times New Roman" w:hAnsi="Times New Roman" w:eastAsia="黑体"/>
          <w:sz w:val="28"/>
          <w:szCs w:val="28"/>
        </w:rPr>
      </w:pPr>
      <w:r>
        <w:fldChar w:fldCharType="begin"/>
      </w:r>
      <w:r>
        <w:instrText xml:space="preserve"> HYPERLINK \l "_Toc25781" </w:instrText>
      </w:r>
      <w:r>
        <w:fldChar w:fldCharType="separate"/>
      </w:r>
      <w:r>
        <w:rPr>
          <w:rFonts w:hint="eastAsia" w:ascii="Times New Roman" w:hAnsi="Times New Roman" w:eastAsia="黑体"/>
          <w:sz w:val="28"/>
          <w:szCs w:val="28"/>
        </w:rPr>
        <w:t>第七章  拓展生态内涵，推进“两山”模式</w:t>
      </w:r>
      <w:r>
        <w:rPr>
          <w:rFonts w:hint="eastAsia" w:ascii="Times New Roman" w:hAnsi="Times New Roman" w:eastAsia="黑体"/>
          <w:sz w:val="28"/>
          <w:szCs w:val="28"/>
        </w:rPr>
        <w:tab/>
      </w:r>
      <w:r>
        <w:rPr>
          <w:rFonts w:hint="eastAsia" w:ascii="Times New Roman" w:hAnsi="Times New Roman" w:eastAsia="黑体"/>
          <w:sz w:val="28"/>
          <w:szCs w:val="28"/>
        </w:rPr>
        <w:fldChar w:fldCharType="begin"/>
      </w:r>
      <w:r>
        <w:rPr>
          <w:rFonts w:hint="eastAsia" w:ascii="Times New Roman" w:hAnsi="Times New Roman" w:eastAsia="黑体"/>
          <w:sz w:val="28"/>
          <w:szCs w:val="28"/>
        </w:rPr>
        <w:instrText xml:space="preserve"> PAGEREF _Toc25781 </w:instrText>
      </w:r>
      <w:r>
        <w:rPr>
          <w:rFonts w:hint="eastAsia" w:ascii="Times New Roman" w:hAnsi="Times New Roman" w:eastAsia="黑体"/>
          <w:sz w:val="28"/>
          <w:szCs w:val="28"/>
        </w:rPr>
        <w:fldChar w:fldCharType="separate"/>
      </w:r>
      <w:r>
        <w:rPr>
          <w:rFonts w:hint="eastAsia" w:ascii="Times New Roman" w:hAnsi="Times New Roman" w:eastAsia="黑体"/>
          <w:sz w:val="28"/>
          <w:szCs w:val="28"/>
        </w:rPr>
        <w:t>45</w:t>
      </w:r>
      <w:r>
        <w:rPr>
          <w:rFonts w:hint="eastAsia" w:ascii="Times New Roman" w:hAnsi="Times New Roman" w:eastAsia="黑体"/>
          <w:sz w:val="28"/>
          <w:szCs w:val="28"/>
        </w:rPr>
        <w:fldChar w:fldCharType="end"/>
      </w:r>
      <w:r>
        <w:rPr>
          <w:rFonts w:hint="eastAsia" w:ascii="Times New Roman" w:hAnsi="Times New Roman" w:eastAsia="黑体"/>
          <w:sz w:val="28"/>
          <w:szCs w:val="28"/>
        </w:rPr>
        <w:fldChar w:fldCharType="end"/>
      </w:r>
    </w:p>
    <w:p>
      <w:pPr>
        <w:pStyle w:val="10"/>
        <w:tabs>
          <w:tab w:val="right" w:leader="dot" w:pos="8732"/>
        </w:tabs>
        <w:spacing w:line="560" w:lineRule="exact"/>
        <w:rPr>
          <w:rFonts w:ascii="Times New Roman" w:hAnsi="Times New Roman" w:eastAsia="黑体"/>
          <w:sz w:val="28"/>
          <w:szCs w:val="28"/>
        </w:rPr>
      </w:pPr>
      <w:r>
        <w:fldChar w:fldCharType="begin"/>
      </w:r>
      <w:r>
        <w:instrText xml:space="preserve"> HYPERLINK \l "_Toc4143" </w:instrText>
      </w:r>
      <w:r>
        <w:fldChar w:fldCharType="separate"/>
      </w:r>
      <w:r>
        <w:rPr>
          <w:rFonts w:hint="eastAsia" w:ascii="Times New Roman" w:hAnsi="Times New Roman" w:eastAsia="黑体"/>
          <w:sz w:val="28"/>
          <w:szCs w:val="28"/>
        </w:rPr>
        <w:t>第一节  打造“两山”示范县</w:t>
      </w:r>
      <w:r>
        <w:rPr>
          <w:rFonts w:hint="eastAsia" w:ascii="Times New Roman" w:hAnsi="Times New Roman" w:eastAsia="黑体"/>
          <w:sz w:val="28"/>
          <w:szCs w:val="28"/>
        </w:rPr>
        <w:tab/>
      </w:r>
      <w:r>
        <w:rPr>
          <w:rFonts w:hint="eastAsia" w:ascii="Times New Roman" w:hAnsi="Times New Roman" w:eastAsia="黑体"/>
          <w:sz w:val="28"/>
          <w:szCs w:val="28"/>
        </w:rPr>
        <w:fldChar w:fldCharType="begin"/>
      </w:r>
      <w:r>
        <w:rPr>
          <w:rFonts w:hint="eastAsia" w:ascii="Times New Roman" w:hAnsi="Times New Roman" w:eastAsia="黑体"/>
          <w:sz w:val="28"/>
          <w:szCs w:val="28"/>
        </w:rPr>
        <w:instrText xml:space="preserve"> PAGEREF _Toc4143 </w:instrText>
      </w:r>
      <w:r>
        <w:rPr>
          <w:rFonts w:hint="eastAsia" w:ascii="Times New Roman" w:hAnsi="Times New Roman" w:eastAsia="黑体"/>
          <w:sz w:val="28"/>
          <w:szCs w:val="28"/>
        </w:rPr>
        <w:fldChar w:fldCharType="separate"/>
      </w:r>
      <w:r>
        <w:rPr>
          <w:rFonts w:hint="eastAsia" w:ascii="Times New Roman" w:hAnsi="Times New Roman" w:eastAsia="黑体"/>
          <w:sz w:val="28"/>
          <w:szCs w:val="28"/>
        </w:rPr>
        <w:t>46</w:t>
      </w:r>
      <w:r>
        <w:rPr>
          <w:rFonts w:hint="eastAsia" w:ascii="Times New Roman" w:hAnsi="Times New Roman" w:eastAsia="黑体"/>
          <w:sz w:val="28"/>
          <w:szCs w:val="28"/>
        </w:rPr>
        <w:fldChar w:fldCharType="end"/>
      </w:r>
      <w:r>
        <w:rPr>
          <w:rFonts w:hint="eastAsia" w:ascii="Times New Roman" w:hAnsi="Times New Roman" w:eastAsia="黑体"/>
          <w:sz w:val="28"/>
          <w:szCs w:val="28"/>
        </w:rPr>
        <w:fldChar w:fldCharType="end"/>
      </w:r>
    </w:p>
    <w:p>
      <w:pPr>
        <w:pStyle w:val="10"/>
        <w:tabs>
          <w:tab w:val="right" w:leader="dot" w:pos="8732"/>
        </w:tabs>
        <w:spacing w:line="560" w:lineRule="exact"/>
        <w:rPr>
          <w:rFonts w:ascii="Times New Roman" w:hAnsi="Times New Roman" w:eastAsia="黑体"/>
          <w:sz w:val="28"/>
          <w:szCs w:val="28"/>
        </w:rPr>
      </w:pPr>
      <w:r>
        <w:fldChar w:fldCharType="begin"/>
      </w:r>
      <w:r>
        <w:instrText xml:space="preserve"> HYPERLINK \l "_Toc31482" </w:instrText>
      </w:r>
      <w:r>
        <w:fldChar w:fldCharType="separate"/>
      </w:r>
      <w:r>
        <w:rPr>
          <w:rFonts w:hint="eastAsia" w:ascii="Times New Roman" w:hAnsi="Times New Roman" w:eastAsia="黑体"/>
          <w:sz w:val="28"/>
          <w:szCs w:val="28"/>
        </w:rPr>
        <w:t>第二节  加大生态环境保护</w:t>
      </w:r>
      <w:r>
        <w:rPr>
          <w:rFonts w:hint="eastAsia" w:ascii="Times New Roman" w:hAnsi="Times New Roman" w:eastAsia="黑体"/>
          <w:sz w:val="28"/>
          <w:szCs w:val="28"/>
        </w:rPr>
        <w:tab/>
      </w:r>
      <w:r>
        <w:rPr>
          <w:rFonts w:hint="eastAsia" w:ascii="Times New Roman" w:hAnsi="Times New Roman" w:eastAsia="黑体"/>
          <w:sz w:val="28"/>
          <w:szCs w:val="28"/>
        </w:rPr>
        <w:fldChar w:fldCharType="begin"/>
      </w:r>
      <w:r>
        <w:rPr>
          <w:rFonts w:hint="eastAsia" w:ascii="Times New Roman" w:hAnsi="Times New Roman" w:eastAsia="黑体"/>
          <w:sz w:val="28"/>
          <w:szCs w:val="28"/>
        </w:rPr>
        <w:instrText xml:space="preserve"> PAGEREF _Toc31482 </w:instrText>
      </w:r>
      <w:r>
        <w:rPr>
          <w:rFonts w:hint="eastAsia" w:ascii="Times New Roman" w:hAnsi="Times New Roman" w:eastAsia="黑体"/>
          <w:sz w:val="28"/>
          <w:szCs w:val="28"/>
        </w:rPr>
        <w:fldChar w:fldCharType="separate"/>
      </w:r>
      <w:r>
        <w:rPr>
          <w:rFonts w:hint="eastAsia" w:ascii="Times New Roman" w:hAnsi="Times New Roman" w:eastAsia="黑体"/>
          <w:sz w:val="28"/>
          <w:szCs w:val="28"/>
        </w:rPr>
        <w:t>47</w:t>
      </w:r>
      <w:r>
        <w:rPr>
          <w:rFonts w:hint="eastAsia" w:ascii="Times New Roman" w:hAnsi="Times New Roman" w:eastAsia="黑体"/>
          <w:sz w:val="28"/>
          <w:szCs w:val="28"/>
        </w:rPr>
        <w:fldChar w:fldCharType="end"/>
      </w:r>
      <w:r>
        <w:rPr>
          <w:rFonts w:hint="eastAsia" w:ascii="Times New Roman" w:hAnsi="Times New Roman" w:eastAsia="黑体"/>
          <w:sz w:val="28"/>
          <w:szCs w:val="28"/>
        </w:rPr>
        <w:fldChar w:fldCharType="end"/>
      </w:r>
    </w:p>
    <w:p>
      <w:pPr>
        <w:pStyle w:val="10"/>
        <w:tabs>
          <w:tab w:val="right" w:leader="dot" w:pos="8732"/>
        </w:tabs>
        <w:spacing w:line="560" w:lineRule="exact"/>
        <w:rPr>
          <w:rFonts w:ascii="Times New Roman" w:hAnsi="Times New Roman" w:eastAsia="黑体"/>
          <w:sz w:val="28"/>
          <w:szCs w:val="28"/>
        </w:rPr>
      </w:pPr>
      <w:r>
        <w:fldChar w:fldCharType="begin"/>
      </w:r>
      <w:r>
        <w:instrText xml:space="preserve"> HYPERLINK \l "_Toc32609" </w:instrText>
      </w:r>
      <w:r>
        <w:fldChar w:fldCharType="separate"/>
      </w:r>
      <w:r>
        <w:rPr>
          <w:rFonts w:hint="eastAsia" w:ascii="Times New Roman" w:hAnsi="Times New Roman" w:eastAsia="黑体"/>
          <w:sz w:val="28"/>
          <w:szCs w:val="28"/>
        </w:rPr>
        <w:t>第三节  大力发展生态经济</w:t>
      </w:r>
      <w:r>
        <w:rPr>
          <w:rFonts w:hint="eastAsia" w:ascii="Times New Roman" w:hAnsi="Times New Roman" w:eastAsia="黑体"/>
          <w:sz w:val="28"/>
          <w:szCs w:val="28"/>
        </w:rPr>
        <w:tab/>
      </w:r>
      <w:r>
        <w:rPr>
          <w:rFonts w:hint="eastAsia" w:ascii="Times New Roman" w:hAnsi="Times New Roman" w:eastAsia="黑体"/>
          <w:sz w:val="28"/>
          <w:szCs w:val="28"/>
        </w:rPr>
        <w:fldChar w:fldCharType="begin"/>
      </w:r>
      <w:r>
        <w:rPr>
          <w:rFonts w:hint="eastAsia" w:ascii="Times New Roman" w:hAnsi="Times New Roman" w:eastAsia="黑体"/>
          <w:sz w:val="28"/>
          <w:szCs w:val="28"/>
        </w:rPr>
        <w:instrText xml:space="preserve"> PAGEREF _Toc32609 </w:instrText>
      </w:r>
      <w:r>
        <w:rPr>
          <w:rFonts w:hint="eastAsia" w:ascii="Times New Roman" w:hAnsi="Times New Roman" w:eastAsia="黑体"/>
          <w:sz w:val="28"/>
          <w:szCs w:val="28"/>
        </w:rPr>
        <w:fldChar w:fldCharType="separate"/>
      </w:r>
      <w:r>
        <w:rPr>
          <w:rFonts w:hint="eastAsia" w:ascii="Times New Roman" w:hAnsi="Times New Roman" w:eastAsia="黑体"/>
          <w:sz w:val="28"/>
          <w:szCs w:val="28"/>
        </w:rPr>
        <w:t>49</w:t>
      </w:r>
      <w:r>
        <w:rPr>
          <w:rFonts w:hint="eastAsia" w:ascii="Times New Roman" w:hAnsi="Times New Roman" w:eastAsia="黑体"/>
          <w:sz w:val="28"/>
          <w:szCs w:val="28"/>
        </w:rPr>
        <w:fldChar w:fldCharType="end"/>
      </w:r>
      <w:r>
        <w:rPr>
          <w:rFonts w:hint="eastAsia" w:ascii="Times New Roman" w:hAnsi="Times New Roman" w:eastAsia="黑体"/>
          <w:sz w:val="28"/>
          <w:szCs w:val="28"/>
        </w:rPr>
        <w:fldChar w:fldCharType="end"/>
      </w:r>
    </w:p>
    <w:p>
      <w:pPr>
        <w:pStyle w:val="10"/>
        <w:tabs>
          <w:tab w:val="right" w:leader="dot" w:pos="8732"/>
        </w:tabs>
        <w:spacing w:line="560" w:lineRule="exact"/>
        <w:rPr>
          <w:rFonts w:ascii="Times New Roman" w:hAnsi="Times New Roman" w:eastAsia="黑体"/>
          <w:sz w:val="28"/>
          <w:szCs w:val="28"/>
        </w:rPr>
      </w:pPr>
      <w:r>
        <w:fldChar w:fldCharType="begin"/>
      </w:r>
      <w:r>
        <w:instrText xml:space="preserve"> HYPERLINK \l "_Toc16008" </w:instrText>
      </w:r>
      <w:r>
        <w:fldChar w:fldCharType="separate"/>
      </w:r>
      <w:r>
        <w:rPr>
          <w:rFonts w:hint="eastAsia" w:ascii="Times New Roman" w:hAnsi="Times New Roman" w:eastAsia="黑体"/>
          <w:sz w:val="28"/>
          <w:szCs w:val="28"/>
        </w:rPr>
        <w:t>第四节  促进低碳消费</w:t>
      </w:r>
      <w:r>
        <w:rPr>
          <w:rFonts w:hint="eastAsia" w:ascii="Times New Roman" w:hAnsi="Times New Roman" w:eastAsia="黑体"/>
          <w:sz w:val="28"/>
          <w:szCs w:val="28"/>
        </w:rPr>
        <w:tab/>
      </w:r>
      <w:r>
        <w:rPr>
          <w:rFonts w:hint="eastAsia" w:ascii="Times New Roman" w:hAnsi="Times New Roman" w:eastAsia="黑体"/>
          <w:sz w:val="28"/>
          <w:szCs w:val="28"/>
        </w:rPr>
        <w:fldChar w:fldCharType="begin"/>
      </w:r>
      <w:r>
        <w:rPr>
          <w:rFonts w:hint="eastAsia" w:ascii="Times New Roman" w:hAnsi="Times New Roman" w:eastAsia="黑体"/>
          <w:sz w:val="28"/>
          <w:szCs w:val="28"/>
        </w:rPr>
        <w:instrText xml:space="preserve"> PAGEREF _Toc16008 </w:instrText>
      </w:r>
      <w:r>
        <w:rPr>
          <w:rFonts w:hint="eastAsia" w:ascii="Times New Roman" w:hAnsi="Times New Roman" w:eastAsia="黑体"/>
          <w:sz w:val="28"/>
          <w:szCs w:val="28"/>
        </w:rPr>
        <w:fldChar w:fldCharType="separate"/>
      </w:r>
      <w:r>
        <w:rPr>
          <w:rFonts w:hint="eastAsia" w:ascii="Times New Roman" w:hAnsi="Times New Roman" w:eastAsia="黑体"/>
          <w:sz w:val="28"/>
          <w:szCs w:val="28"/>
        </w:rPr>
        <w:t>49</w:t>
      </w:r>
      <w:r>
        <w:rPr>
          <w:rFonts w:hint="eastAsia" w:ascii="Times New Roman" w:hAnsi="Times New Roman" w:eastAsia="黑体"/>
          <w:sz w:val="28"/>
          <w:szCs w:val="28"/>
        </w:rPr>
        <w:fldChar w:fldCharType="end"/>
      </w:r>
      <w:r>
        <w:rPr>
          <w:rFonts w:hint="eastAsia" w:ascii="Times New Roman" w:hAnsi="Times New Roman" w:eastAsia="黑体"/>
          <w:sz w:val="28"/>
          <w:szCs w:val="28"/>
        </w:rPr>
        <w:fldChar w:fldCharType="end"/>
      </w:r>
    </w:p>
    <w:p>
      <w:pPr>
        <w:pStyle w:val="2"/>
        <w:tabs>
          <w:tab w:val="right" w:leader="dot" w:pos="8732"/>
        </w:tabs>
        <w:spacing w:line="560" w:lineRule="exact"/>
        <w:rPr>
          <w:rFonts w:ascii="Times New Roman" w:hAnsi="Times New Roman" w:eastAsia="黑体"/>
          <w:sz w:val="28"/>
          <w:szCs w:val="28"/>
        </w:rPr>
      </w:pPr>
      <w:r>
        <w:fldChar w:fldCharType="begin"/>
      </w:r>
      <w:r>
        <w:instrText xml:space="preserve"> HYPERLINK \l "_Toc3056" </w:instrText>
      </w:r>
      <w:r>
        <w:fldChar w:fldCharType="separate"/>
      </w:r>
      <w:r>
        <w:rPr>
          <w:rFonts w:hint="eastAsia" w:ascii="Times New Roman" w:hAnsi="Times New Roman" w:eastAsia="黑体"/>
          <w:sz w:val="28"/>
          <w:szCs w:val="28"/>
        </w:rPr>
        <w:t>第八章  完善基础建设 提升发展支撑</w:t>
      </w:r>
      <w:r>
        <w:rPr>
          <w:rFonts w:hint="eastAsia" w:ascii="Times New Roman" w:hAnsi="Times New Roman" w:eastAsia="黑体"/>
          <w:sz w:val="28"/>
          <w:szCs w:val="28"/>
        </w:rPr>
        <w:tab/>
      </w:r>
      <w:r>
        <w:rPr>
          <w:rFonts w:hint="eastAsia" w:ascii="Times New Roman" w:hAnsi="Times New Roman" w:eastAsia="黑体"/>
          <w:sz w:val="28"/>
          <w:szCs w:val="28"/>
        </w:rPr>
        <w:fldChar w:fldCharType="begin"/>
      </w:r>
      <w:r>
        <w:rPr>
          <w:rFonts w:hint="eastAsia" w:ascii="Times New Roman" w:hAnsi="Times New Roman" w:eastAsia="黑体"/>
          <w:sz w:val="28"/>
          <w:szCs w:val="28"/>
        </w:rPr>
        <w:instrText xml:space="preserve"> PAGEREF _Toc3056 </w:instrText>
      </w:r>
      <w:r>
        <w:rPr>
          <w:rFonts w:hint="eastAsia" w:ascii="Times New Roman" w:hAnsi="Times New Roman" w:eastAsia="黑体"/>
          <w:sz w:val="28"/>
          <w:szCs w:val="28"/>
        </w:rPr>
        <w:fldChar w:fldCharType="separate"/>
      </w:r>
      <w:r>
        <w:rPr>
          <w:rFonts w:hint="eastAsia" w:ascii="Times New Roman" w:hAnsi="Times New Roman" w:eastAsia="黑体"/>
          <w:sz w:val="28"/>
          <w:szCs w:val="28"/>
        </w:rPr>
        <w:t>50</w:t>
      </w:r>
      <w:r>
        <w:rPr>
          <w:rFonts w:hint="eastAsia" w:ascii="Times New Roman" w:hAnsi="Times New Roman" w:eastAsia="黑体"/>
          <w:sz w:val="28"/>
          <w:szCs w:val="28"/>
        </w:rPr>
        <w:fldChar w:fldCharType="end"/>
      </w:r>
      <w:r>
        <w:rPr>
          <w:rFonts w:hint="eastAsia" w:ascii="Times New Roman" w:hAnsi="Times New Roman" w:eastAsia="黑体"/>
          <w:sz w:val="28"/>
          <w:szCs w:val="28"/>
        </w:rPr>
        <w:fldChar w:fldCharType="end"/>
      </w:r>
    </w:p>
    <w:p>
      <w:pPr>
        <w:pStyle w:val="10"/>
        <w:tabs>
          <w:tab w:val="right" w:leader="dot" w:pos="8732"/>
        </w:tabs>
        <w:spacing w:line="560" w:lineRule="exact"/>
        <w:rPr>
          <w:rFonts w:ascii="Times New Roman" w:hAnsi="Times New Roman" w:eastAsia="黑体"/>
          <w:sz w:val="28"/>
          <w:szCs w:val="28"/>
        </w:rPr>
      </w:pPr>
      <w:r>
        <w:fldChar w:fldCharType="begin"/>
      </w:r>
      <w:r>
        <w:instrText xml:space="preserve"> HYPERLINK \l "_Toc29519" </w:instrText>
      </w:r>
      <w:r>
        <w:fldChar w:fldCharType="separate"/>
      </w:r>
      <w:r>
        <w:rPr>
          <w:rFonts w:hint="eastAsia" w:ascii="Times New Roman" w:hAnsi="Times New Roman" w:eastAsia="黑体"/>
          <w:sz w:val="28"/>
          <w:szCs w:val="28"/>
        </w:rPr>
        <w:t>第一节  强化交通基础设施建设</w:t>
      </w:r>
      <w:r>
        <w:rPr>
          <w:rFonts w:hint="eastAsia" w:ascii="Times New Roman" w:hAnsi="Times New Roman" w:eastAsia="黑体"/>
          <w:sz w:val="28"/>
          <w:szCs w:val="28"/>
        </w:rPr>
        <w:tab/>
      </w:r>
      <w:r>
        <w:rPr>
          <w:rFonts w:hint="eastAsia" w:ascii="Times New Roman" w:hAnsi="Times New Roman" w:eastAsia="黑体"/>
          <w:sz w:val="28"/>
          <w:szCs w:val="28"/>
        </w:rPr>
        <w:fldChar w:fldCharType="begin"/>
      </w:r>
      <w:r>
        <w:rPr>
          <w:rFonts w:hint="eastAsia" w:ascii="Times New Roman" w:hAnsi="Times New Roman" w:eastAsia="黑体"/>
          <w:sz w:val="28"/>
          <w:szCs w:val="28"/>
        </w:rPr>
        <w:instrText xml:space="preserve"> PAGEREF _Toc29519 </w:instrText>
      </w:r>
      <w:r>
        <w:rPr>
          <w:rFonts w:hint="eastAsia" w:ascii="Times New Roman" w:hAnsi="Times New Roman" w:eastAsia="黑体"/>
          <w:sz w:val="28"/>
          <w:szCs w:val="28"/>
        </w:rPr>
        <w:fldChar w:fldCharType="separate"/>
      </w:r>
      <w:r>
        <w:rPr>
          <w:rFonts w:hint="eastAsia" w:ascii="Times New Roman" w:hAnsi="Times New Roman" w:eastAsia="黑体"/>
          <w:sz w:val="28"/>
          <w:szCs w:val="28"/>
        </w:rPr>
        <w:t>50</w:t>
      </w:r>
      <w:r>
        <w:rPr>
          <w:rFonts w:hint="eastAsia" w:ascii="Times New Roman" w:hAnsi="Times New Roman" w:eastAsia="黑体"/>
          <w:sz w:val="28"/>
          <w:szCs w:val="28"/>
        </w:rPr>
        <w:fldChar w:fldCharType="end"/>
      </w:r>
      <w:r>
        <w:rPr>
          <w:rFonts w:hint="eastAsia" w:ascii="Times New Roman" w:hAnsi="Times New Roman" w:eastAsia="黑体"/>
          <w:sz w:val="28"/>
          <w:szCs w:val="28"/>
        </w:rPr>
        <w:fldChar w:fldCharType="end"/>
      </w:r>
    </w:p>
    <w:p>
      <w:pPr>
        <w:pStyle w:val="10"/>
        <w:tabs>
          <w:tab w:val="right" w:leader="dot" w:pos="8732"/>
        </w:tabs>
        <w:spacing w:line="560" w:lineRule="exact"/>
        <w:rPr>
          <w:rFonts w:ascii="Times New Roman" w:hAnsi="Times New Roman" w:eastAsia="黑体"/>
          <w:sz w:val="28"/>
          <w:szCs w:val="28"/>
        </w:rPr>
      </w:pPr>
      <w:r>
        <w:fldChar w:fldCharType="begin"/>
      </w:r>
      <w:r>
        <w:instrText xml:space="preserve"> HYPERLINK \l "_Toc15842" </w:instrText>
      </w:r>
      <w:r>
        <w:fldChar w:fldCharType="separate"/>
      </w:r>
      <w:r>
        <w:rPr>
          <w:rFonts w:hint="eastAsia" w:ascii="Times New Roman" w:hAnsi="Times New Roman" w:eastAsia="黑体"/>
          <w:sz w:val="28"/>
          <w:szCs w:val="28"/>
        </w:rPr>
        <w:t>第二节  补齐水利设施建设短板</w:t>
      </w:r>
      <w:r>
        <w:rPr>
          <w:rFonts w:hint="eastAsia" w:ascii="Times New Roman" w:hAnsi="Times New Roman" w:eastAsia="黑体"/>
          <w:sz w:val="28"/>
          <w:szCs w:val="28"/>
        </w:rPr>
        <w:tab/>
      </w:r>
      <w:r>
        <w:rPr>
          <w:rFonts w:hint="eastAsia" w:ascii="Times New Roman" w:hAnsi="Times New Roman" w:eastAsia="黑体"/>
          <w:sz w:val="28"/>
          <w:szCs w:val="28"/>
        </w:rPr>
        <w:fldChar w:fldCharType="begin"/>
      </w:r>
      <w:r>
        <w:rPr>
          <w:rFonts w:hint="eastAsia" w:ascii="Times New Roman" w:hAnsi="Times New Roman" w:eastAsia="黑体"/>
          <w:sz w:val="28"/>
          <w:szCs w:val="28"/>
        </w:rPr>
        <w:instrText xml:space="preserve"> PAGEREF _Toc15842 </w:instrText>
      </w:r>
      <w:r>
        <w:rPr>
          <w:rFonts w:hint="eastAsia" w:ascii="Times New Roman" w:hAnsi="Times New Roman" w:eastAsia="黑体"/>
          <w:sz w:val="28"/>
          <w:szCs w:val="28"/>
        </w:rPr>
        <w:fldChar w:fldCharType="separate"/>
      </w:r>
      <w:r>
        <w:rPr>
          <w:rFonts w:hint="eastAsia" w:ascii="Times New Roman" w:hAnsi="Times New Roman" w:eastAsia="黑体"/>
          <w:sz w:val="28"/>
          <w:szCs w:val="28"/>
        </w:rPr>
        <w:t>54</w:t>
      </w:r>
      <w:r>
        <w:rPr>
          <w:rFonts w:hint="eastAsia" w:ascii="Times New Roman" w:hAnsi="Times New Roman" w:eastAsia="黑体"/>
          <w:sz w:val="28"/>
          <w:szCs w:val="28"/>
        </w:rPr>
        <w:fldChar w:fldCharType="end"/>
      </w:r>
      <w:r>
        <w:rPr>
          <w:rFonts w:hint="eastAsia" w:ascii="Times New Roman" w:hAnsi="Times New Roman" w:eastAsia="黑体"/>
          <w:sz w:val="28"/>
          <w:szCs w:val="28"/>
        </w:rPr>
        <w:fldChar w:fldCharType="end"/>
      </w:r>
    </w:p>
    <w:p>
      <w:pPr>
        <w:pStyle w:val="10"/>
        <w:tabs>
          <w:tab w:val="right" w:leader="dot" w:pos="8732"/>
        </w:tabs>
        <w:spacing w:line="560" w:lineRule="exact"/>
        <w:rPr>
          <w:rFonts w:ascii="Times New Roman" w:hAnsi="Times New Roman" w:eastAsia="黑体"/>
          <w:sz w:val="28"/>
          <w:szCs w:val="28"/>
        </w:rPr>
      </w:pPr>
      <w:r>
        <w:fldChar w:fldCharType="begin"/>
      </w:r>
      <w:r>
        <w:instrText xml:space="preserve"> HYPERLINK \l "_Toc19911" </w:instrText>
      </w:r>
      <w:r>
        <w:fldChar w:fldCharType="separate"/>
      </w:r>
      <w:r>
        <w:rPr>
          <w:rFonts w:hint="eastAsia" w:ascii="Times New Roman" w:hAnsi="Times New Roman" w:eastAsia="黑体"/>
          <w:sz w:val="28"/>
          <w:szCs w:val="28"/>
        </w:rPr>
        <w:t>第三节  推进新型基础设施建设</w:t>
      </w:r>
      <w:r>
        <w:rPr>
          <w:rFonts w:hint="eastAsia" w:ascii="Times New Roman" w:hAnsi="Times New Roman" w:eastAsia="黑体"/>
          <w:sz w:val="28"/>
          <w:szCs w:val="28"/>
        </w:rPr>
        <w:tab/>
      </w:r>
      <w:r>
        <w:rPr>
          <w:rFonts w:hint="eastAsia" w:ascii="Times New Roman" w:hAnsi="Times New Roman" w:eastAsia="黑体"/>
          <w:sz w:val="28"/>
          <w:szCs w:val="28"/>
        </w:rPr>
        <w:fldChar w:fldCharType="begin"/>
      </w:r>
      <w:r>
        <w:rPr>
          <w:rFonts w:hint="eastAsia" w:ascii="Times New Roman" w:hAnsi="Times New Roman" w:eastAsia="黑体"/>
          <w:sz w:val="28"/>
          <w:szCs w:val="28"/>
        </w:rPr>
        <w:instrText xml:space="preserve"> PAGEREF _Toc19911 </w:instrText>
      </w:r>
      <w:r>
        <w:rPr>
          <w:rFonts w:hint="eastAsia" w:ascii="Times New Roman" w:hAnsi="Times New Roman" w:eastAsia="黑体"/>
          <w:sz w:val="28"/>
          <w:szCs w:val="28"/>
        </w:rPr>
        <w:fldChar w:fldCharType="separate"/>
      </w:r>
      <w:r>
        <w:rPr>
          <w:rFonts w:hint="eastAsia" w:ascii="Times New Roman" w:hAnsi="Times New Roman" w:eastAsia="黑体"/>
          <w:sz w:val="28"/>
          <w:szCs w:val="28"/>
        </w:rPr>
        <w:t>56</w:t>
      </w:r>
      <w:r>
        <w:rPr>
          <w:rFonts w:hint="eastAsia" w:ascii="Times New Roman" w:hAnsi="Times New Roman" w:eastAsia="黑体"/>
          <w:sz w:val="28"/>
          <w:szCs w:val="28"/>
        </w:rPr>
        <w:fldChar w:fldCharType="end"/>
      </w:r>
      <w:r>
        <w:rPr>
          <w:rFonts w:hint="eastAsia" w:ascii="Times New Roman" w:hAnsi="Times New Roman" w:eastAsia="黑体"/>
          <w:sz w:val="28"/>
          <w:szCs w:val="28"/>
        </w:rPr>
        <w:fldChar w:fldCharType="end"/>
      </w:r>
    </w:p>
    <w:p>
      <w:pPr>
        <w:pStyle w:val="10"/>
        <w:tabs>
          <w:tab w:val="right" w:leader="dot" w:pos="8732"/>
        </w:tabs>
        <w:spacing w:line="560" w:lineRule="exact"/>
        <w:rPr>
          <w:rFonts w:ascii="Times New Roman" w:hAnsi="Times New Roman" w:eastAsia="黑体"/>
          <w:sz w:val="28"/>
          <w:szCs w:val="28"/>
        </w:rPr>
      </w:pPr>
      <w:r>
        <w:fldChar w:fldCharType="begin"/>
      </w:r>
      <w:r>
        <w:instrText xml:space="preserve"> HYPERLINK \l "_Toc14894" </w:instrText>
      </w:r>
      <w:r>
        <w:fldChar w:fldCharType="separate"/>
      </w:r>
      <w:r>
        <w:rPr>
          <w:rFonts w:hint="eastAsia" w:ascii="Times New Roman" w:hAnsi="Times New Roman" w:eastAsia="黑体"/>
          <w:sz w:val="28"/>
          <w:szCs w:val="28"/>
        </w:rPr>
        <w:t>第四节  促进生活基础设施提质升级</w:t>
      </w:r>
      <w:r>
        <w:rPr>
          <w:rFonts w:hint="eastAsia" w:ascii="Times New Roman" w:hAnsi="Times New Roman" w:eastAsia="黑体"/>
          <w:sz w:val="28"/>
          <w:szCs w:val="28"/>
        </w:rPr>
        <w:tab/>
      </w:r>
      <w:r>
        <w:rPr>
          <w:rFonts w:hint="eastAsia" w:ascii="Times New Roman" w:hAnsi="Times New Roman" w:eastAsia="黑体"/>
          <w:sz w:val="28"/>
          <w:szCs w:val="28"/>
        </w:rPr>
        <w:fldChar w:fldCharType="begin"/>
      </w:r>
      <w:r>
        <w:rPr>
          <w:rFonts w:hint="eastAsia" w:ascii="Times New Roman" w:hAnsi="Times New Roman" w:eastAsia="黑体"/>
          <w:sz w:val="28"/>
          <w:szCs w:val="28"/>
        </w:rPr>
        <w:instrText xml:space="preserve"> PAGEREF _Toc14894 </w:instrText>
      </w:r>
      <w:r>
        <w:rPr>
          <w:rFonts w:hint="eastAsia" w:ascii="Times New Roman" w:hAnsi="Times New Roman" w:eastAsia="黑体"/>
          <w:sz w:val="28"/>
          <w:szCs w:val="28"/>
        </w:rPr>
        <w:fldChar w:fldCharType="separate"/>
      </w:r>
      <w:r>
        <w:rPr>
          <w:rFonts w:hint="eastAsia" w:ascii="Times New Roman" w:hAnsi="Times New Roman" w:eastAsia="黑体"/>
          <w:sz w:val="28"/>
          <w:szCs w:val="28"/>
        </w:rPr>
        <w:t>56</w:t>
      </w:r>
      <w:r>
        <w:rPr>
          <w:rFonts w:hint="eastAsia" w:ascii="Times New Roman" w:hAnsi="Times New Roman" w:eastAsia="黑体"/>
          <w:sz w:val="28"/>
          <w:szCs w:val="28"/>
        </w:rPr>
        <w:fldChar w:fldCharType="end"/>
      </w:r>
      <w:r>
        <w:rPr>
          <w:rFonts w:hint="eastAsia" w:ascii="Times New Roman" w:hAnsi="Times New Roman" w:eastAsia="黑体"/>
          <w:sz w:val="28"/>
          <w:szCs w:val="28"/>
        </w:rPr>
        <w:fldChar w:fldCharType="end"/>
      </w:r>
    </w:p>
    <w:p>
      <w:pPr>
        <w:pStyle w:val="10"/>
        <w:tabs>
          <w:tab w:val="right" w:leader="dot" w:pos="8732"/>
        </w:tabs>
        <w:spacing w:line="560" w:lineRule="exact"/>
        <w:rPr>
          <w:rFonts w:ascii="Times New Roman" w:hAnsi="Times New Roman" w:eastAsia="黑体"/>
          <w:sz w:val="28"/>
          <w:szCs w:val="28"/>
        </w:rPr>
      </w:pPr>
      <w:r>
        <w:fldChar w:fldCharType="begin"/>
      </w:r>
      <w:r>
        <w:instrText xml:space="preserve"> HYPERLINK \l "_Toc8167" </w:instrText>
      </w:r>
      <w:r>
        <w:fldChar w:fldCharType="separate"/>
      </w:r>
      <w:r>
        <w:rPr>
          <w:rFonts w:hint="eastAsia" w:ascii="Times New Roman" w:hAnsi="Times New Roman" w:eastAsia="黑体"/>
          <w:sz w:val="28"/>
          <w:szCs w:val="28"/>
        </w:rPr>
        <w:t>第五节  加大电力基础设施改造力度</w:t>
      </w:r>
      <w:r>
        <w:rPr>
          <w:rFonts w:hint="eastAsia" w:ascii="Times New Roman" w:hAnsi="Times New Roman" w:eastAsia="黑体"/>
          <w:sz w:val="28"/>
          <w:szCs w:val="28"/>
        </w:rPr>
        <w:tab/>
      </w:r>
      <w:r>
        <w:rPr>
          <w:rFonts w:hint="eastAsia" w:ascii="Times New Roman" w:hAnsi="Times New Roman" w:eastAsia="黑体"/>
          <w:sz w:val="28"/>
          <w:szCs w:val="28"/>
        </w:rPr>
        <w:fldChar w:fldCharType="begin"/>
      </w:r>
      <w:r>
        <w:rPr>
          <w:rFonts w:hint="eastAsia" w:ascii="Times New Roman" w:hAnsi="Times New Roman" w:eastAsia="黑体"/>
          <w:sz w:val="28"/>
          <w:szCs w:val="28"/>
        </w:rPr>
        <w:instrText xml:space="preserve"> PAGEREF _Toc8167 </w:instrText>
      </w:r>
      <w:r>
        <w:rPr>
          <w:rFonts w:hint="eastAsia" w:ascii="Times New Roman" w:hAnsi="Times New Roman" w:eastAsia="黑体"/>
          <w:sz w:val="28"/>
          <w:szCs w:val="28"/>
        </w:rPr>
        <w:fldChar w:fldCharType="separate"/>
      </w:r>
      <w:r>
        <w:rPr>
          <w:rFonts w:hint="eastAsia" w:ascii="Times New Roman" w:hAnsi="Times New Roman" w:eastAsia="黑体"/>
          <w:sz w:val="28"/>
          <w:szCs w:val="28"/>
        </w:rPr>
        <w:t>57</w:t>
      </w:r>
      <w:r>
        <w:rPr>
          <w:rFonts w:hint="eastAsia" w:ascii="Times New Roman" w:hAnsi="Times New Roman" w:eastAsia="黑体"/>
          <w:sz w:val="28"/>
          <w:szCs w:val="28"/>
        </w:rPr>
        <w:fldChar w:fldCharType="end"/>
      </w:r>
      <w:r>
        <w:rPr>
          <w:rFonts w:hint="eastAsia" w:ascii="Times New Roman" w:hAnsi="Times New Roman" w:eastAsia="黑体"/>
          <w:sz w:val="28"/>
          <w:szCs w:val="28"/>
        </w:rPr>
        <w:fldChar w:fldCharType="end"/>
      </w:r>
    </w:p>
    <w:p>
      <w:pPr>
        <w:pStyle w:val="2"/>
        <w:tabs>
          <w:tab w:val="right" w:leader="dot" w:pos="8732"/>
        </w:tabs>
        <w:spacing w:line="560" w:lineRule="exact"/>
        <w:rPr>
          <w:rFonts w:ascii="Times New Roman" w:hAnsi="Times New Roman" w:eastAsia="黑体"/>
          <w:sz w:val="28"/>
          <w:szCs w:val="28"/>
        </w:rPr>
      </w:pPr>
      <w:r>
        <w:fldChar w:fldCharType="begin"/>
      </w:r>
      <w:r>
        <w:instrText xml:space="preserve"> HYPERLINK \l "_Toc12385" </w:instrText>
      </w:r>
      <w:r>
        <w:fldChar w:fldCharType="separate"/>
      </w:r>
      <w:r>
        <w:rPr>
          <w:rFonts w:hint="eastAsia" w:ascii="Times New Roman" w:hAnsi="Times New Roman" w:eastAsia="黑体"/>
          <w:sz w:val="28"/>
          <w:szCs w:val="28"/>
        </w:rPr>
        <w:t>第九章  强化城乡统筹 推进城乡融合</w:t>
      </w:r>
      <w:r>
        <w:rPr>
          <w:rFonts w:hint="eastAsia" w:ascii="Times New Roman" w:hAnsi="Times New Roman" w:eastAsia="黑体"/>
          <w:sz w:val="28"/>
          <w:szCs w:val="28"/>
        </w:rPr>
        <w:tab/>
      </w:r>
      <w:r>
        <w:rPr>
          <w:rFonts w:hint="eastAsia" w:ascii="Times New Roman" w:hAnsi="Times New Roman" w:eastAsia="黑体"/>
          <w:sz w:val="28"/>
          <w:szCs w:val="28"/>
        </w:rPr>
        <w:fldChar w:fldCharType="begin"/>
      </w:r>
      <w:r>
        <w:rPr>
          <w:rFonts w:hint="eastAsia" w:ascii="Times New Roman" w:hAnsi="Times New Roman" w:eastAsia="黑体"/>
          <w:sz w:val="28"/>
          <w:szCs w:val="28"/>
        </w:rPr>
        <w:instrText xml:space="preserve"> PAGEREF _Toc12385 </w:instrText>
      </w:r>
      <w:r>
        <w:rPr>
          <w:rFonts w:hint="eastAsia" w:ascii="Times New Roman" w:hAnsi="Times New Roman" w:eastAsia="黑体"/>
          <w:sz w:val="28"/>
          <w:szCs w:val="28"/>
        </w:rPr>
        <w:fldChar w:fldCharType="separate"/>
      </w:r>
      <w:r>
        <w:rPr>
          <w:rFonts w:hint="eastAsia" w:ascii="Times New Roman" w:hAnsi="Times New Roman" w:eastAsia="黑体"/>
          <w:sz w:val="28"/>
          <w:szCs w:val="28"/>
        </w:rPr>
        <w:t>58</w:t>
      </w:r>
      <w:r>
        <w:rPr>
          <w:rFonts w:hint="eastAsia" w:ascii="Times New Roman" w:hAnsi="Times New Roman" w:eastAsia="黑体"/>
          <w:sz w:val="28"/>
          <w:szCs w:val="28"/>
        </w:rPr>
        <w:fldChar w:fldCharType="end"/>
      </w:r>
      <w:r>
        <w:rPr>
          <w:rFonts w:hint="eastAsia" w:ascii="Times New Roman" w:hAnsi="Times New Roman" w:eastAsia="黑体"/>
          <w:sz w:val="28"/>
          <w:szCs w:val="28"/>
        </w:rPr>
        <w:fldChar w:fldCharType="end"/>
      </w:r>
    </w:p>
    <w:p>
      <w:pPr>
        <w:pStyle w:val="10"/>
        <w:tabs>
          <w:tab w:val="right" w:leader="dot" w:pos="8732"/>
        </w:tabs>
        <w:spacing w:line="560" w:lineRule="exact"/>
        <w:rPr>
          <w:rFonts w:ascii="Times New Roman" w:hAnsi="Times New Roman" w:eastAsia="黑体"/>
          <w:sz w:val="28"/>
          <w:szCs w:val="28"/>
        </w:rPr>
      </w:pPr>
      <w:r>
        <w:fldChar w:fldCharType="begin"/>
      </w:r>
      <w:r>
        <w:instrText xml:space="preserve"> HYPERLINK \l "_Toc12976" </w:instrText>
      </w:r>
      <w:r>
        <w:fldChar w:fldCharType="separate"/>
      </w:r>
      <w:r>
        <w:rPr>
          <w:rFonts w:hint="eastAsia" w:ascii="Times New Roman" w:hAnsi="Times New Roman" w:eastAsia="黑体"/>
          <w:sz w:val="28"/>
          <w:szCs w:val="28"/>
        </w:rPr>
        <w:t>第一节  提升县城核心功能</w:t>
      </w:r>
      <w:r>
        <w:rPr>
          <w:rFonts w:hint="eastAsia" w:ascii="Times New Roman" w:hAnsi="Times New Roman" w:eastAsia="黑体"/>
          <w:sz w:val="28"/>
          <w:szCs w:val="28"/>
        </w:rPr>
        <w:tab/>
      </w:r>
      <w:r>
        <w:rPr>
          <w:rFonts w:hint="eastAsia" w:ascii="Times New Roman" w:hAnsi="Times New Roman" w:eastAsia="黑体"/>
          <w:sz w:val="28"/>
          <w:szCs w:val="28"/>
        </w:rPr>
        <w:fldChar w:fldCharType="begin"/>
      </w:r>
      <w:r>
        <w:rPr>
          <w:rFonts w:hint="eastAsia" w:ascii="Times New Roman" w:hAnsi="Times New Roman" w:eastAsia="黑体"/>
          <w:sz w:val="28"/>
          <w:szCs w:val="28"/>
        </w:rPr>
        <w:instrText xml:space="preserve"> PAGEREF _Toc12976 </w:instrText>
      </w:r>
      <w:r>
        <w:rPr>
          <w:rFonts w:hint="eastAsia" w:ascii="Times New Roman" w:hAnsi="Times New Roman" w:eastAsia="黑体"/>
          <w:sz w:val="28"/>
          <w:szCs w:val="28"/>
        </w:rPr>
        <w:fldChar w:fldCharType="separate"/>
      </w:r>
      <w:r>
        <w:rPr>
          <w:rFonts w:hint="eastAsia" w:ascii="Times New Roman" w:hAnsi="Times New Roman" w:eastAsia="黑体"/>
          <w:sz w:val="28"/>
          <w:szCs w:val="28"/>
        </w:rPr>
        <w:t>58</w:t>
      </w:r>
      <w:r>
        <w:rPr>
          <w:rFonts w:hint="eastAsia" w:ascii="Times New Roman" w:hAnsi="Times New Roman" w:eastAsia="黑体"/>
          <w:sz w:val="28"/>
          <w:szCs w:val="28"/>
        </w:rPr>
        <w:fldChar w:fldCharType="end"/>
      </w:r>
      <w:r>
        <w:rPr>
          <w:rFonts w:hint="eastAsia" w:ascii="Times New Roman" w:hAnsi="Times New Roman" w:eastAsia="黑体"/>
          <w:sz w:val="28"/>
          <w:szCs w:val="28"/>
        </w:rPr>
        <w:fldChar w:fldCharType="end"/>
      </w:r>
    </w:p>
    <w:p>
      <w:pPr>
        <w:pStyle w:val="10"/>
        <w:tabs>
          <w:tab w:val="right" w:leader="dot" w:pos="8732"/>
        </w:tabs>
        <w:spacing w:line="560" w:lineRule="exact"/>
        <w:rPr>
          <w:rFonts w:ascii="Times New Roman" w:hAnsi="Times New Roman" w:eastAsia="黑体"/>
          <w:sz w:val="28"/>
          <w:szCs w:val="28"/>
        </w:rPr>
      </w:pPr>
      <w:r>
        <w:fldChar w:fldCharType="begin"/>
      </w:r>
      <w:r>
        <w:instrText xml:space="preserve"> HYPERLINK \l "_Toc26237" </w:instrText>
      </w:r>
      <w:r>
        <w:fldChar w:fldCharType="separate"/>
      </w:r>
      <w:r>
        <w:rPr>
          <w:rFonts w:hint="eastAsia" w:ascii="Times New Roman" w:hAnsi="Times New Roman" w:eastAsia="黑体"/>
          <w:sz w:val="28"/>
          <w:szCs w:val="28"/>
        </w:rPr>
        <w:t>第二节  加速重点城镇建设</w:t>
      </w:r>
      <w:r>
        <w:rPr>
          <w:rFonts w:hint="eastAsia" w:ascii="Times New Roman" w:hAnsi="Times New Roman" w:eastAsia="黑体"/>
          <w:sz w:val="28"/>
          <w:szCs w:val="28"/>
        </w:rPr>
        <w:tab/>
      </w:r>
      <w:r>
        <w:rPr>
          <w:rFonts w:hint="eastAsia" w:ascii="Times New Roman" w:hAnsi="Times New Roman" w:eastAsia="黑体"/>
          <w:sz w:val="28"/>
          <w:szCs w:val="28"/>
        </w:rPr>
        <w:fldChar w:fldCharType="begin"/>
      </w:r>
      <w:r>
        <w:rPr>
          <w:rFonts w:hint="eastAsia" w:ascii="Times New Roman" w:hAnsi="Times New Roman" w:eastAsia="黑体"/>
          <w:sz w:val="28"/>
          <w:szCs w:val="28"/>
        </w:rPr>
        <w:instrText xml:space="preserve"> PAGEREF _Toc26237 </w:instrText>
      </w:r>
      <w:r>
        <w:rPr>
          <w:rFonts w:hint="eastAsia" w:ascii="Times New Roman" w:hAnsi="Times New Roman" w:eastAsia="黑体"/>
          <w:sz w:val="28"/>
          <w:szCs w:val="28"/>
        </w:rPr>
        <w:fldChar w:fldCharType="separate"/>
      </w:r>
      <w:r>
        <w:rPr>
          <w:rFonts w:hint="eastAsia" w:ascii="Times New Roman" w:hAnsi="Times New Roman" w:eastAsia="黑体"/>
          <w:sz w:val="28"/>
          <w:szCs w:val="28"/>
        </w:rPr>
        <w:t>59</w:t>
      </w:r>
      <w:r>
        <w:rPr>
          <w:rFonts w:hint="eastAsia" w:ascii="Times New Roman" w:hAnsi="Times New Roman" w:eastAsia="黑体"/>
          <w:sz w:val="28"/>
          <w:szCs w:val="28"/>
        </w:rPr>
        <w:fldChar w:fldCharType="end"/>
      </w:r>
      <w:r>
        <w:rPr>
          <w:rFonts w:hint="eastAsia" w:ascii="Times New Roman" w:hAnsi="Times New Roman" w:eastAsia="黑体"/>
          <w:sz w:val="28"/>
          <w:szCs w:val="28"/>
        </w:rPr>
        <w:fldChar w:fldCharType="end"/>
      </w:r>
    </w:p>
    <w:p>
      <w:pPr>
        <w:pStyle w:val="10"/>
        <w:tabs>
          <w:tab w:val="right" w:leader="dot" w:pos="8732"/>
        </w:tabs>
        <w:spacing w:line="560" w:lineRule="exact"/>
        <w:rPr>
          <w:rFonts w:ascii="Times New Roman" w:hAnsi="Times New Roman" w:eastAsia="黑体"/>
          <w:sz w:val="28"/>
          <w:szCs w:val="28"/>
        </w:rPr>
      </w:pPr>
      <w:r>
        <w:fldChar w:fldCharType="begin"/>
      </w:r>
      <w:r>
        <w:instrText xml:space="preserve"> HYPERLINK \l "_Toc22809" </w:instrText>
      </w:r>
      <w:r>
        <w:fldChar w:fldCharType="separate"/>
      </w:r>
      <w:r>
        <w:rPr>
          <w:rFonts w:hint="eastAsia" w:ascii="Times New Roman" w:hAnsi="Times New Roman" w:eastAsia="黑体"/>
          <w:sz w:val="28"/>
          <w:szCs w:val="28"/>
        </w:rPr>
        <w:t>第三节  促进城乡联动发展</w:t>
      </w:r>
      <w:r>
        <w:rPr>
          <w:rFonts w:hint="eastAsia" w:ascii="Times New Roman" w:hAnsi="Times New Roman" w:eastAsia="黑体"/>
          <w:sz w:val="28"/>
          <w:szCs w:val="28"/>
        </w:rPr>
        <w:tab/>
      </w:r>
      <w:r>
        <w:rPr>
          <w:rFonts w:hint="eastAsia" w:ascii="Times New Roman" w:hAnsi="Times New Roman" w:eastAsia="黑体"/>
          <w:sz w:val="28"/>
          <w:szCs w:val="28"/>
        </w:rPr>
        <w:fldChar w:fldCharType="begin"/>
      </w:r>
      <w:r>
        <w:rPr>
          <w:rFonts w:hint="eastAsia" w:ascii="Times New Roman" w:hAnsi="Times New Roman" w:eastAsia="黑体"/>
          <w:sz w:val="28"/>
          <w:szCs w:val="28"/>
        </w:rPr>
        <w:instrText xml:space="preserve"> PAGEREF _Toc22809 </w:instrText>
      </w:r>
      <w:r>
        <w:rPr>
          <w:rFonts w:hint="eastAsia" w:ascii="Times New Roman" w:hAnsi="Times New Roman" w:eastAsia="黑体"/>
          <w:sz w:val="28"/>
          <w:szCs w:val="28"/>
        </w:rPr>
        <w:fldChar w:fldCharType="separate"/>
      </w:r>
      <w:r>
        <w:rPr>
          <w:rFonts w:hint="eastAsia" w:ascii="Times New Roman" w:hAnsi="Times New Roman" w:eastAsia="黑体"/>
          <w:sz w:val="28"/>
          <w:szCs w:val="28"/>
        </w:rPr>
        <w:t>60</w:t>
      </w:r>
      <w:r>
        <w:rPr>
          <w:rFonts w:hint="eastAsia" w:ascii="Times New Roman" w:hAnsi="Times New Roman" w:eastAsia="黑体"/>
          <w:sz w:val="28"/>
          <w:szCs w:val="28"/>
        </w:rPr>
        <w:fldChar w:fldCharType="end"/>
      </w:r>
      <w:r>
        <w:rPr>
          <w:rFonts w:hint="eastAsia" w:ascii="Times New Roman" w:hAnsi="Times New Roman" w:eastAsia="黑体"/>
          <w:sz w:val="28"/>
          <w:szCs w:val="28"/>
        </w:rPr>
        <w:fldChar w:fldCharType="end"/>
      </w:r>
    </w:p>
    <w:p>
      <w:pPr>
        <w:pStyle w:val="2"/>
        <w:tabs>
          <w:tab w:val="right" w:leader="dot" w:pos="8732"/>
        </w:tabs>
        <w:spacing w:line="560" w:lineRule="exact"/>
        <w:rPr>
          <w:rFonts w:ascii="Times New Roman" w:hAnsi="Times New Roman" w:eastAsia="黑体"/>
          <w:sz w:val="28"/>
          <w:szCs w:val="28"/>
        </w:rPr>
      </w:pPr>
      <w:r>
        <w:fldChar w:fldCharType="begin"/>
      </w:r>
      <w:r>
        <w:instrText xml:space="preserve"> HYPERLINK \l "_Toc23726" </w:instrText>
      </w:r>
      <w:r>
        <w:fldChar w:fldCharType="separate"/>
      </w:r>
      <w:r>
        <w:rPr>
          <w:rFonts w:hint="eastAsia" w:ascii="Times New Roman" w:hAnsi="Times New Roman" w:eastAsia="黑体"/>
          <w:sz w:val="28"/>
          <w:szCs w:val="28"/>
        </w:rPr>
        <w:t>第十章  优化营商环境 加速招商引资</w:t>
      </w:r>
      <w:r>
        <w:rPr>
          <w:rFonts w:hint="eastAsia" w:ascii="Times New Roman" w:hAnsi="Times New Roman" w:eastAsia="黑体"/>
          <w:sz w:val="28"/>
          <w:szCs w:val="28"/>
        </w:rPr>
        <w:tab/>
      </w:r>
      <w:r>
        <w:rPr>
          <w:rFonts w:hint="eastAsia" w:ascii="Times New Roman" w:hAnsi="Times New Roman" w:eastAsia="黑体"/>
          <w:sz w:val="28"/>
          <w:szCs w:val="28"/>
        </w:rPr>
        <w:fldChar w:fldCharType="begin"/>
      </w:r>
      <w:r>
        <w:rPr>
          <w:rFonts w:hint="eastAsia" w:ascii="Times New Roman" w:hAnsi="Times New Roman" w:eastAsia="黑体"/>
          <w:sz w:val="28"/>
          <w:szCs w:val="28"/>
        </w:rPr>
        <w:instrText xml:space="preserve"> PAGEREF _Toc23726 </w:instrText>
      </w:r>
      <w:r>
        <w:rPr>
          <w:rFonts w:hint="eastAsia" w:ascii="Times New Roman" w:hAnsi="Times New Roman" w:eastAsia="黑体"/>
          <w:sz w:val="28"/>
          <w:szCs w:val="28"/>
        </w:rPr>
        <w:fldChar w:fldCharType="separate"/>
      </w:r>
      <w:r>
        <w:rPr>
          <w:rFonts w:hint="eastAsia" w:ascii="Times New Roman" w:hAnsi="Times New Roman" w:eastAsia="黑体"/>
          <w:sz w:val="28"/>
          <w:szCs w:val="28"/>
        </w:rPr>
        <w:t>62</w:t>
      </w:r>
      <w:r>
        <w:rPr>
          <w:rFonts w:hint="eastAsia" w:ascii="Times New Roman" w:hAnsi="Times New Roman" w:eastAsia="黑体"/>
          <w:sz w:val="28"/>
          <w:szCs w:val="28"/>
        </w:rPr>
        <w:fldChar w:fldCharType="end"/>
      </w:r>
      <w:r>
        <w:rPr>
          <w:rFonts w:hint="eastAsia" w:ascii="Times New Roman" w:hAnsi="Times New Roman" w:eastAsia="黑体"/>
          <w:sz w:val="28"/>
          <w:szCs w:val="28"/>
        </w:rPr>
        <w:fldChar w:fldCharType="end"/>
      </w:r>
    </w:p>
    <w:p>
      <w:pPr>
        <w:pStyle w:val="10"/>
        <w:tabs>
          <w:tab w:val="right" w:leader="dot" w:pos="8732"/>
        </w:tabs>
        <w:spacing w:line="560" w:lineRule="exact"/>
        <w:rPr>
          <w:rFonts w:ascii="Times New Roman" w:hAnsi="Times New Roman" w:eastAsia="黑体"/>
          <w:sz w:val="28"/>
          <w:szCs w:val="28"/>
        </w:rPr>
      </w:pPr>
      <w:r>
        <w:fldChar w:fldCharType="begin"/>
      </w:r>
      <w:r>
        <w:instrText xml:space="preserve"> HYPERLINK \l "_Toc28517" </w:instrText>
      </w:r>
      <w:r>
        <w:fldChar w:fldCharType="separate"/>
      </w:r>
      <w:r>
        <w:rPr>
          <w:rFonts w:hint="eastAsia" w:ascii="Times New Roman" w:hAnsi="Times New Roman" w:eastAsia="黑体"/>
          <w:sz w:val="28"/>
          <w:szCs w:val="28"/>
        </w:rPr>
        <w:t>第一节  提升政府服务效能</w:t>
      </w:r>
      <w:r>
        <w:rPr>
          <w:rFonts w:hint="eastAsia" w:ascii="Times New Roman" w:hAnsi="Times New Roman" w:eastAsia="黑体"/>
          <w:sz w:val="28"/>
          <w:szCs w:val="28"/>
        </w:rPr>
        <w:tab/>
      </w:r>
      <w:r>
        <w:rPr>
          <w:rFonts w:hint="eastAsia" w:ascii="Times New Roman" w:hAnsi="Times New Roman" w:eastAsia="黑体"/>
          <w:sz w:val="28"/>
          <w:szCs w:val="28"/>
        </w:rPr>
        <w:fldChar w:fldCharType="begin"/>
      </w:r>
      <w:r>
        <w:rPr>
          <w:rFonts w:hint="eastAsia" w:ascii="Times New Roman" w:hAnsi="Times New Roman" w:eastAsia="黑体"/>
          <w:sz w:val="28"/>
          <w:szCs w:val="28"/>
        </w:rPr>
        <w:instrText xml:space="preserve"> PAGEREF _Toc28517 </w:instrText>
      </w:r>
      <w:r>
        <w:rPr>
          <w:rFonts w:hint="eastAsia" w:ascii="Times New Roman" w:hAnsi="Times New Roman" w:eastAsia="黑体"/>
          <w:sz w:val="28"/>
          <w:szCs w:val="28"/>
        </w:rPr>
        <w:fldChar w:fldCharType="separate"/>
      </w:r>
      <w:r>
        <w:rPr>
          <w:rFonts w:hint="eastAsia" w:ascii="Times New Roman" w:hAnsi="Times New Roman" w:eastAsia="黑体"/>
          <w:sz w:val="28"/>
          <w:szCs w:val="28"/>
        </w:rPr>
        <w:t>62</w:t>
      </w:r>
      <w:r>
        <w:rPr>
          <w:rFonts w:hint="eastAsia" w:ascii="Times New Roman" w:hAnsi="Times New Roman" w:eastAsia="黑体"/>
          <w:sz w:val="28"/>
          <w:szCs w:val="28"/>
        </w:rPr>
        <w:fldChar w:fldCharType="end"/>
      </w:r>
      <w:r>
        <w:rPr>
          <w:rFonts w:hint="eastAsia" w:ascii="Times New Roman" w:hAnsi="Times New Roman" w:eastAsia="黑体"/>
          <w:sz w:val="28"/>
          <w:szCs w:val="28"/>
        </w:rPr>
        <w:fldChar w:fldCharType="end"/>
      </w:r>
    </w:p>
    <w:p>
      <w:pPr>
        <w:pStyle w:val="10"/>
        <w:tabs>
          <w:tab w:val="right" w:leader="dot" w:pos="8732"/>
        </w:tabs>
        <w:spacing w:line="560" w:lineRule="exact"/>
        <w:rPr>
          <w:rFonts w:ascii="Times New Roman" w:hAnsi="Times New Roman" w:eastAsia="黑体"/>
          <w:sz w:val="28"/>
          <w:szCs w:val="28"/>
        </w:rPr>
      </w:pPr>
      <w:r>
        <w:fldChar w:fldCharType="begin"/>
      </w:r>
      <w:r>
        <w:instrText xml:space="preserve"> HYPERLINK \l "_Toc4043" </w:instrText>
      </w:r>
      <w:r>
        <w:fldChar w:fldCharType="separate"/>
      </w:r>
      <w:r>
        <w:rPr>
          <w:rFonts w:hint="eastAsia" w:ascii="Times New Roman" w:hAnsi="Times New Roman" w:eastAsia="黑体"/>
          <w:sz w:val="28"/>
          <w:szCs w:val="28"/>
        </w:rPr>
        <w:t>第二节  降低企业经营成本</w:t>
      </w:r>
      <w:r>
        <w:rPr>
          <w:rFonts w:hint="eastAsia" w:ascii="Times New Roman" w:hAnsi="Times New Roman" w:eastAsia="黑体"/>
          <w:sz w:val="28"/>
          <w:szCs w:val="28"/>
        </w:rPr>
        <w:tab/>
      </w:r>
      <w:r>
        <w:rPr>
          <w:rFonts w:hint="eastAsia" w:ascii="Times New Roman" w:hAnsi="Times New Roman" w:eastAsia="黑体"/>
          <w:sz w:val="28"/>
          <w:szCs w:val="28"/>
        </w:rPr>
        <w:fldChar w:fldCharType="begin"/>
      </w:r>
      <w:r>
        <w:rPr>
          <w:rFonts w:hint="eastAsia" w:ascii="Times New Roman" w:hAnsi="Times New Roman" w:eastAsia="黑体"/>
          <w:sz w:val="28"/>
          <w:szCs w:val="28"/>
        </w:rPr>
        <w:instrText xml:space="preserve"> PAGEREF _Toc4043 </w:instrText>
      </w:r>
      <w:r>
        <w:rPr>
          <w:rFonts w:hint="eastAsia" w:ascii="Times New Roman" w:hAnsi="Times New Roman" w:eastAsia="黑体"/>
          <w:sz w:val="28"/>
          <w:szCs w:val="28"/>
        </w:rPr>
        <w:fldChar w:fldCharType="separate"/>
      </w:r>
      <w:r>
        <w:rPr>
          <w:rFonts w:hint="eastAsia" w:ascii="Times New Roman" w:hAnsi="Times New Roman" w:eastAsia="黑体"/>
          <w:sz w:val="28"/>
          <w:szCs w:val="28"/>
        </w:rPr>
        <w:t>63</w:t>
      </w:r>
      <w:r>
        <w:rPr>
          <w:rFonts w:hint="eastAsia" w:ascii="Times New Roman" w:hAnsi="Times New Roman" w:eastAsia="黑体"/>
          <w:sz w:val="28"/>
          <w:szCs w:val="28"/>
        </w:rPr>
        <w:fldChar w:fldCharType="end"/>
      </w:r>
      <w:r>
        <w:rPr>
          <w:rFonts w:hint="eastAsia" w:ascii="Times New Roman" w:hAnsi="Times New Roman" w:eastAsia="黑体"/>
          <w:sz w:val="28"/>
          <w:szCs w:val="28"/>
        </w:rPr>
        <w:fldChar w:fldCharType="end"/>
      </w:r>
    </w:p>
    <w:p>
      <w:pPr>
        <w:pStyle w:val="10"/>
        <w:tabs>
          <w:tab w:val="right" w:leader="dot" w:pos="8732"/>
        </w:tabs>
        <w:spacing w:line="560" w:lineRule="exact"/>
        <w:rPr>
          <w:rFonts w:ascii="Times New Roman" w:hAnsi="Times New Roman" w:eastAsia="黑体"/>
          <w:sz w:val="28"/>
          <w:szCs w:val="28"/>
        </w:rPr>
      </w:pPr>
      <w:r>
        <w:fldChar w:fldCharType="begin"/>
      </w:r>
      <w:r>
        <w:instrText xml:space="preserve"> HYPERLINK \l "_Toc21037" </w:instrText>
      </w:r>
      <w:r>
        <w:fldChar w:fldCharType="separate"/>
      </w:r>
      <w:r>
        <w:rPr>
          <w:rFonts w:hint="eastAsia" w:ascii="Times New Roman" w:hAnsi="Times New Roman" w:eastAsia="黑体"/>
          <w:sz w:val="28"/>
          <w:szCs w:val="28"/>
        </w:rPr>
        <w:t>第三节  创新监管方式方法</w:t>
      </w:r>
      <w:r>
        <w:rPr>
          <w:rFonts w:hint="eastAsia" w:ascii="Times New Roman" w:hAnsi="Times New Roman" w:eastAsia="黑体"/>
          <w:sz w:val="28"/>
          <w:szCs w:val="28"/>
        </w:rPr>
        <w:tab/>
      </w:r>
      <w:r>
        <w:rPr>
          <w:rFonts w:hint="eastAsia" w:ascii="Times New Roman" w:hAnsi="Times New Roman" w:eastAsia="黑体"/>
          <w:sz w:val="28"/>
          <w:szCs w:val="28"/>
        </w:rPr>
        <w:fldChar w:fldCharType="begin"/>
      </w:r>
      <w:r>
        <w:rPr>
          <w:rFonts w:hint="eastAsia" w:ascii="Times New Roman" w:hAnsi="Times New Roman" w:eastAsia="黑体"/>
          <w:sz w:val="28"/>
          <w:szCs w:val="28"/>
        </w:rPr>
        <w:instrText xml:space="preserve"> PAGEREF _Toc21037 </w:instrText>
      </w:r>
      <w:r>
        <w:rPr>
          <w:rFonts w:hint="eastAsia" w:ascii="Times New Roman" w:hAnsi="Times New Roman" w:eastAsia="黑体"/>
          <w:sz w:val="28"/>
          <w:szCs w:val="28"/>
        </w:rPr>
        <w:fldChar w:fldCharType="separate"/>
      </w:r>
      <w:r>
        <w:rPr>
          <w:rFonts w:hint="eastAsia" w:ascii="Times New Roman" w:hAnsi="Times New Roman" w:eastAsia="黑体"/>
          <w:sz w:val="28"/>
          <w:szCs w:val="28"/>
        </w:rPr>
        <w:t>64</w:t>
      </w:r>
      <w:r>
        <w:rPr>
          <w:rFonts w:hint="eastAsia" w:ascii="Times New Roman" w:hAnsi="Times New Roman" w:eastAsia="黑体"/>
          <w:sz w:val="28"/>
          <w:szCs w:val="28"/>
        </w:rPr>
        <w:fldChar w:fldCharType="end"/>
      </w:r>
      <w:r>
        <w:rPr>
          <w:rFonts w:hint="eastAsia" w:ascii="Times New Roman" w:hAnsi="Times New Roman" w:eastAsia="黑体"/>
          <w:sz w:val="28"/>
          <w:szCs w:val="28"/>
        </w:rPr>
        <w:fldChar w:fldCharType="end"/>
      </w:r>
    </w:p>
    <w:p>
      <w:pPr>
        <w:pStyle w:val="10"/>
        <w:tabs>
          <w:tab w:val="right" w:leader="dot" w:pos="8732"/>
        </w:tabs>
        <w:spacing w:line="560" w:lineRule="exact"/>
        <w:rPr>
          <w:rFonts w:ascii="Times New Roman" w:hAnsi="Times New Roman" w:eastAsia="黑体"/>
          <w:sz w:val="28"/>
          <w:szCs w:val="28"/>
        </w:rPr>
      </w:pPr>
      <w:r>
        <w:fldChar w:fldCharType="begin"/>
      </w:r>
      <w:r>
        <w:instrText xml:space="preserve"> HYPERLINK \l "_Toc22716" </w:instrText>
      </w:r>
      <w:r>
        <w:fldChar w:fldCharType="separate"/>
      </w:r>
      <w:r>
        <w:rPr>
          <w:rFonts w:hint="eastAsia" w:ascii="Times New Roman" w:hAnsi="Times New Roman" w:eastAsia="黑体"/>
          <w:sz w:val="28"/>
          <w:szCs w:val="28"/>
        </w:rPr>
        <w:t>第四节  加大招商引资力度</w:t>
      </w:r>
      <w:r>
        <w:rPr>
          <w:rFonts w:hint="eastAsia" w:ascii="Times New Roman" w:hAnsi="Times New Roman" w:eastAsia="黑体"/>
          <w:sz w:val="28"/>
          <w:szCs w:val="28"/>
        </w:rPr>
        <w:tab/>
      </w:r>
      <w:r>
        <w:rPr>
          <w:rFonts w:hint="eastAsia" w:ascii="Times New Roman" w:hAnsi="Times New Roman" w:eastAsia="黑体"/>
          <w:sz w:val="28"/>
          <w:szCs w:val="28"/>
        </w:rPr>
        <w:fldChar w:fldCharType="begin"/>
      </w:r>
      <w:r>
        <w:rPr>
          <w:rFonts w:hint="eastAsia" w:ascii="Times New Roman" w:hAnsi="Times New Roman" w:eastAsia="黑体"/>
          <w:sz w:val="28"/>
          <w:szCs w:val="28"/>
        </w:rPr>
        <w:instrText xml:space="preserve"> PAGEREF _Toc22716 </w:instrText>
      </w:r>
      <w:r>
        <w:rPr>
          <w:rFonts w:hint="eastAsia" w:ascii="Times New Roman" w:hAnsi="Times New Roman" w:eastAsia="黑体"/>
          <w:sz w:val="28"/>
          <w:szCs w:val="28"/>
        </w:rPr>
        <w:fldChar w:fldCharType="separate"/>
      </w:r>
      <w:r>
        <w:rPr>
          <w:rFonts w:hint="eastAsia" w:ascii="Times New Roman" w:hAnsi="Times New Roman" w:eastAsia="黑体"/>
          <w:sz w:val="28"/>
          <w:szCs w:val="28"/>
        </w:rPr>
        <w:t>64</w:t>
      </w:r>
      <w:r>
        <w:rPr>
          <w:rFonts w:hint="eastAsia" w:ascii="Times New Roman" w:hAnsi="Times New Roman" w:eastAsia="黑体"/>
          <w:sz w:val="28"/>
          <w:szCs w:val="28"/>
        </w:rPr>
        <w:fldChar w:fldCharType="end"/>
      </w:r>
      <w:r>
        <w:rPr>
          <w:rFonts w:hint="eastAsia" w:ascii="Times New Roman" w:hAnsi="Times New Roman" w:eastAsia="黑体"/>
          <w:sz w:val="28"/>
          <w:szCs w:val="28"/>
        </w:rPr>
        <w:fldChar w:fldCharType="end"/>
      </w:r>
    </w:p>
    <w:p>
      <w:pPr>
        <w:pStyle w:val="2"/>
        <w:tabs>
          <w:tab w:val="right" w:leader="dot" w:pos="8732"/>
        </w:tabs>
        <w:spacing w:line="560" w:lineRule="exact"/>
        <w:rPr>
          <w:rFonts w:ascii="Times New Roman" w:hAnsi="Times New Roman" w:eastAsia="黑体"/>
          <w:sz w:val="28"/>
          <w:szCs w:val="28"/>
        </w:rPr>
      </w:pPr>
      <w:r>
        <w:fldChar w:fldCharType="begin"/>
      </w:r>
      <w:r>
        <w:instrText xml:space="preserve"> HYPERLINK \l "_Toc6208" </w:instrText>
      </w:r>
      <w:r>
        <w:fldChar w:fldCharType="separate"/>
      </w:r>
      <w:r>
        <w:rPr>
          <w:rFonts w:hint="eastAsia" w:ascii="Times New Roman" w:hAnsi="Times New Roman" w:eastAsia="黑体"/>
          <w:sz w:val="28"/>
          <w:szCs w:val="28"/>
        </w:rPr>
        <w:t>第十一章  全面深化改革 构建共治体系</w:t>
      </w:r>
      <w:r>
        <w:rPr>
          <w:rFonts w:hint="eastAsia" w:ascii="Times New Roman" w:hAnsi="Times New Roman" w:eastAsia="黑体"/>
          <w:sz w:val="28"/>
          <w:szCs w:val="28"/>
        </w:rPr>
        <w:tab/>
      </w:r>
      <w:r>
        <w:rPr>
          <w:rFonts w:hint="eastAsia" w:ascii="Times New Roman" w:hAnsi="Times New Roman" w:eastAsia="黑体"/>
          <w:sz w:val="28"/>
          <w:szCs w:val="28"/>
        </w:rPr>
        <w:fldChar w:fldCharType="begin"/>
      </w:r>
      <w:r>
        <w:rPr>
          <w:rFonts w:hint="eastAsia" w:ascii="Times New Roman" w:hAnsi="Times New Roman" w:eastAsia="黑体"/>
          <w:sz w:val="28"/>
          <w:szCs w:val="28"/>
        </w:rPr>
        <w:instrText xml:space="preserve"> PAGEREF _Toc6208 </w:instrText>
      </w:r>
      <w:r>
        <w:rPr>
          <w:rFonts w:hint="eastAsia" w:ascii="Times New Roman" w:hAnsi="Times New Roman" w:eastAsia="黑体"/>
          <w:sz w:val="28"/>
          <w:szCs w:val="28"/>
        </w:rPr>
        <w:fldChar w:fldCharType="separate"/>
      </w:r>
      <w:r>
        <w:rPr>
          <w:rFonts w:hint="eastAsia" w:ascii="Times New Roman" w:hAnsi="Times New Roman" w:eastAsia="黑体"/>
          <w:sz w:val="28"/>
          <w:szCs w:val="28"/>
        </w:rPr>
        <w:t>65</w:t>
      </w:r>
      <w:r>
        <w:rPr>
          <w:rFonts w:hint="eastAsia" w:ascii="Times New Roman" w:hAnsi="Times New Roman" w:eastAsia="黑体"/>
          <w:sz w:val="28"/>
          <w:szCs w:val="28"/>
        </w:rPr>
        <w:fldChar w:fldCharType="end"/>
      </w:r>
      <w:r>
        <w:rPr>
          <w:rFonts w:hint="eastAsia" w:ascii="Times New Roman" w:hAnsi="Times New Roman" w:eastAsia="黑体"/>
          <w:sz w:val="28"/>
          <w:szCs w:val="28"/>
        </w:rPr>
        <w:fldChar w:fldCharType="end"/>
      </w:r>
    </w:p>
    <w:p>
      <w:pPr>
        <w:pStyle w:val="10"/>
        <w:tabs>
          <w:tab w:val="right" w:leader="dot" w:pos="8732"/>
        </w:tabs>
        <w:spacing w:line="560" w:lineRule="exact"/>
        <w:rPr>
          <w:rFonts w:ascii="Times New Roman" w:hAnsi="Times New Roman" w:eastAsia="黑体"/>
          <w:sz w:val="28"/>
          <w:szCs w:val="28"/>
        </w:rPr>
      </w:pPr>
      <w:r>
        <w:fldChar w:fldCharType="begin"/>
      </w:r>
      <w:r>
        <w:instrText xml:space="preserve"> HYPERLINK \l "_Toc6582" </w:instrText>
      </w:r>
      <w:r>
        <w:fldChar w:fldCharType="separate"/>
      </w:r>
      <w:r>
        <w:rPr>
          <w:rFonts w:hint="eastAsia" w:ascii="Times New Roman" w:hAnsi="Times New Roman" w:eastAsia="黑体"/>
          <w:sz w:val="28"/>
          <w:szCs w:val="28"/>
        </w:rPr>
        <w:t>第一节  要素资源市场化改革</w:t>
      </w:r>
      <w:r>
        <w:rPr>
          <w:rFonts w:hint="eastAsia" w:ascii="Times New Roman" w:hAnsi="Times New Roman" w:eastAsia="黑体"/>
          <w:sz w:val="28"/>
          <w:szCs w:val="28"/>
        </w:rPr>
        <w:tab/>
      </w:r>
      <w:r>
        <w:rPr>
          <w:rFonts w:hint="eastAsia" w:ascii="Times New Roman" w:hAnsi="Times New Roman" w:eastAsia="黑体"/>
          <w:sz w:val="28"/>
          <w:szCs w:val="28"/>
        </w:rPr>
        <w:fldChar w:fldCharType="begin"/>
      </w:r>
      <w:r>
        <w:rPr>
          <w:rFonts w:hint="eastAsia" w:ascii="Times New Roman" w:hAnsi="Times New Roman" w:eastAsia="黑体"/>
          <w:sz w:val="28"/>
          <w:szCs w:val="28"/>
        </w:rPr>
        <w:instrText xml:space="preserve"> PAGEREF _Toc6582 </w:instrText>
      </w:r>
      <w:r>
        <w:rPr>
          <w:rFonts w:hint="eastAsia" w:ascii="Times New Roman" w:hAnsi="Times New Roman" w:eastAsia="黑体"/>
          <w:sz w:val="28"/>
          <w:szCs w:val="28"/>
        </w:rPr>
        <w:fldChar w:fldCharType="separate"/>
      </w:r>
      <w:r>
        <w:rPr>
          <w:rFonts w:hint="eastAsia" w:ascii="Times New Roman" w:hAnsi="Times New Roman" w:eastAsia="黑体"/>
          <w:sz w:val="28"/>
          <w:szCs w:val="28"/>
        </w:rPr>
        <w:t>65</w:t>
      </w:r>
      <w:r>
        <w:rPr>
          <w:rFonts w:hint="eastAsia" w:ascii="Times New Roman" w:hAnsi="Times New Roman" w:eastAsia="黑体"/>
          <w:sz w:val="28"/>
          <w:szCs w:val="28"/>
        </w:rPr>
        <w:fldChar w:fldCharType="end"/>
      </w:r>
      <w:r>
        <w:rPr>
          <w:rFonts w:hint="eastAsia" w:ascii="Times New Roman" w:hAnsi="Times New Roman" w:eastAsia="黑体"/>
          <w:sz w:val="28"/>
          <w:szCs w:val="28"/>
        </w:rPr>
        <w:fldChar w:fldCharType="end"/>
      </w:r>
    </w:p>
    <w:p>
      <w:pPr>
        <w:pStyle w:val="10"/>
        <w:tabs>
          <w:tab w:val="right" w:leader="dot" w:pos="8732"/>
        </w:tabs>
        <w:spacing w:line="560" w:lineRule="exact"/>
        <w:rPr>
          <w:rFonts w:ascii="Times New Roman" w:hAnsi="Times New Roman" w:eastAsia="黑体"/>
          <w:sz w:val="28"/>
          <w:szCs w:val="28"/>
        </w:rPr>
      </w:pPr>
      <w:r>
        <w:fldChar w:fldCharType="begin"/>
      </w:r>
      <w:r>
        <w:instrText xml:space="preserve"> HYPERLINK \l "_Toc6565" </w:instrText>
      </w:r>
      <w:r>
        <w:fldChar w:fldCharType="separate"/>
      </w:r>
      <w:r>
        <w:rPr>
          <w:rFonts w:hint="eastAsia" w:ascii="Times New Roman" w:hAnsi="Times New Roman" w:eastAsia="黑体"/>
          <w:sz w:val="28"/>
          <w:szCs w:val="28"/>
        </w:rPr>
        <w:t>第二节  推进重点领域改革</w:t>
      </w:r>
      <w:r>
        <w:rPr>
          <w:rFonts w:hint="eastAsia" w:ascii="Times New Roman" w:hAnsi="Times New Roman" w:eastAsia="黑体"/>
          <w:sz w:val="28"/>
          <w:szCs w:val="28"/>
        </w:rPr>
        <w:tab/>
      </w:r>
      <w:r>
        <w:rPr>
          <w:rFonts w:hint="eastAsia" w:ascii="Times New Roman" w:hAnsi="Times New Roman" w:eastAsia="黑体"/>
          <w:sz w:val="28"/>
          <w:szCs w:val="28"/>
        </w:rPr>
        <w:fldChar w:fldCharType="begin"/>
      </w:r>
      <w:r>
        <w:rPr>
          <w:rFonts w:hint="eastAsia" w:ascii="Times New Roman" w:hAnsi="Times New Roman" w:eastAsia="黑体"/>
          <w:sz w:val="28"/>
          <w:szCs w:val="28"/>
        </w:rPr>
        <w:instrText xml:space="preserve"> PAGEREF _Toc6565 </w:instrText>
      </w:r>
      <w:r>
        <w:rPr>
          <w:rFonts w:hint="eastAsia" w:ascii="Times New Roman" w:hAnsi="Times New Roman" w:eastAsia="黑体"/>
          <w:sz w:val="28"/>
          <w:szCs w:val="28"/>
        </w:rPr>
        <w:fldChar w:fldCharType="separate"/>
      </w:r>
      <w:r>
        <w:rPr>
          <w:rFonts w:hint="eastAsia" w:ascii="Times New Roman" w:hAnsi="Times New Roman" w:eastAsia="黑体"/>
          <w:sz w:val="28"/>
          <w:szCs w:val="28"/>
        </w:rPr>
        <w:t>67</w:t>
      </w:r>
      <w:r>
        <w:rPr>
          <w:rFonts w:hint="eastAsia" w:ascii="Times New Roman" w:hAnsi="Times New Roman" w:eastAsia="黑体"/>
          <w:sz w:val="28"/>
          <w:szCs w:val="28"/>
        </w:rPr>
        <w:fldChar w:fldCharType="end"/>
      </w:r>
      <w:r>
        <w:rPr>
          <w:rFonts w:hint="eastAsia" w:ascii="Times New Roman" w:hAnsi="Times New Roman" w:eastAsia="黑体"/>
          <w:sz w:val="28"/>
          <w:szCs w:val="28"/>
        </w:rPr>
        <w:fldChar w:fldCharType="end"/>
      </w:r>
    </w:p>
    <w:p>
      <w:pPr>
        <w:pStyle w:val="10"/>
        <w:tabs>
          <w:tab w:val="right" w:leader="dot" w:pos="8732"/>
        </w:tabs>
        <w:spacing w:line="560" w:lineRule="exact"/>
        <w:rPr>
          <w:rFonts w:ascii="Times New Roman" w:hAnsi="Times New Roman" w:eastAsia="黑体"/>
          <w:sz w:val="28"/>
          <w:szCs w:val="28"/>
        </w:rPr>
      </w:pPr>
      <w:r>
        <w:fldChar w:fldCharType="begin"/>
      </w:r>
      <w:r>
        <w:instrText xml:space="preserve"> HYPERLINK \l "_Toc15001" </w:instrText>
      </w:r>
      <w:r>
        <w:fldChar w:fldCharType="separate"/>
      </w:r>
      <w:r>
        <w:rPr>
          <w:rFonts w:hint="eastAsia" w:ascii="Times New Roman" w:hAnsi="Times New Roman" w:eastAsia="黑体"/>
          <w:sz w:val="28"/>
          <w:szCs w:val="28"/>
        </w:rPr>
        <w:t>第三节  提升政府治理能力</w:t>
      </w:r>
      <w:r>
        <w:rPr>
          <w:rFonts w:hint="eastAsia" w:ascii="Times New Roman" w:hAnsi="Times New Roman" w:eastAsia="黑体"/>
          <w:sz w:val="28"/>
          <w:szCs w:val="28"/>
        </w:rPr>
        <w:tab/>
      </w:r>
      <w:r>
        <w:rPr>
          <w:rFonts w:hint="eastAsia" w:ascii="Times New Roman" w:hAnsi="Times New Roman" w:eastAsia="黑体"/>
          <w:sz w:val="28"/>
          <w:szCs w:val="28"/>
        </w:rPr>
        <w:fldChar w:fldCharType="begin"/>
      </w:r>
      <w:r>
        <w:rPr>
          <w:rFonts w:hint="eastAsia" w:ascii="Times New Roman" w:hAnsi="Times New Roman" w:eastAsia="黑体"/>
          <w:sz w:val="28"/>
          <w:szCs w:val="28"/>
        </w:rPr>
        <w:instrText xml:space="preserve"> PAGEREF _Toc15001 </w:instrText>
      </w:r>
      <w:r>
        <w:rPr>
          <w:rFonts w:hint="eastAsia" w:ascii="Times New Roman" w:hAnsi="Times New Roman" w:eastAsia="黑体"/>
          <w:sz w:val="28"/>
          <w:szCs w:val="28"/>
        </w:rPr>
        <w:fldChar w:fldCharType="separate"/>
      </w:r>
      <w:r>
        <w:rPr>
          <w:rFonts w:hint="eastAsia" w:ascii="Times New Roman" w:hAnsi="Times New Roman" w:eastAsia="黑体"/>
          <w:sz w:val="28"/>
          <w:szCs w:val="28"/>
        </w:rPr>
        <w:t>69</w:t>
      </w:r>
      <w:r>
        <w:rPr>
          <w:rFonts w:hint="eastAsia" w:ascii="Times New Roman" w:hAnsi="Times New Roman" w:eastAsia="黑体"/>
          <w:sz w:val="28"/>
          <w:szCs w:val="28"/>
        </w:rPr>
        <w:fldChar w:fldCharType="end"/>
      </w:r>
      <w:r>
        <w:rPr>
          <w:rFonts w:hint="eastAsia" w:ascii="Times New Roman" w:hAnsi="Times New Roman" w:eastAsia="黑体"/>
          <w:sz w:val="28"/>
          <w:szCs w:val="28"/>
        </w:rPr>
        <w:fldChar w:fldCharType="end"/>
      </w:r>
    </w:p>
    <w:p>
      <w:pPr>
        <w:pStyle w:val="2"/>
        <w:tabs>
          <w:tab w:val="right" w:leader="dot" w:pos="8732"/>
        </w:tabs>
        <w:spacing w:line="560" w:lineRule="exact"/>
        <w:rPr>
          <w:rFonts w:ascii="Times New Roman" w:hAnsi="Times New Roman" w:eastAsia="黑体"/>
          <w:sz w:val="28"/>
          <w:szCs w:val="28"/>
        </w:rPr>
      </w:pPr>
      <w:r>
        <w:fldChar w:fldCharType="begin"/>
      </w:r>
      <w:r>
        <w:instrText xml:space="preserve"> HYPERLINK \l "_Toc11369" </w:instrText>
      </w:r>
      <w:r>
        <w:fldChar w:fldCharType="separate"/>
      </w:r>
      <w:r>
        <w:rPr>
          <w:rFonts w:hint="eastAsia" w:ascii="Times New Roman" w:hAnsi="Times New Roman" w:eastAsia="黑体"/>
          <w:sz w:val="28"/>
          <w:szCs w:val="28"/>
        </w:rPr>
        <w:t>第十二章  打造服务集聚 提升服务水平</w:t>
      </w:r>
      <w:r>
        <w:rPr>
          <w:rFonts w:hint="eastAsia" w:ascii="Times New Roman" w:hAnsi="Times New Roman" w:eastAsia="黑体"/>
          <w:sz w:val="28"/>
          <w:szCs w:val="28"/>
        </w:rPr>
        <w:tab/>
      </w:r>
      <w:r>
        <w:rPr>
          <w:rFonts w:hint="eastAsia" w:ascii="Times New Roman" w:hAnsi="Times New Roman" w:eastAsia="黑体"/>
          <w:sz w:val="28"/>
          <w:szCs w:val="28"/>
        </w:rPr>
        <w:fldChar w:fldCharType="begin"/>
      </w:r>
      <w:r>
        <w:rPr>
          <w:rFonts w:hint="eastAsia" w:ascii="Times New Roman" w:hAnsi="Times New Roman" w:eastAsia="黑体"/>
          <w:sz w:val="28"/>
          <w:szCs w:val="28"/>
        </w:rPr>
        <w:instrText xml:space="preserve"> PAGEREF _Toc11369 </w:instrText>
      </w:r>
      <w:r>
        <w:rPr>
          <w:rFonts w:hint="eastAsia" w:ascii="Times New Roman" w:hAnsi="Times New Roman" w:eastAsia="黑体"/>
          <w:sz w:val="28"/>
          <w:szCs w:val="28"/>
        </w:rPr>
        <w:fldChar w:fldCharType="separate"/>
      </w:r>
      <w:r>
        <w:rPr>
          <w:rFonts w:hint="eastAsia" w:ascii="Times New Roman" w:hAnsi="Times New Roman" w:eastAsia="黑体"/>
          <w:sz w:val="28"/>
          <w:szCs w:val="28"/>
        </w:rPr>
        <w:t>70</w:t>
      </w:r>
      <w:r>
        <w:rPr>
          <w:rFonts w:hint="eastAsia" w:ascii="Times New Roman" w:hAnsi="Times New Roman" w:eastAsia="黑体"/>
          <w:sz w:val="28"/>
          <w:szCs w:val="28"/>
        </w:rPr>
        <w:fldChar w:fldCharType="end"/>
      </w:r>
      <w:r>
        <w:rPr>
          <w:rFonts w:hint="eastAsia" w:ascii="Times New Roman" w:hAnsi="Times New Roman" w:eastAsia="黑体"/>
          <w:sz w:val="28"/>
          <w:szCs w:val="28"/>
        </w:rPr>
        <w:fldChar w:fldCharType="end"/>
      </w:r>
    </w:p>
    <w:p>
      <w:pPr>
        <w:pStyle w:val="10"/>
        <w:tabs>
          <w:tab w:val="right" w:leader="dot" w:pos="8732"/>
        </w:tabs>
        <w:spacing w:line="560" w:lineRule="exact"/>
        <w:rPr>
          <w:rFonts w:ascii="Times New Roman" w:hAnsi="Times New Roman" w:eastAsia="黑体"/>
          <w:sz w:val="28"/>
          <w:szCs w:val="28"/>
        </w:rPr>
      </w:pPr>
      <w:r>
        <w:fldChar w:fldCharType="begin"/>
      </w:r>
      <w:r>
        <w:instrText xml:space="preserve"> HYPERLINK \l "_Toc29730" </w:instrText>
      </w:r>
      <w:r>
        <w:fldChar w:fldCharType="separate"/>
      </w:r>
      <w:r>
        <w:rPr>
          <w:rFonts w:hint="eastAsia" w:ascii="Times New Roman" w:hAnsi="Times New Roman" w:eastAsia="黑体"/>
          <w:sz w:val="28"/>
          <w:szCs w:val="28"/>
        </w:rPr>
        <w:t>第一节  增强生产服务业竞争力</w:t>
      </w:r>
      <w:r>
        <w:rPr>
          <w:rFonts w:hint="eastAsia" w:ascii="Times New Roman" w:hAnsi="Times New Roman" w:eastAsia="黑体"/>
          <w:sz w:val="28"/>
          <w:szCs w:val="28"/>
        </w:rPr>
        <w:tab/>
      </w:r>
      <w:r>
        <w:rPr>
          <w:rFonts w:hint="eastAsia" w:ascii="Times New Roman" w:hAnsi="Times New Roman" w:eastAsia="黑体"/>
          <w:sz w:val="28"/>
          <w:szCs w:val="28"/>
        </w:rPr>
        <w:fldChar w:fldCharType="begin"/>
      </w:r>
      <w:r>
        <w:rPr>
          <w:rFonts w:hint="eastAsia" w:ascii="Times New Roman" w:hAnsi="Times New Roman" w:eastAsia="黑体"/>
          <w:sz w:val="28"/>
          <w:szCs w:val="28"/>
        </w:rPr>
        <w:instrText xml:space="preserve"> PAGEREF _Toc29730 </w:instrText>
      </w:r>
      <w:r>
        <w:rPr>
          <w:rFonts w:hint="eastAsia" w:ascii="Times New Roman" w:hAnsi="Times New Roman" w:eastAsia="黑体"/>
          <w:sz w:val="28"/>
          <w:szCs w:val="28"/>
        </w:rPr>
        <w:fldChar w:fldCharType="separate"/>
      </w:r>
      <w:r>
        <w:rPr>
          <w:rFonts w:hint="eastAsia" w:ascii="Times New Roman" w:hAnsi="Times New Roman" w:eastAsia="黑体"/>
          <w:sz w:val="28"/>
          <w:szCs w:val="28"/>
        </w:rPr>
        <w:t>70</w:t>
      </w:r>
      <w:r>
        <w:rPr>
          <w:rFonts w:hint="eastAsia" w:ascii="Times New Roman" w:hAnsi="Times New Roman" w:eastAsia="黑体"/>
          <w:sz w:val="28"/>
          <w:szCs w:val="28"/>
        </w:rPr>
        <w:fldChar w:fldCharType="end"/>
      </w:r>
      <w:r>
        <w:rPr>
          <w:rFonts w:hint="eastAsia" w:ascii="Times New Roman" w:hAnsi="Times New Roman" w:eastAsia="黑体"/>
          <w:sz w:val="28"/>
          <w:szCs w:val="28"/>
        </w:rPr>
        <w:fldChar w:fldCharType="end"/>
      </w:r>
    </w:p>
    <w:p>
      <w:pPr>
        <w:pStyle w:val="10"/>
        <w:tabs>
          <w:tab w:val="right" w:leader="dot" w:pos="8732"/>
        </w:tabs>
        <w:spacing w:line="560" w:lineRule="exact"/>
        <w:rPr>
          <w:rFonts w:ascii="Times New Roman" w:hAnsi="Times New Roman" w:eastAsia="黑体"/>
          <w:sz w:val="28"/>
          <w:szCs w:val="28"/>
        </w:rPr>
      </w:pPr>
      <w:r>
        <w:fldChar w:fldCharType="begin"/>
      </w:r>
      <w:r>
        <w:instrText xml:space="preserve"> HYPERLINK \l "_Toc13293" </w:instrText>
      </w:r>
      <w:r>
        <w:fldChar w:fldCharType="separate"/>
      </w:r>
      <w:r>
        <w:rPr>
          <w:rFonts w:hint="eastAsia" w:ascii="Times New Roman" w:hAnsi="Times New Roman" w:eastAsia="黑体"/>
          <w:sz w:val="28"/>
          <w:szCs w:val="28"/>
        </w:rPr>
        <w:t>第二节  发展生活服务业</w:t>
      </w:r>
      <w:r>
        <w:rPr>
          <w:rFonts w:hint="eastAsia" w:ascii="Times New Roman" w:hAnsi="Times New Roman" w:eastAsia="黑体"/>
          <w:sz w:val="28"/>
          <w:szCs w:val="28"/>
        </w:rPr>
        <w:tab/>
      </w:r>
      <w:r>
        <w:rPr>
          <w:rFonts w:hint="eastAsia" w:ascii="Times New Roman" w:hAnsi="Times New Roman" w:eastAsia="黑体"/>
          <w:sz w:val="28"/>
          <w:szCs w:val="28"/>
        </w:rPr>
        <w:fldChar w:fldCharType="begin"/>
      </w:r>
      <w:r>
        <w:rPr>
          <w:rFonts w:hint="eastAsia" w:ascii="Times New Roman" w:hAnsi="Times New Roman" w:eastAsia="黑体"/>
          <w:sz w:val="28"/>
          <w:szCs w:val="28"/>
        </w:rPr>
        <w:instrText xml:space="preserve"> PAGEREF _Toc13293 </w:instrText>
      </w:r>
      <w:r>
        <w:rPr>
          <w:rFonts w:hint="eastAsia" w:ascii="Times New Roman" w:hAnsi="Times New Roman" w:eastAsia="黑体"/>
          <w:sz w:val="28"/>
          <w:szCs w:val="28"/>
        </w:rPr>
        <w:fldChar w:fldCharType="separate"/>
      </w:r>
      <w:r>
        <w:rPr>
          <w:rFonts w:hint="eastAsia" w:ascii="Times New Roman" w:hAnsi="Times New Roman" w:eastAsia="黑体"/>
          <w:sz w:val="28"/>
          <w:szCs w:val="28"/>
        </w:rPr>
        <w:t>71</w:t>
      </w:r>
      <w:r>
        <w:rPr>
          <w:rFonts w:hint="eastAsia" w:ascii="Times New Roman" w:hAnsi="Times New Roman" w:eastAsia="黑体"/>
          <w:sz w:val="28"/>
          <w:szCs w:val="28"/>
        </w:rPr>
        <w:fldChar w:fldCharType="end"/>
      </w:r>
      <w:r>
        <w:rPr>
          <w:rFonts w:hint="eastAsia" w:ascii="Times New Roman" w:hAnsi="Times New Roman" w:eastAsia="黑体"/>
          <w:sz w:val="28"/>
          <w:szCs w:val="28"/>
        </w:rPr>
        <w:fldChar w:fldCharType="end"/>
      </w:r>
    </w:p>
    <w:p>
      <w:pPr>
        <w:pStyle w:val="10"/>
        <w:tabs>
          <w:tab w:val="right" w:leader="dot" w:pos="8732"/>
        </w:tabs>
        <w:spacing w:line="560" w:lineRule="exact"/>
        <w:rPr>
          <w:rFonts w:ascii="Times New Roman" w:hAnsi="Times New Roman" w:eastAsia="黑体"/>
          <w:sz w:val="28"/>
          <w:szCs w:val="28"/>
        </w:rPr>
      </w:pPr>
      <w:r>
        <w:fldChar w:fldCharType="begin"/>
      </w:r>
      <w:r>
        <w:instrText xml:space="preserve"> HYPERLINK \l "_Toc9306" </w:instrText>
      </w:r>
      <w:r>
        <w:fldChar w:fldCharType="separate"/>
      </w:r>
      <w:r>
        <w:rPr>
          <w:rFonts w:hint="eastAsia" w:ascii="Times New Roman" w:hAnsi="Times New Roman" w:eastAsia="黑体"/>
          <w:sz w:val="28"/>
          <w:szCs w:val="28"/>
        </w:rPr>
        <w:t>第三节  推进服务业高质量发展</w:t>
      </w:r>
      <w:r>
        <w:rPr>
          <w:rFonts w:hint="eastAsia" w:ascii="Times New Roman" w:hAnsi="Times New Roman" w:eastAsia="黑体"/>
          <w:sz w:val="28"/>
          <w:szCs w:val="28"/>
        </w:rPr>
        <w:tab/>
      </w:r>
      <w:r>
        <w:rPr>
          <w:rFonts w:hint="eastAsia" w:ascii="Times New Roman" w:hAnsi="Times New Roman" w:eastAsia="黑体"/>
          <w:sz w:val="28"/>
          <w:szCs w:val="28"/>
        </w:rPr>
        <w:fldChar w:fldCharType="begin"/>
      </w:r>
      <w:r>
        <w:rPr>
          <w:rFonts w:hint="eastAsia" w:ascii="Times New Roman" w:hAnsi="Times New Roman" w:eastAsia="黑体"/>
          <w:sz w:val="28"/>
          <w:szCs w:val="28"/>
        </w:rPr>
        <w:instrText xml:space="preserve"> PAGEREF _Toc9306 </w:instrText>
      </w:r>
      <w:r>
        <w:rPr>
          <w:rFonts w:hint="eastAsia" w:ascii="Times New Roman" w:hAnsi="Times New Roman" w:eastAsia="黑体"/>
          <w:sz w:val="28"/>
          <w:szCs w:val="28"/>
        </w:rPr>
        <w:fldChar w:fldCharType="separate"/>
      </w:r>
      <w:r>
        <w:rPr>
          <w:rFonts w:hint="eastAsia" w:ascii="Times New Roman" w:hAnsi="Times New Roman" w:eastAsia="黑体"/>
          <w:sz w:val="28"/>
          <w:szCs w:val="28"/>
        </w:rPr>
        <w:t>73</w:t>
      </w:r>
      <w:r>
        <w:rPr>
          <w:rFonts w:hint="eastAsia" w:ascii="Times New Roman" w:hAnsi="Times New Roman" w:eastAsia="黑体"/>
          <w:sz w:val="28"/>
          <w:szCs w:val="28"/>
        </w:rPr>
        <w:fldChar w:fldCharType="end"/>
      </w:r>
      <w:r>
        <w:rPr>
          <w:rFonts w:hint="eastAsia" w:ascii="Times New Roman" w:hAnsi="Times New Roman" w:eastAsia="黑体"/>
          <w:sz w:val="28"/>
          <w:szCs w:val="28"/>
        </w:rPr>
        <w:fldChar w:fldCharType="end"/>
      </w:r>
    </w:p>
    <w:p>
      <w:pPr>
        <w:pStyle w:val="2"/>
        <w:tabs>
          <w:tab w:val="right" w:leader="dot" w:pos="8732"/>
        </w:tabs>
        <w:spacing w:line="560" w:lineRule="exact"/>
        <w:rPr>
          <w:rFonts w:ascii="Times New Roman" w:hAnsi="Times New Roman" w:eastAsia="黑体"/>
          <w:sz w:val="28"/>
          <w:szCs w:val="28"/>
        </w:rPr>
      </w:pPr>
      <w:r>
        <w:fldChar w:fldCharType="begin"/>
      </w:r>
      <w:r>
        <w:instrText xml:space="preserve"> HYPERLINK \l "_Toc9622" </w:instrText>
      </w:r>
      <w:r>
        <w:fldChar w:fldCharType="separate"/>
      </w:r>
      <w:r>
        <w:rPr>
          <w:rFonts w:hint="eastAsia" w:ascii="Times New Roman" w:hAnsi="Times New Roman" w:eastAsia="黑体"/>
          <w:sz w:val="28"/>
          <w:szCs w:val="28"/>
        </w:rPr>
        <w:t>第十三章  增进民生福祉  聚焦民生关切</w:t>
      </w:r>
      <w:r>
        <w:rPr>
          <w:rFonts w:hint="eastAsia" w:ascii="Times New Roman" w:hAnsi="Times New Roman" w:eastAsia="黑体"/>
          <w:sz w:val="28"/>
          <w:szCs w:val="28"/>
        </w:rPr>
        <w:tab/>
      </w:r>
      <w:r>
        <w:rPr>
          <w:rFonts w:hint="eastAsia" w:ascii="Times New Roman" w:hAnsi="Times New Roman" w:eastAsia="黑体"/>
          <w:sz w:val="28"/>
          <w:szCs w:val="28"/>
        </w:rPr>
        <w:fldChar w:fldCharType="begin"/>
      </w:r>
      <w:r>
        <w:rPr>
          <w:rFonts w:hint="eastAsia" w:ascii="Times New Roman" w:hAnsi="Times New Roman" w:eastAsia="黑体"/>
          <w:sz w:val="28"/>
          <w:szCs w:val="28"/>
        </w:rPr>
        <w:instrText xml:space="preserve"> PAGEREF _Toc9622 </w:instrText>
      </w:r>
      <w:r>
        <w:rPr>
          <w:rFonts w:hint="eastAsia" w:ascii="Times New Roman" w:hAnsi="Times New Roman" w:eastAsia="黑体"/>
          <w:sz w:val="28"/>
          <w:szCs w:val="28"/>
        </w:rPr>
        <w:fldChar w:fldCharType="separate"/>
      </w:r>
      <w:r>
        <w:rPr>
          <w:rFonts w:hint="eastAsia" w:ascii="Times New Roman" w:hAnsi="Times New Roman" w:eastAsia="黑体"/>
          <w:sz w:val="28"/>
          <w:szCs w:val="28"/>
        </w:rPr>
        <w:t>76</w:t>
      </w:r>
      <w:r>
        <w:rPr>
          <w:rFonts w:hint="eastAsia" w:ascii="Times New Roman" w:hAnsi="Times New Roman" w:eastAsia="黑体"/>
          <w:sz w:val="28"/>
          <w:szCs w:val="28"/>
        </w:rPr>
        <w:fldChar w:fldCharType="end"/>
      </w:r>
      <w:r>
        <w:rPr>
          <w:rFonts w:hint="eastAsia" w:ascii="Times New Roman" w:hAnsi="Times New Roman" w:eastAsia="黑体"/>
          <w:sz w:val="28"/>
          <w:szCs w:val="28"/>
        </w:rPr>
        <w:fldChar w:fldCharType="end"/>
      </w:r>
    </w:p>
    <w:p>
      <w:pPr>
        <w:pStyle w:val="10"/>
        <w:tabs>
          <w:tab w:val="right" w:leader="dot" w:pos="8732"/>
        </w:tabs>
        <w:spacing w:line="560" w:lineRule="exact"/>
        <w:rPr>
          <w:rFonts w:ascii="Times New Roman" w:hAnsi="Times New Roman" w:eastAsia="黑体"/>
          <w:sz w:val="28"/>
          <w:szCs w:val="28"/>
        </w:rPr>
      </w:pPr>
      <w:r>
        <w:fldChar w:fldCharType="begin"/>
      </w:r>
      <w:r>
        <w:instrText xml:space="preserve"> HYPERLINK \l "_Toc17551" </w:instrText>
      </w:r>
      <w:r>
        <w:fldChar w:fldCharType="separate"/>
      </w:r>
      <w:r>
        <w:rPr>
          <w:rFonts w:hint="eastAsia" w:ascii="Times New Roman" w:hAnsi="Times New Roman" w:eastAsia="黑体"/>
          <w:sz w:val="28"/>
          <w:szCs w:val="28"/>
        </w:rPr>
        <w:t>第一节  推动教育增量提质</w:t>
      </w:r>
      <w:r>
        <w:rPr>
          <w:rFonts w:hint="eastAsia" w:ascii="Times New Roman" w:hAnsi="Times New Roman" w:eastAsia="黑体"/>
          <w:sz w:val="28"/>
          <w:szCs w:val="28"/>
        </w:rPr>
        <w:tab/>
      </w:r>
      <w:r>
        <w:rPr>
          <w:rFonts w:hint="eastAsia" w:ascii="Times New Roman" w:hAnsi="Times New Roman" w:eastAsia="黑体"/>
          <w:sz w:val="28"/>
          <w:szCs w:val="28"/>
        </w:rPr>
        <w:fldChar w:fldCharType="begin"/>
      </w:r>
      <w:r>
        <w:rPr>
          <w:rFonts w:hint="eastAsia" w:ascii="Times New Roman" w:hAnsi="Times New Roman" w:eastAsia="黑体"/>
          <w:sz w:val="28"/>
          <w:szCs w:val="28"/>
        </w:rPr>
        <w:instrText xml:space="preserve"> PAGEREF _Toc17551 </w:instrText>
      </w:r>
      <w:r>
        <w:rPr>
          <w:rFonts w:hint="eastAsia" w:ascii="Times New Roman" w:hAnsi="Times New Roman" w:eastAsia="黑体"/>
          <w:sz w:val="28"/>
          <w:szCs w:val="28"/>
        </w:rPr>
        <w:fldChar w:fldCharType="separate"/>
      </w:r>
      <w:r>
        <w:rPr>
          <w:rFonts w:hint="eastAsia" w:ascii="Times New Roman" w:hAnsi="Times New Roman" w:eastAsia="黑体"/>
          <w:sz w:val="28"/>
          <w:szCs w:val="28"/>
        </w:rPr>
        <w:t>76</w:t>
      </w:r>
      <w:r>
        <w:rPr>
          <w:rFonts w:hint="eastAsia" w:ascii="Times New Roman" w:hAnsi="Times New Roman" w:eastAsia="黑体"/>
          <w:sz w:val="28"/>
          <w:szCs w:val="28"/>
        </w:rPr>
        <w:fldChar w:fldCharType="end"/>
      </w:r>
      <w:r>
        <w:rPr>
          <w:rFonts w:hint="eastAsia" w:ascii="Times New Roman" w:hAnsi="Times New Roman" w:eastAsia="黑体"/>
          <w:sz w:val="28"/>
          <w:szCs w:val="28"/>
        </w:rPr>
        <w:fldChar w:fldCharType="end"/>
      </w:r>
    </w:p>
    <w:p>
      <w:pPr>
        <w:pStyle w:val="10"/>
        <w:tabs>
          <w:tab w:val="right" w:leader="dot" w:pos="8732"/>
        </w:tabs>
        <w:spacing w:line="560" w:lineRule="exact"/>
        <w:rPr>
          <w:rFonts w:ascii="Times New Roman" w:hAnsi="Times New Roman" w:eastAsia="黑体"/>
          <w:sz w:val="28"/>
          <w:szCs w:val="28"/>
        </w:rPr>
      </w:pPr>
      <w:r>
        <w:fldChar w:fldCharType="begin"/>
      </w:r>
      <w:r>
        <w:instrText xml:space="preserve"> HYPERLINK \l "_Toc28939" </w:instrText>
      </w:r>
      <w:r>
        <w:fldChar w:fldCharType="separate"/>
      </w:r>
      <w:r>
        <w:rPr>
          <w:rFonts w:hint="eastAsia" w:ascii="Times New Roman" w:hAnsi="Times New Roman" w:eastAsia="黑体"/>
          <w:sz w:val="28"/>
          <w:szCs w:val="28"/>
        </w:rPr>
        <w:t>第二节  增强卫生健康水平</w:t>
      </w:r>
      <w:r>
        <w:rPr>
          <w:rFonts w:hint="eastAsia" w:ascii="Times New Roman" w:hAnsi="Times New Roman" w:eastAsia="黑体"/>
          <w:sz w:val="28"/>
          <w:szCs w:val="28"/>
        </w:rPr>
        <w:tab/>
      </w:r>
      <w:r>
        <w:rPr>
          <w:rFonts w:hint="eastAsia" w:ascii="Times New Roman" w:hAnsi="Times New Roman" w:eastAsia="黑体"/>
          <w:sz w:val="28"/>
          <w:szCs w:val="28"/>
        </w:rPr>
        <w:fldChar w:fldCharType="begin"/>
      </w:r>
      <w:r>
        <w:rPr>
          <w:rFonts w:hint="eastAsia" w:ascii="Times New Roman" w:hAnsi="Times New Roman" w:eastAsia="黑体"/>
          <w:sz w:val="28"/>
          <w:szCs w:val="28"/>
        </w:rPr>
        <w:instrText xml:space="preserve"> PAGEREF _Toc28939 </w:instrText>
      </w:r>
      <w:r>
        <w:rPr>
          <w:rFonts w:hint="eastAsia" w:ascii="Times New Roman" w:hAnsi="Times New Roman" w:eastAsia="黑体"/>
          <w:sz w:val="28"/>
          <w:szCs w:val="28"/>
        </w:rPr>
        <w:fldChar w:fldCharType="separate"/>
      </w:r>
      <w:r>
        <w:rPr>
          <w:rFonts w:hint="eastAsia" w:ascii="Times New Roman" w:hAnsi="Times New Roman" w:eastAsia="黑体"/>
          <w:sz w:val="28"/>
          <w:szCs w:val="28"/>
        </w:rPr>
        <w:t>77</w:t>
      </w:r>
      <w:r>
        <w:rPr>
          <w:rFonts w:hint="eastAsia" w:ascii="Times New Roman" w:hAnsi="Times New Roman" w:eastAsia="黑体"/>
          <w:sz w:val="28"/>
          <w:szCs w:val="28"/>
        </w:rPr>
        <w:fldChar w:fldCharType="end"/>
      </w:r>
      <w:r>
        <w:rPr>
          <w:rFonts w:hint="eastAsia" w:ascii="Times New Roman" w:hAnsi="Times New Roman" w:eastAsia="黑体"/>
          <w:sz w:val="28"/>
          <w:szCs w:val="28"/>
        </w:rPr>
        <w:fldChar w:fldCharType="end"/>
      </w:r>
    </w:p>
    <w:p>
      <w:pPr>
        <w:pStyle w:val="10"/>
        <w:tabs>
          <w:tab w:val="right" w:leader="dot" w:pos="8732"/>
        </w:tabs>
        <w:spacing w:line="560" w:lineRule="exact"/>
        <w:rPr>
          <w:rFonts w:ascii="Times New Roman" w:hAnsi="Times New Roman" w:eastAsia="黑体"/>
          <w:sz w:val="28"/>
          <w:szCs w:val="28"/>
        </w:rPr>
      </w:pPr>
      <w:r>
        <w:fldChar w:fldCharType="begin"/>
      </w:r>
      <w:r>
        <w:instrText xml:space="preserve"> HYPERLINK \l "_Toc15121" </w:instrText>
      </w:r>
      <w:r>
        <w:fldChar w:fldCharType="separate"/>
      </w:r>
      <w:r>
        <w:rPr>
          <w:rFonts w:hint="eastAsia" w:ascii="Times New Roman" w:hAnsi="Times New Roman" w:eastAsia="黑体"/>
          <w:sz w:val="28"/>
          <w:szCs w:val="28"/>
        </w:rPr>
        <w:t>第三节  完善社会保障制度</w:t>
      </w:r>
      <w:r>
        <w:rPr>
          <w:rFonts w:hint="eastAsia" w:ascii="Times New Roman" w:hAnsi="Times New Roman" w:eastAsia="黑体"/>
          <w:sz w:val="28"/>
          <w:szCs w:val="28"/>
        </w:rPr>
        <w:tab/>
      </w:r>
      <w:r>
        <w:rPr>
          <w:rFonts w:hint="eastAsia" w:ascii="Times New Roman" w:hAnsi="Times New Roman" w:eastAsia="黑体"/>
          <w:sz w:val="28"/>
          <w:szCs w:val="28"/>
        </w:rPr>
        <w:fldChar w:fldCharType="begin"/>
      </w:r>
      <w:r>
        <w:rPr>
          <w:rFonts w:hint="eastAsia" w:ascii="Times New Roman" w:hAnsi="Times New Roman" w:eastAsia="黑体"/>
          <w:sz w:val="28"/>
          <w:szCs w:val="28"/>
        </w:rPr>
        <w:instrText xml:space="preserve"> PAGEREF _Toc15121 </w:instrText>
      </w:r>
      <w:r>
        <w:rPr>
          <w:rFonts w:hint="eastAsia" w:ascii="Times New Roman" w:hAnsi="Times New Roman" w:eastAsia="黑体"/>
          <w:sz w:val="28"/>
          <w:szCs w:val="28"/>
        </w:rPr>
        <w:fldChar w:fldCharType="separate"/>
      </w:r>
      <w:r>
        <w:rPr>
          <w:rFonts w:hint="eastAsia" w:ascii="Times New Roman" w:hAnsi="Times New Roman" w:eastAsia="黑体"/>
          <w:sz w:val="28"/>
          <w:szCs w:val="28"/>
        </w:rPr>
        <w:t>78</w:t>
      </w:r>
      <w:r>
        <w:rPr>
          <w:rFonts w:hint="eastAsia" w:ascii="Times New Roman" w:hAnsi="Times New Roman" w:eastAsia="黑体"/>
          <w:sz w:val="28"/>
          <w:szCs w:val="28"/>
        </w:rPr>
        <w:fldChar w:fldCharType="end"/>
      </w:r>
      <w:r>
        <w:rPr>
          <w:rFonts w:hint="eastAsia" w:ascii="Times New Roman" w:hAnsi="Times New Roman" w:eastAsia="黑体"/>
          <w:sz w:val="28"/>
          <w:szCs w:val="28"/>
        </w:rPr>
        <w:fldChar w:fldCharType="end"/>
      </w:r>
    </w:p>
    <w:p>
      <w:pPr>
        <w:pStyle w:val="10"/>
        <w:tabs>
          <w:tab w:val="right" w:leader="dot" w:pos="8732"/>
        </w:tabs>
        <w:spacing w:line="560" w:lineRule="exact"/>
        <w:rPr>
          <w:rFonts w:ascii="Times New Roman" w:hAnsi="Times New Roman" w:eastAsia="黑体"/>
          <w:sz w:val="28"/>
          <w:szCs w:val="28"/>
        </w:rPr>
      </w:pPr>
      <w:r>
        <w:fldChar w:fldCharType="begin"/>
      </w:r>
      <w:r>
        <w:instrText xml:space="preserve"> HYPERLINK \l "_Toc27520" </w:instrText>
      </w:r>
      <w:r>
        <w:fldChar w:fldCharType="separate"/>
      </w:r>
      <w:r>
        <w:rPr>
          <w:rFonts w:hint="eastAsia" w:ascii="Times New Roman" w:hAnsi="Times New Roman" w:eastAsia="黑体"/>
          <w:sz w:val="28"/>
          <w:szCs w:val="28"/>
        </w:rPr>
        <w:t>第四节  促进青年全面发展</w:t>
      </w:r>
      <w:r>
        <w:rPr>
          <w:rFonts w:hint="eastAsia" w:ascii="Times New Roman" w:hAnsi="Times New Roman" w:eastAsia="黑体"/>
          <w:sz w:val="28"/>
          <w:szCs w:val="28"/>
        </w:rPr>
        <w:tab/>
      </w:r>
      <w:r>
        <w:rPr>
          <w:rFonts w:hint="eastAsia" w:ascii="Times New Roman" w:hAnsi="Times New Roman" w:eastAsia="黑体"/>
          <w:sz w:val="28"/>
          <w:szCs w:val="28"/>
        </w:rPr>
        <w:fldChar w:fldCharType="begin"/>
      </w:r>
      <w:r>
        <w:rPr>
          <w:rFonts w:hint="eastAsia" w:ascii="Times New Roman" w:hAnsi="Times New Roman" w:eastAsia="黑体"/>
          <w:sz w:val="28"/>
          <w:szCs w:val="28"/>
        </w:rPr>
        <w:instrText xml:space="preserve"> PAGEREF _Toc27520 </w:instrText>
      </w:r>
      <w:r>
        <w:rPr>
          <w:rFonts w:hint="eastAsia" w:ascii="Times New Roman" w:hAnsi="Times New Roman" w:eastAsia="黑体"/>
          <w:sz w:val="28"/>
          <w:szCs w:val="28"/>
        </w:rPr>
        <w:fldChar w:fldCharType="separate"/>
      </w:r>
      <w:r>
        <w:rPr>
          <w:rFonts w:hint="eastAsia" w:ascii="Times New Roman" w:hAnsi="Times New Roman" w:eastAsia="黑体"/>
          <w:sz w:val="28"/>
          <w:szCs w:val="28"/>
        </w:rPr>
        <w:t>79</w:t>
      </w:r>
      <w:r>
        <w:rPr>
          <w:rFonts w:hint="eastAsia" w:ascii="Times New Roman" w:hAnsi="Times New Roman" w:eastAsia="黑体"/>
          <w:sz w:val="28"/>
          <w:szCs w:val="28"/>
        </w:rPr>
        <w:fldChar w:fldCharType="end"/>
      </w:r>
      <w:r>
        <w:rPr>
          <w:rFonts w:hint="eastAsia" w:ascii="Times New Roman" w:hAnsi="Times New Roman" w:eastAsia="黑体"/>
          <w:sz w:val="28"/>
          <w:szCs w:val="28"/>
        </w:rPr>
        <w:fldChar w:fldCharType="end"/>
      </w:r>
    </w:p>
    <w:p>
      <w:pPr>
        <w:pStyle w:val="10"/>
        <w:tabs>
          <w:tab w:val="right" w:leader="dot" w:pos="8732"/>
        </w:tabs>
        <w:spacing w:line="560" w:lineRule="exact"/>
        <w:rPr>
          <w:rFonts w:ascii="Times New Roman" w:hAnsi="Times New Roman" w:eastAsia="黑体"/>
          <w:sz w:val="28"/>
          <w:szCs w:val="28"/>
        </w:rPr>
      </w:pPr>
      <w:r>
        <w:fldChar w:fldCharType="begin"/>
      </w:r>
      <w:r>
        <w:instrText xml:space="preserve"> HYPERLINK \l "_Toc30688" </w:instrText>
      </w:r>
      <w:r>
        <w:fldChar w:fldCharType="separate"/>
      </w:r>
      <w:r>
        <w:rPr>
          <w:rFonts w:hint="eastAsia" w:ascii="Times New Roman" w:hAnsi="Times New Roman" w:eastAsia="黑体"/>
          <w:sz w:val="28"/>
          <w:szCs w:val="28"/>
        </w:rPr>
        <w:t>第五节  推动劳动力就业创业</w:t>
      </w:r>
      <w:r>
        <w:rPr>
          <w:rFonts w:hint="eastAsia" w:ascii="Times New Roman" w:hAnsi="Times New Roman" w:eastAsia="黑体"/>
          <w:sz w:val="28"/>
          <w:szCs w:val="28"/>
        </w:rPr>
        <w:tab/>
      </w:r>
      <w:r>
        <w:rPr>
          <w:rFonts w:hint="eastAsia" w:ascii="Times New Roman" w:hAnsi="Times New Roman" w:eastAsia="黑体"/>
          <w:sz w:val="28"/>
          <w:szCs w:val="28"/>
        </w:rPr>
        <w:fldChar w:fldCharType="begin"/>
      </w:r>
      <w:r>
        <w:rPr>
          <w:rFonts w:hint="eastAsia" w:ascii="Times New Roman" w:hAnsi="Times New Roman" w:eastAsia="黑体"/>
          <w:sz w:val="28"/>
          <w:szCs w:val="28"/>
        </w:rPr>
        <w:instrText xml:space="preserve"> PAGEREF _Toc30688 </w:instrText>
      </w:r>
      <w:r>
        <w:rPr>
          <w:rFonts w:hint="eastAsia" w:ascii="Times New Roman" w:hAnsi="Times New Roman" w:eastAsia="黑体"/>
          <w:sz w:val="28"/>
          <w:szCs w:val="28"/>
        </w:rPr>
        <w:fldChar w:fldCharType="separate"/>
      </w:r>
      <w:r>
        <w:rPr>
          <w:rFonts w:hint="eastAsia" w:ascii="Times New Roman" w:hAnsi="Times New Roman" w:eastAsia="黑体"/>
          <w:sz w:val="28"/>
          <w:szCs w:val="28"/>
        </w:rPr>
        <w:t>80</w:t>
      </w:r>
      <w:r>
        <w:rPr>
          <w:rFonts w:hint="eastAsia" w:ascii="Times New Roman" w:hAnsi="Times New Roman" w:eastAsia="黑体"/>
          <w:sz w:val="28"/>
          <w:szCs w:val="28"/>
        </w:rPr>
        <w:fldChar w:fldCharType="end"/>
      </w:r>
      <w:r>
        <w:rPr>
          <w:rFonts w:hint="eastAsia" w:ascii="Times New Roman" w:hAnsi="Times New Roman" w:eastAsia="黑体"/>
          <w:sz w:val="28"/>
          <w:szCs w:val="28"/>
        </w:rPr>
        <w:fldChar w:fldCharType="end"/>
      </w:r>
    </w:p>
    <w:p>
      <w:pPr>
        <w:pStyle w:val="10"/>
        <w:tabs>
          <w:tab w:val="right" w:leader="dot" w:pos="8732"/>
        </w:tabs>
        <w:spacing w:line="560" w:lineRule="exact"/>
        <w:rPr>
          <w:rFonts w:ascii="Times New Roman" w:hAnsi="Times New Roman" w:eastAsia="黑体"/>
          <w:sz w:val="28"/>
          <w:szCs w:val="28"/>
        </w:rPr>
      </w:pPr>
      <w:r>
        <w:fldChar w:fldCharType="begin"/>
      </w:r>
      <w:r>
        <w:instrText xml:space="preserve"> HYPERLINK \l "_Toc24101" </w:instrText>
      </w:r>
      <w:r>
        <w:fldChar w:fldCharType="separate"/>
      </w:r>
      <w:r>
        <w:rPr>
          <w:rFonts w:hint="eastAsia" w:ascii="Times New Roman" w:hAnsi="Times New Roman" w:eastAsia="黑体"/>
          <w:bCs/>
          <w:sz w:val="28"/>
          <w:szCs w:val="28"/>
        </w:rPr>
        <w:t>第六节  提升公共服务均等化水平</w:t>
      </w:r>
      <w:r>
        <w:rPr>
          <w:rFonts w:hint="eastAsia" w:ascii="Times New Roman" w:hAnsi="Times New Roman" w:eastAsia="黑体"/>
          <w:sz w:val="28"/>
          <w:szCs w:val="28"/>
        </w:rPr>
        <w:tab/>
      </w:r>
      <w:r>
        <w:rPr>
          <w:rFonts w:hint="eastAsia" w:ascii="Times New Roman" w:hAnsi="Times New Roman" w:eastAsia="黑体"/>
          <w:sz w:val="28"/>
          <w:szCs w:val="28"/>
        </w:rPr>
        <w:fldChar w:fldCharType="begin"/>
      </w:r>
      <w:r>
        <w:rPr>
          <w:rFonts w:hint="eastAsia" w:ascii="Times New Roman" w:hAnsi="Times New Roman" w:eastAsia="黑体"/>
          <w:sz w:val="28"/>
          <w:szCs w:val="28"/>
        </w:rPr>
        <w:instrText xml:space="preserve"> PAGEREF _Toc24101 </w:instrText>
      </w:r>
      <w:r>
        <w:rPr>
          <w:rFonts w:hint="eastAsia" w:ascii="Times New Roman" w:hAnsi="Times New Roman" w:eastAsia="黑体"/>
          <w:sz w:val="28"/>
          <w:szCs w:val="28"/>
        </w:rPr>
        <w:fldChar w:fldCharType="separate"/>
      </w:r>
      <w:r>
        <w:rPr>
          <w:rFonts w:hint="eastAsia" w:ascii="Times New Roman" w:hAnsi="Times New Roman" w:eastAsia="黑体"/>
          <w:sz w:val="28"/>
          <w:szCs w:val="28"/>
        </w:rPr>
        <w:t>80</w:t>
      </w:r>
      <w:r>
        <w:rPr>
          <w:rFonts w:hint="eastAsia" w:ascii="Times New Roman" w:hAnsi="Times New Roman" w:eastAsia="黑体"/>
          <w:sz w:val="28"/>
          <w:szCs w:val="28"/>
        </w:rPr>
        <w:fldChar w:fldCharType="end"/>
      </w:r>
      <w:r>
        <w:rPr>
          <w:rFonts w:hint="eastAsia" w:ascii="Times New Roman" w:hAnsi="Times New Roman" w:eastAsia="黑体"/>
          <w:sz w:val="28"/>
          <w:szCs w:val="28"/>
        </w:rPr>
        <w:fldChar w:fldCharType="end"/>
      </w:r>
    </w:p>
    <w:p>
      <w:pPr>
        <w:pStyle w:val="10"/>
        <w:tabs>
          <w:tab w:val="right" w:leader="dot" w:pos="8732"/>
        </w:tabs>
        <w:spacing w:line="560" w:lineRule="exact"/>
        <w:rPr>
          <w:rFonts w:ascii="Times New Roman" w:hAnsi="Times New Roman" w:eastAsia="黑体"/>
          <w:sz w:val="28"/>
          <w:szCs w:val="28"/>
        </w:rPr>
      </w:pPr>
      <w:r>
        <w:fldChar w:fldCharType="begin"/>
      </w:r>
      <w:r>
        <w:instrText xml:space="preserve"> HYPERLINK \l "_Toc7127" </w:instrText>
      </w:r>
      <w:r>
        <w:fldChar w:fldCharType="separate"/>
      </w:r>
      <w:r>
        <w:rPr>
          <w:rFonts w:hint="eastAsia" w:ascii="Times New Roman" w:hAnsi="Times New Roman" w:eastAsia="黑体"/>
          <w:sz w:val="28"/>
          <w:szCs w:val="28"/>
        </w:rPr>
        <w:t>第七节  完善科技创新体制机制</w:t>
      </w:r>
      <w:r>
        <w:rPr>
          <w:rFonts w:hint="eastAsia" w:ascii="Times New Roman" w:hAnsi="Times New Roman" w:eastAsia="黑体"/>
          <w:sz w:val="28"/>
          <w:szCs w:val="28"/>
        </w:rPr>
        <w:tab/>
      </w:r>
      <w:r>
        <w:rPr>
          <w:rFonts w:hint="eastAsia" w:ascii="Times New Roman" w:hAnsi="Times New Roman" w:eastAsia="黑体"/>
          <w:sz w:val="28"/>
          <w:szCs w:val="28"/>
        </w:rPr>
        <w:fldChar w:fldCharType="begin"/>
      </w:r>
      <w:r>
        <w:rPr>
          <w:rFonts w:hint="eastAsia" w:ascii="Times New Roman" w:hAnsi="Times New Roman" w:eastAsia="黑体"/>
          <w:sz w:val="28"/>
          <w:szCs w:val="28"/>
        </w:rPr>
        <w:instrText xml:space="preserve"> PAGEREF _Toc7127 </w:instrText>
      </w:r>
      <w:r>
        <w:rPr>
          <w:rFonts w:hint="eastAsia" w:ascii="Times New Roman" w:hAnsi="Times New Roman" w:eastAsia="黑体"/>
          <w:sz w:val="28"/>
          <w:szCs w:val="28"/>
        </w:rPr>
        <w:fldChar w:fldCharType="separate"/>
      </w:r>
      <w:r>
        <w:rPr>
          <w:rFonts w:hint="eastAsia" w:ascii="Times New Roman" w:hAnsi="Times New Roman" w:eastAsia="黑体"/>
          <w:sz w:val="28"/>
          <w:szCs w:val="28"/>
        </w:rPr>
        <w:t>81</w:t>
      </w:r>
      <w:r>
        <w:rPr>
          <w:rFonts w:hint="eastAsia" w:ascii="Times New Roman" w:hAnsi="Times New Roman" w:eastAsia="黑体"/>
          <w:sz w:val="28"/>
          <w:szCs w:val="28"/>
        </w:rPr>
        <w:fldChar w:fldCharType="end"/>
      </w:r>
      <w:r>
        <w:rPr>
          <w:rFonts w:hint="eastAsia" w:ascii="Times New Roman" w:hAnsi="Times New Roman" w:eastAsia="黑体"/>
          <w:sz w:val="28"/>
          <w:szCs w:val="28"/>
        </w:rPr>
        <w:fldChar w:fldCharType="end"/>
      </w:r>
    </w:p>
    <w:p>
      <w:pPr>
        <w:pStyle w:val="10"/>
        <w:tabs>
          <w:tab w:val="right" w:leader="dot" w:pos="8732"/>
        </w:tabs>
        <w:spacing w:line="560" w:lineRule="exact"/>
        <w:rPr>
          <w:rFonts w:ascii="Times New Roman" w:hAnsi="Times New Roman" w:eastAsia="黑体"/>
          <w:sz w:val="28"/>
          <w:szCs w:val="28"/>
        </w:rPr>
      </w:pPr>
      <w:r>
        <w:fldChar w:fldCharType="begin"/>
      </w:r>
      <w:r>
        <w:instrText xml:space="preserve"> HYPERLINK \l "_Toc6447" </w:instrText>
      </w:r>
      <w:r>
        <w:fldChar w:fldCharType="separate"/>
      </w:r>
      <w:r>
        <w:rPr>
          <w:rFonts w:hint="eastAsia" w:ascii="Times New Roman" w:hAnsi="Times New Roman" w:eastAsia="黑体"/>
          <w:sz w:val="28"/>
          <w:szCs w:val="28"/>
        </w:rPr>
        <w:t>第八节  完善应急体系建设</w:t>
      </w:r>
      <w:r>
        <w:rPr>
          <w:rFonts w:hint="eastAsia" w:ascii="Times New Roman" w:hAnsi="Times New Roman" w:eastAsia="黑体"/>
          <w:sz w:val="28"/>
          <w:szCs w:val="28"/>
        </w:rPr>
        <w:tab/>
      </w:r>
      <w:r>
        <w:rPr>
          <w:rFonts w:hint="eastAsia" w:ascii="Times New Roman" w:hAnsi="Times New Roman" w:eastAsia="黑体"/>
          <w:sz w:val="28"/>
          <w:szCs w:val="28"/>
        </w:rPr>
        <w:fldChar w:fldCharType="begin"/>
      </w:r>
      <w:r>
        <w:rPr>
          <w:rFonts w:hint="eastAsia" w:ascii="Times New Roman" w:hAnsi="Times New Roman" w:eastAsia="黑体"/>
          <w:sz w:val="28"/>
          <w:szCs w:val="28"/>
        </w:rPr>
        <w:instrText xml:space="preserve"> PAGEREF _Toc6447 </w:instrText>
      </w:r>
      <w:r>
        <w:rPr>
          <w:rFonts w:hint="eastAsia" w:ascii="Times New Roman" w:hAnsi="Times New Roman" w:eastAsia="黑体"/>
          <w:sz w:val="28"/>
          <w:szCs w:val="28"/>
        </w:rPr>
        <w:fldChar w:fldCharType="separate"/>
      </w:r>
      <w:r>
        <w:rPr>
          <w:rFonts w:hint="eastAsia" w:ascii="Times New Roman" w:hAnsi="Times New Roman" w:eastAsia="黑体"/>
          <w:sz w:val="28"/>
          <w:szCs w:val="28"/>
        </w:rPr>
        <w:t>82</w:t>
      </w:r>
      <w:r>
        <w:rPr>
          <w:rFonts w:hint="eastAsia" w:ascii="Times New Roman" w:hAnsi="Times New Roman" w:eastAsia="黑体"/>
          <w:sz w:val="28"/>
          <w:szCs w:val="28"/>
        </w:rPr>
        <w:fldChar w:fldCharType="end"/>
      </w:r>
      <w:r>
        <w:rPr>
          <w:rFonts w:hint="eastAsia" w:ascii="Times New Roman" w:hAnsi="Times New Roman" w:eastAsia="黑体"/>
          <w:sz w:val="28"/>
          <w:szCs w:val="28"/>
        </w:rPr>
        <w:fldChar w:fldCharType="end"/>
      </w:r>
    </w:p>
    <w:p>
      <w:pPr>
        <w:pStyle w:val="2"/>
        <w:tabs>
          <w:tab w:val="right" w:leader="dot" w:pos="8732"/>
        </w:tabs>
        <w:spacing w:line="560" w:lineRule="exact"/>
        <w:rPr>
          <w:rFonts w:ascii="Times New Roman" w:hAnsi="Times New Roman" w:eastAsia="黑体"/>
          <w:sz w:val="28"/>
          <w:szCs w:val="28"/>
        </w:rPr>
      </w:pPr>
      <w:r>
        <w:fldChar w:fldCharType="begin"/>
      </w:r>
      <w:r>
        <w:instrText xml:space="preserve"> HYPERLINK \l "_Toc9744" </w:instrText>
      </w:r>
      <w:r>
        <w:fldChar w:fldCharType="separate"/>
      </w:r>
      <w:r>
        <w:rPr>
          <w:rFonts w:hint="eastAsia" w:ascii="Times New Roman" w:hAnsi="Times New Roman" w:eastAsia="黑体"/>
          <w:sz w:val="28"/>
          <w:szCs w:val="28"/>
        </w:rPr>
        <w:t>第十四章  创新社会治理 提高治理效能</w:t>
      </w:r>
      <w:r>
        <w:rPr>
          <w:rFonts w:hint="eastAsia" w:ascii="Times New Roman" w:hAnsi="Times New Roman" w:eastAsia="黑体"/>
          <w:sz w:val="28"/>
          <w:szCs w:val="28"/>
        </w:rPr>
        <w:tab/>
      </w:r>
      <w:r>
        <w:rPr>
          <w:rFonts w:hint="eastAsia" w:ascii="Times New Roman" w:hAnsi="Times New Roman" w:eastAsia="黑体"/>
          <w:sz w:val="28"/>
          <w:szCs w:val="28"/>
        </w:rPr>
        <w:fldChar w:fldCharType="begin"/>
      </w:r>
      <w:r>
        <w:rPr>
          <w:rFonts w:hint="eastAsia" w:ascii="Times New Roman" w:hAnsi="Times New Roman" w:eastAsia="黑体"/>
          <w:sz w:val="28"/>
          <w:szCs w:val="28"/>
        </w:rPr>
        <w:instrText xml:space="preserve"> PAGEREF _Toc9744 </w:instrText>
      </w:r>
      <w:r>
        <w:rPr>
          <w:rFonts w:hint="eastAsia" w:ascii="Times New Roman" w:hAnsi="Times New Roman" w:eastAsia="黑体"/>
          <w:sz w:val="28"/>
          <w:szCs w:val="28"/>
        </w:rPr>
        <w:fldChar w:fldCharType="separate"/>
      </w:r>
      <w:r>
        <w:rPr>
          <w:rFonts w:hint="eastAsia" w:ascii="Times New Roman" w:hAnsi="Times New Roman" w:eastAsia="黑体"/>
          <w:sz w:val="28"/>
          <w:szCs w:val="28"/>
        </w:rPr>
        <w:t>84</w:t>
      </w:r>
      <w:r>
        <w:rPr>
          <w:rFonts w:hint="eastAsia" w:ascii="Times New Roman" w:hAnsi="Times New Roman" w:eastAsia="黑体"/>
          <w:sz w:val="28"/>
          <w:szCs w:val="28"/>
        </w:rPr>
        <w:fldChar w:fldCharType="end"/>
      </w:r>
      <w:r>
        <w:rPr>
          <w:rFonts w:hint="eastAsia" w:ascii="Times New Roman" w:hAnsi="Times New Roman" w:eastAsia="黑体"/>
          <w:sz w:val="28"/>
          <w:szCs w:val="28"/>
        </w:rPr>
        <w:fldChar w:fldCharType="end"/>
      </w:r>
    </w:p>
    <w:p>
      <w:pPr>
        <w:pStyle w:val="10"/>
        <w:tabs>
          <w:tab w:val="right" w:leader="dot" w:pos="8732"/>
        </w:tabs>
        <w:spacing w:line="560" w:lineRule="exact"/>
        <w:rPr>
          <w:rFonts w:ascii="Times New Roman" w:hAnsi="Times New Roman" w:eastAsia="黑体"/>
          <w:sz w:val="28"/>
          <w:szCs w:val="28"/>
        </w:rPr>
      </w:pPr>
      <w:r>
        <w:fldChar w:fldCharType="begin"/>
      </w:r>
      <w:r>
        <w:instrText xml:space="preserve"> HYPERLINK \l "_Toc14364" </w:instrText>
      </w:r>
      <w:r>
        <w:fldChar w:fldCharType="separate"/>
      </w:r>
      <w:r>
        <w:rPr>
          <w:rFonts w:hint="eastAsia" w:ascii="Times New Roman" w:hAnsi="Times New Roman" w:eastAsia="黑体"/>
          <w:sz w:val="28"/>
          <w:szCs w:val="28"/>
        </w:rPr>
        <w:t>第一节  加强法治建设</w:t>
      </w:r>
      <w:r>
        <w:rPr>
          <w:rFonts w:hint="eastAsia" w:ascii="Times New Roman" w:hAnsi="Times New Roman" w:eastAsia="黑体"/>
          <w:sz w:val="28"/>
          <w:szCs w:val="28"/>
        </w:rPr>
        <w:tab/>
      </w:r>
      <w:r>
        <w:rPr>
          <w:rFonts w:hint="eastAsia" w:ascii="Times New Roman" w:hAnsi="Times New Roman" w:eastAsia="黑体"/>
          <w:sz w:val="28"/>
          <w:szCs w:val="28"/>
        </w:rPr>
        <w:fldChar w:fldCharType="begin"/>
      </w:r>
      <w:r>
        <w:rPr>
          <w:rFonts w:hint="eastAsia" w:ascii="Times New Roman" w:hAnsi="Times New Roman" w:eastAsia="黑体"/>
          <w:sz w:val="28"/>
          <w:szCs w:val="28"/>
        </w:rPr>
        <w:instrText xml:space="preserve"> PAGEREF _Toc14364 </w:instrText>
      </w:r>
      <w:r>
        <w:rPr>
          <w:rFonts w:hint="eastAsia" w:ascii="Times New Roman" w:hAnsi="Times New Roman" w:eastAsia="黑体"/>
          <w:sz w:val="28"/>
          <w:szCs w:val="28"/>
        </w:rPr>
        <w:fldChar w:fldCharType="separate"/>
      </w:r>
      <w:r>
        <w:rPr>
          <w:rFonts w:hint="eastAsia" w:ascii="Times New Roman" w:hAnsi="Times New Roman" w:eastAsia="黑体"/>
          <w:sz w:val="28"/>
          <w:szCs w:val="28"/>
        </w:rPr>
        <w:t>84</w:t>
      </w:r>
      <w:r>
        <w:rPr>
          <w:rFonts w:hint="eastAsia" w:ascii="Times New Roman" w:hAnsi="Times New Roman" w:eastAsia="黑体"/>
          <w:sz w:val="28"/>
          <w:szCs w:val="28"/>
        </w:rPr>
        <w:fldChar w:fldCharType="end"/>
      </w:r>
      <w:r>
        <w:rPr>
          <w:rFonts w:hint="eastAsia" w:ascii="Times New Roman" w:hAnsi="Times New Roman" w:eastAsia="黑体"/>
          <w:sz w:val="28"/>
          <w:szCs w:val="28"/>
        </w:rPr>
        <w:fldChar w:fldCharType="end"/>
      </w:r>
    </w:p>
    <w:p>
      <w:pPr>
        <w:pStyle w:val="10"/>
        <w:tabs>
          <w:tab w:val="right" w:leader="dot" w:pos="8732"/>
        </w:tabs>
        <w:spacing w:line="560" w:lineRule="exact"/>
        <w:rPr>
          <w:rFonts w:ascii="Times New Roman" w:hAnsi="Times New Roman" w:eastAsia="黑体"/>
          <w:sz w:val="28"/>
          <w:szCs w:val="28"/>
        </w:rPr>
      </w:pPr>
      <w:r>
        <w:fldChar w:fldCharType="begin"/>
      </w:r>
      <w:r>
        <w:instrText xml:space="preserve"> HYPERLINK \l "_Toc16798" </w:instrText>
      </w:r>
      <w:r>
        <w:fldChar w:fldCharType="separate"/>
      </w:r>
      <w:r>
        <w:rPr>
          <w:rFonts w:hint="eastAsia" w:ascii="Times New Roman" w:hAnsi="Times New Roman" w:eastAsia="黑体"/>
          <w:sz w:val="28"/>
          <w:szCs w:val="28"/>
        </w:rPr>
        <w:t>第二节  加强公共安全</w:t>
      </w:r>
      <w:r>
        <w:rPr>
          <w:rFonts w:hint="eastAsia" w:ascii="Times New Roman" w:hAnsi="Times New Roman" w:eastAsia="黑体"/>
          <w:sz w:val="28"/>
          <w:szCs w:val="28"/>
        </w:rPr>
        <w:tab/>
      </w:r>
      <w:r>
        <w:rPr>
          <w:rFonts w:hint="eastAsia" w:ascii="Times New Roman" w:hAnsi="Times New Roman" w:eastAsia="黑体"/>
          <w:sz w:val="28"/>
          <w:szCs w:val="28"/>
        </w:rPr>
        <w:fldChar w:fldCharType="begin"/>
      </w:r>
      <w:r>
        <w:rPr>
          <w:rFonts w:hint="eastAsia" w:ascii="Times New Roman" w:hAnsi="Times New Roman" w:eastAsia="黑体"/>
          <w:sz w:val="28"/>
          <w:szCs w:val="28"/>
        </w:rPr>
        <w:instrText xml:space="preserve"> PAGEREF _Toc16798 </w:instrText>
      </w:r>
      <w:r>
        <w:rPr>
          <w:rFonts w:hint="eastAsia" w:ascii="Times New Roman" w:hAnsi="Times New Roman" w:eastAsia="黑体"/>
          <w:sz w:val="28"/>
          <w:szCs w:val="28"/>
        </w:rPr>
        <w:fldChar w:fldCharType="separate"/>
      </w:r>
      <w:r>
        <w:rPr>
          <w:rFonts w:hint="eastAsia" w:ascii="Times New Roman" w:hAnsi="Times New Roman" w:eastAsia="黑体"/>
          <w:sz w:val="28"/>
          <w:szCs w:val="28"/>
        </w:rPr>
        <w:t>85</w:t>
      </w:r>
      <w:r>
        <w:rPr>
          <w:rFonts w:hint="eastAsia" w:ascii="Times New Roman" w:hAnsi="Times New Roman" w:eastAsia="黑体"/>
          <w:sz w:val="28"/>
          <w:szCs w:val="28"/>
        </w:rPr>
        <w:fldChar w:fldCharType="end"/>
      </w:r>
      <w:r>
        <w:rPr>
          <w:rFonts w:hint="eastAsia" w:ascii="Times New Roman" w:hAnsi="Times New Roman" w:eastAsia="黑体"/>
          <w:sz w:val="28"/>
          <w:szCs w:val="28"/>
        </w:rPr>
        <w:fldChar w:fldCharType="end"/>
      </w:r>
    </w:p>
    <w:p>
      <w:pPr>
        <w:pStyle w:val="10"/>
        <w:tabs>
          <w:tab w:val="right" w:leader="dot" w:pos="8732"/>
        </w:tabs>
        <w:spacing w:line="560" w:lineRule="exact"/>
        <w:rPr>
          <w:rFonts w:ascii="Times New Roman" w:hAnsi="Times New Roman"/>
          <w:sz w:val="28"/>
          <w:szCs w:val="28"/>
        </w:rPr>
      </w:pPr>
      <w:r>
        <w:fldChar w:fldCharType="begin"/>
      </w:r>
      <w:r>
        <w:instrText xml:space="preserve"> HYPERLINK \l "_Toc26907" </w:instrText>
      </w:r>
      <w:r>
        <w:fldChar w:fldCharType="separate"/>
      </w:r>
      <w:r>
        <w:rPr>
          <w:rFonts w:hint="eastAsia" w:ascii="Times New Roman" w:hAnsi="Times New Roman" w:eastAsia="黑体"/>
          <w:sz w:val="28"/>
          <w:szCs w:val="28"/>
        </w:rPr>
        <w:t>第三节  加强社会民主</w:t>
      </w:r>
      <w:r>
        <w:rPr>
          <w:rFonts w:hint="eastAsia" w:ascii="Times New Roman" w:hAnsi="Times New Roman" w:eastAsia="黑体"/>
          <w:sz w:val="28"/>
          <w:szCs w:val="28"/>
        </w:rPr>
        <w:tab/>
      </w:r>
      <w:r>
        <w:rPr>
          <w:rFonts w:hint="eastAsia" w:ascii="Times New Roman" w:hAnsi="Times New Roman" w:eastAsia="黑体"/>
          <w:sz w:val="28"/>
          <w:szCs w:val="28"/>
        </w:rPr>
        <w:fldChar w:fldCharType="begin"/>
      </w:r>
      <w:r>
        <w:rPr>
          <w:rFonts w:hint="eastAsia" w:ascii="Times New Roman" w:hAnsi="Times New Roman" w:eastAsia="黑体"/>
          <w:sz w:val="28"/>
          <w:szCs w:val="28"/>
        </w:rPr>
        <w:instrText xml:space="preserve"> PAGEREF _Toc26907 </w:instrText>
      </w:r>
      <w:r>
        <w:rPr>
          <w:rFonts w:hint="eastAsia" w:ascii="Times New Roman" w:hAnsi="Times New Roman" w:eastAsia="黑体"/>
          <w:sz w:val="28"/>
          <w:szCs w:val="28"/>
        </w:rPr>
        <w:fldChar w:fldCharType="separate"/>
      </w:r>
      <w:r>
        <w:rPr>
          <w:rFonts w:hint="eastAsia" w:ascii="Times New Roman" w:hAnsi="Times New Roman" w:eastAsia="黑体"/>
          <w:sz w:val="28"/>
          <w:szCs w:val="28"/>
        </w:rPr>
        <w:t>86</w:t>
      </w:r>
      <w:r>
        <w:rPr>
          <w:rFonts w:hint="eastAsia" w:ascii="Times New Roman" w:hAnsi="Times New Roman" w:eastAsia="黑体"/>
          <w:sz w:val="28"/>
          <w:szCs w:val="28"/>
        </w:rPr>
        <w:fldChar w:fldCharType="end"/>
      </w:r>
      <w:r>
        <w:rPr>
          <w:rFonts w:hint="eastAsia" w:ascii="Times New Roman" w:hAnsi="Times New Roman" w:eastAsia="黑体"/>
          <w:sz w:val="28"/>
          <w:szCs w:val="28"/>
        </w:rPr>
        <w:fldChar w:fldCharType="end"/>
      </w:r>
    </w:p>
    <w:p>
      <w:pPr>
        <w:pStyle w:val="2"/>
        <w:tabs>
          <w:tab w:val="right" w:leader="dot" w:pos="8732"/>
        </w:tabs>
        <w:spacing w:line="560" w:lineRule="exact"/>
        <w:ind w:left="0" w:leftChars="0"/>
        <w:rPr>
          <w:rFonts w:ascii="Times New Roman" w:hAnsi="Times New Roman"/>
          <w:sz w:val="28"/>
          <w:szCs w:val="28"/>
        </w:rPr>
      </w:pPr>
      <w:r>
        <w:fldChar w:fldCharType="begin"/>
      </w:r>
      <w:r>
        <w:instrText xml:space="preserve"> HYPERLINK \l "_Toc24007" </w:instrText>
      </w:r>
      <w:r>
        <w:fldChar w:fldCharType="separate"/>
      </w:r>
      <w:r>
        <w:rPr>
          <w:rFonts w:hint="eastAsia" w:ascii="Times New Roman" w:hAnsi="Times New Roman" w:eastAsia="方正小标宋_GBK"/>
          <w:sz w:val="28"/>
          <w:szCs w:val="28"/>
        </w:rPr>
        <w:t>第四篇  强化规划实施保障，推进规划全面落实</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_Toc24007 </w:instrText>
      </w:r>
      <w:r>
        <w:rPr>
          <w:rFonts w:ascii="Times New Roman" w:hAnsi="Times New Roman"/>
          <w:sz w:val="28"/>
          <w:szCs w:val="28"/>
        </w:rPr>
        <w:fldChar w:fldCharType="separate"/>
      </w:r>
      <w:r>
        <w:rPr>
          <w:rFonts w:ascii="Times New Roman" w:hAnsi="Times New Roman"/>
          <w:sz w:val="28"/>
          <w:szCs w:val="28"/>
        </w:rPr>
        <w:t>87</w:t>
      </w:r>
      <w:r>
        <w:rPr>
          <w:rFonts w:ascii="Times New Roman" w:hAnsi="Times New Roman"/>
          <w:sz w:val="28"/>
          <w:szCs w:val="28"/>
        </w:rPr>
        <w:fldChar w:fldCharType="end"/>
      </w:r>
      <w:r>
        <w:rPr>
          <w:rFonts w:ascii="Times New Roman" w:hAnsi="Times New Roman"/>
          <w:sz w:val="28"/>
          <w:szCs w:val="28"/>
        </w:rPr>
        <w:fldChar w:fldCharType="end"/>
      </w:r>
    </w:p>
    <w:p>
      <w:pPr>
        <w:pStyle w:val="2"/>
        <w:tabs>
          <w:tab w:val="right" w:leader="dot" w:pos="8732"/>
        </w:tabs>
        <w:spacing w:line="560" w:lineRule="exact"/>
        <w:rPr>
          <w:rFonts w:ascii="Times New Roman" w:hAnsi="Times New Roman" w:eastAsia="黑体"/>
          <w:sz w:val="28"/>
          <w:szCs w:val="28"/>
        </w:rPr>
      </w:pPr>
      <w:r>
        <w:fldChar w:fldCharType="begin"/>
      </w:r>
      <w:r>
        <w:instrText xml:space="preserve"> HYPERLINK \l "_Toc22728" </w:instrText>
      </w:r>
      <w:r>
        <w:fldChar w:fldCharType="separate"/>
      </w:r>
      <w:r>
        <w:rPr>
          <w:rFonts w:hint="eastAsia" w:ascii="Times New Roman" w:hAnsi="Times New Roman" w:eastAsia="黑体"/>
          <w:sz w:val="28"/>
          <w:szCs w:val="28"/>
        </w:rPr>
        <w:t>第十五章  健全有效机制 确保规划实施</w:t>
      </w:r>
      <w:r>
        <w:rPr>
          <w:rFonts w:hint="eastAsia" w:ascii="Times New Roman" w:hAnsi="Times New Roman" w:eastAsia="黑体"/>
          <w:sz w:val="28"/>
          <w:szCs w:val="28"/>
        </w:rPr>
        <w:tab/>
      </w:r>
      <w:r>
        <w:rPr>
          <w:rFonts w:hint="eastAsia" w:ascii="Times New Roman" w:hAnsi="Times New Roman" w:eastAsia="黑体"/>
          <w:sz w:val="28"/>
          <w:szCs w:val="28"/>
        </w:rPr>
        <w:fldChar w:fldCharType="begin"/>
      </w:r>
      <w:r>
        <w:rPr>
          <w:rFonts w:hint="eastAsia" w:ascii="Times New Roman" w:hAnsi="Times New Roman" w:eastAsia="黑体"/>
          <w:sz w:val="28"/>
          <w:szCs w:val="28"/>
        </w:rPr>
        <w:instrText xml:space="preserve"> PAGEREF _Toc22728 </w:instrText>
      </w:r>
      <w:r>
        <w:rPr>
          <w:rFonts w:hint="eastAsia" w:ascii="Times New Roman" w:hAnsi="Times New Roman" w:eastAsia="黑体"/>
          <w:sz w:val="28"/>
          <w:szCs w:val="28"/>
        </w:rPr>
        <w:fldChar w:fldCharType="separate"/>
      </w:r>
      <w:r>
        <w:rPr>
          <w:rFonts w:hint="eastAsia" w:ascii="Times New Roman" w:hAnsi="Times New Roman" w:eastAsia="黑体"/>
          <w:sz w:val="28"/>
          <w:szCs w:val="28"/>
        </w:rPr>
        <w:t>87</w:t>
      </w:r>
      <w:r>
        <w:rPr>
          <w:rFonts w:hint="eastAsia" w:ascii="Times New Roman" w:hAnsi="Times New Roman" w:eastAsia="黑体"/>
          <w:sz w:val="28"/>
          <w:szCs w:val="28"/>
        </w:rPr>
        <w:fldChar w:fldCharType="end"/>
      </w:r>
      <w:r>
        <w:rPr>
          <w:rFonts w:hint="eastAsia" w:ascii="Times New Roman" w:hAnsi="Times New Roman" w:eastAsia="黑体"/>
          <w:sz w:val="28"/>
          <w:szCs w:val="28"/>
        </w:rPr>
        <w:fldChar w:fldCharType="end"/>
      </w:r>
    </w:p>
    <w:p>
      <w:pPr>
        <w:pStyle w:val="10"/>
        <w:tabs>
          <w:tab w:val="right" w:leader="dot" w:pos="8732"/>
        </w:tabs>
        <w:spacing w:line="560" w:lineRule="exact"/>
        <w:rPr>
          <w:rFonts w:ascii="Times New Roman" w:hAnsi="Times New Roman" w:eastAsia="黑体"/>
          <w:sz w:val="28"/>
          <w:szCs w:val="28"/>
        </w:rPr>
      </w:pPr>
      <w:r>
        <w:fldChar w:fldCharType="begin"/>
      </w:r>
      <w:r>
        <w:instrText xml:space="preserve"> HYPERLINK \l "_Toc19815" </w:instrText>
      </w:r>
      <w:r>
        <w:fldChar w:fldCharType="separate"/>
      </w:r>
      <w:r>
        <w:rPr>
          <w:rFonts w:hint="eastAsia" w:ascii="Times New Roman" w:hAnsi="Times New Roman" w:eastAsia="黑体"/>
          <w:sz w:val="28"/>
          <w:szCs w:val="28"/>
        </w:rPr>
        <w:t>第一节  加强规划纲要宣传</w:t>
      </w:r>
      <w:r>
        <w:rPr>
          <w:rFonts w:hint="eastAsia" w:ascii="Times New Roman" w:hAnsi="Times New Roman" w:eastAsia="黑体"/>
          <w:sz w:val="28"/>
          <w:szCs w:val="28"/>
        </w:rPr>
        <w:tab/>
      </w:r>
      <w:r>
        <w:rPr>
          <w:rFonts w:hint="eastAsia" w:ascii="Times New Roman" w:hAnsi="Times New Roman" w:eastAsia="黑体"/>
          <w:sz w:val="28"/>
          <w:szCs w:val="28"/>
        </w:rPr>
        <w:fldChar w:fldCharType="begin"/>
      </w:r>
      <w:r>
        <w:rPr>
          <w:rFonts w:hint="eastAsia" w:ascii="Times New Roman" w:hAnsi="Times New Roman" w:eastAsia="黑体"/>
          <w:sz w:val="28"/>
          <w:szCs w:val="28"/>
        </w:rPr>
        <w:instrText xml:space="preserve"> PAGEREF _Toc19815 </w:instrText>
      </w:r>
      <w:r>
        <w:rPr>
          <w:rFonts w:hint="eastAsia" w:ascii="Times New Roman" w:hAnsi="Times New Roman" w:eastAsia="黑体"/>
          <w:sz w:val="28"/>
          <w:szCs w:val="28"/>
        </w:rPr>
        <w:fldChar w:fldCharType="separate"/>
      </w:r>
      <w:r>
        <w:rPr>
          <w:rFonts w:hint="eastAsia" w:ascii="Times New Roman" w:hAnsi="Times New Roman" w:eastAsia="黑体"/>
          <w:sz w:val="28"/>
          <w:szCs w:val="28"/>
        </w:rPr>
        <w:t>87</w:t>
      </w:r>
      <w:r>
        <w:rPr>
          <w:rFonts w:hint="eastAsia" w:ascii="Times New Roman" w:hAnsi="Times New Roman" w:eastAsia="黑体"/>
          <w:sz w:val="28"/>
          <w:szCs w:val="28"/>
        </w:rPr>
        <w:fldChar w:fldCharType="end"/>
      </w:r>
      <w:r>
        <w:rPr>
          <w:rFonts w:hint="eastAsia" w:ascii="Times New Roman" w:hAnsi="Times New Roman" w:eastAsia="黑体"/>
          <w:sz w:val="28"/>
          <w:szCs w:val="28"/>
        </w:rPr>
        <w:fldChar w:fldCharType="end"/>
      </w:r>
    </w:p>
    <w:p>
      <w:pPr>
        <w:pStyle w:val="10"/>
        <w:tabs>
          <w:tab w:val="right" w:leader="dot" w:pos="8732"/>
        </w:tabs>
        <w:spacing w:line="560" w:lineRule="exact"/>
        <w:rPr>
          <w:rFonts w:ascii="Times New Roman" w:hAnsi="Times New Roman" w:eastAsia="黑体"/>
          <w:sz w:val="28"/>
          <w:szCs w:val="28"/>
        </w:rPr>
      </w:pPr>
      <w:r>
        <w:fldChar w:fldCharType="begin"/>
      </w:r>
      <w:r>
        <w:instrText xml:space="preserve"> HYPERLINK \l "_Toc11410" </w:instrText>
      </w:r>
      <w:r>
        <w:fldChar w:fldCharType="separate"/>
      </w:r>
      <w:r>
        <w:rPr>
          <w:rFonts w:hint="eastAsia" w:ascii="Times New Roman" w:hAnsi="Times New Roman" w:eastAsia="黑体"/>
          <w:sz w:val="28"/>
          <w:szCs w:val="28"/>
        </w:rPr>
        <w:t>第二节  发挥专项规划作用</w:t>
      </w:r>
      <w:r>
        <w:rPr>
          <w:rFonts w:hint="eastAsia" w:ascii="Times New Roman" w:hAnsi="Times New Roman" w:eastAsia="黑体"/>
          <w:sz w:val="28"/>
          <w:szCs w:val="28"/>
        </w:rPr>
        <w:tab/>
      </w:r>
      <w:r>
        <w:rPr>
          <w:rFonts w:hint="eastAsia" w:ascii="Times New Roman" w:hAnsi="Times New Roman" w:eastAsia="黑体"/>
          <w:sz w:val="28"/>
          <w:szCs w:val="28"/>
        </w:rPr>
        <w:fldChar w:fldCharType="begin"/>
      </w:r>
      <w:r>
        <w:rPr>
          <w:rFonts w:hint="eastAsia" w:ascii="Times New Roman" w:hAnsi="Times New Roman" w:eastAsia="黑体"/>
          <w:sz w:val="28"/>
          <w:szCs w:val="28"/>
        </w:rPr>
        <w:instrText xml:space="preserve"> PAGEREF _Toc11410 </w:instrText>
      </w:r>
      <w:r>
        <w:rPr>
          <w:rFonts w:hint="eastAsia" w:ascii="Times New Roman" w:hAnsi="Times New Roman" w:eastAsia="黑体"/>
          <w:sz w:val="28"/>
          <w:szCs w:val="28"/>
        </w:rPr>
        <w:fldChar w:fldCharType="separate"/>
      </w:r>
      <w:r>
        <w:rPr>
          <w:rFonts w:hint="eastAsia" w:ascii="Times New Roman" w:hAnsi="Times New Roman" w:eastAsia="黑体"/>
          <w:sz w:val="28"/>
          <w:szCs w:val="28"/>
        </w:rPr>
        <w:t>87</w:t>
      </w:r>
      <w:r>
        <w:rPr>
          <w:rFonts w:hint="eastAsia" w:ascii="Times New Roman" w:hAnsi="Times New Roman" w:eastAsia="黑体"/>
          <w:sz w:val="28"/>
          <w:szCs w:val="28"/>
        </w:rPr>
        <w:fldChar w:fldCharType="end"/>
      </w:r>
      <w:r>
        <w:rPr>
          <w:rFonts w:hint="eastAsia" w:ascii="Times New Roman" w:hAnsi="Times New Roman" w:eastAsia="黑体"/>
          <w:sz w:val="28"/>
          <w:szCs w:val="28"/>
        </w:rPr>
        <w:fldChar w:fldCharType="end"/>
      </w:r>
    </w:p>
    <w:p>
      <w:pPr>
        <w:pStyle w:val="10"/>
        <w:tabs>
          <w:tab w:val="right" w:leader="dot" w:pos="8732"/>
        </w:tabs>
        <w:spacing w:line="560" w:lineRule="exact"/>
        <w:rPr>
          <w:rFonts w:ascii="Times New Roman" w:hAnsi="Times New Roman" w:eastAsia="黑体"/>
          <w:sz w:val="28"/>
          <w:szCs w:val="28"/>
        </w:rPr>
      </w:pPr>
      <w:r>
        <w:fldChar w:fldCharType="begin"/>
      </w:r>
      <w:r>
        <w:instrText xml:space="preserve"> HYPERLINK \l "_Toc2437" </w:instrText>
      </w:r>
      <w:r>
        <w:fldChar w:fldCharType="separate"/>
      </w:r>
      <w:r>
        <w:rPr>
          <w:rFonts w:hint="eastAsia" w:ascii="Times New Roman" w:hAnsi="Times New Roman" w:eastAsia="黑体"/>
          <w:sz w:val="28"/>
          <w:szCs w:val="28"/>
        </w:rPr>
        <w:t>第三节  强化纲要协调管理</w:t>
      </w:r>
      <w:r>
        <w:rPr>
          <w:rFonts w:hint="eastAsia" w:ascii="Times New Roman" w:hAnsi="Times New Roman" w:eastAsia="黑体"/>
          <w:sz w:val="28"/>
          <w:szCs w:val="28"/>
        </w:rPr>
        <w:tab/>
      </w:r>
      <w:r>
        <w:rPr>
          <w:rFonts w:hint="eastAsia" w:ascii="Times New Roman" w:hAnsi="Times New Roman" w:eastAsia="黑体"/>
          <w:sz w:val="28"/>
          <w:szCs w:val="28"/>
        </w:rPr>
        <w:fldChar w:fldCharType="begin"/>
      </w:r>
      <w:r>
        <w:rPr>
          <w:rFonts w:hint="eastAsia" w:ascii="Times New Roman" w:hAnsi="Times New Roman" w:eastAsia="黑体"/>
          <w:sz w:val="28"/>
          <w:szCs w:val="28"/>
        </w:rPr>
        <w:instrText xml:space="preserve"> PAGEREF _Toc2437 </w:instrText>
      </w:r>
      <w:r>
        <w:rPr>
          <w:rFonts w:hint="eastAsia" w:ascii="Times New Roman" w:hAnsi="Times New Roman" w:eastAsia="黑体"/>
          <w:sz w:val="28"/>
          <w:szCs w:val="28"/>
        </w:rPr>
        <w:fldChar w:fldCharType="separate"/>
      </w:r>
      <w:r>
        <w:rPr>
          <w:rFonts w:hint="eastAsia" w:ascii="Times New Roman" w:hAnsi="Times New Roman" w:eastAsia="黑体"/>
          <w:sz w:val="28"/>
          <w:szCs w:val="28"/>
        </w:rPr>
        <w:t>88</w:t>
      </w:r>
      <w:r>
        <w:rPr>
          <w:rFonts w:hint="eastAsia" w:ascii="Times New Roman" w:hAnsi="Times New Roman" w:eastAsia="黑体"/>
          <w:sz w:val="28"/>
          <w:szCs w:val="28"/>
        </w:rPr>
        <w:fldChar w:fldCharType="end"/>
      </w:r>
      <w:r>
        <w:rPr>
          <w:rFonts w:hint="eastAsia" w:ascii="Times New Roman" w:hAnsi="Times New Roman" w:eastAsia="黑体"/>
          <w:sz w:val="28"/>
          <w:szCs w:val="28"/>
        </w:rPr>
        <w:fldChar w:fldCharType="end"/>
      </w:r>
    </w:p>
    <w:p>
      <w:pPr>
        <w:pStyle w:val="10"/>
        <w:tabs>
          <w:tab w:val="right" w:leader="dot" w:pos="8732"/>
        </w:tabs>
        <w:spacing w:line="560" w:lineRule="exact"/>
        <w:rPr>
          <w:rFonts w:ascii="Times New Roman" w:hAnsi="Times New Roman" w:eastAsia="黑体"/>
          <w:sz w:val="28"/>
          <w:szCs w:val="28"/>
        </w:rPr>
      </w:pPr>
      <w:r>
        <w:fldChar w:fldCharType="begin"/>
      </w:r>
      <w:r>
        <w:instrText xml:space="preserve"> HYPERLINK \l "_Toc7862" </w:instrText>
      </w:r>
      <w:r>
        <w:fldChar w:fldCharType="separate"/>
      </w:r>
      <w:r>
        <w:rPr>
          <w:rFonts w:hint="eastAsia" w:ascii="Times New Roman" w:hAnsi="Times New Roman" w:eastAsia="黑体"/>
          <w:sz w:val="28"/>
          <w:szCs w:val="28"/>
        </w:rPr>
        <w:t>第四节  规划实施及监督考核</w:t>
      </w:r>
      <w:r>
        <w:rPr>
          <w:rFonts w:hint="eastAsia" w:ascii="Times New Roman" w:hAnsi="Times New Roman" w:eastAsia="黑体"/>
          <w:sz w:val="28"/>
          <w:szCs w:val="28"/>
        </w:rPr>
        <w:tab/>
      </w:r>
      <w:r>
        <w:rPr>
          <w:rFonts w:hint="eastAsia" w:ascii="Times New Roman" w:hAnsi="Times New Roman" w:eastAsia="黑体"/>
          <w:sz w:val="28"/>
          <w:szCs w:val="28"/>
        </w:rPr>
        <w:fldChar w:fldCharType="begin"/>
      </w:r>
      <w:r>
        <w:rPr>
          <w:rFonts w:hint="eastAsia" w:ascii="Times New Roman" w:hAnsi="Times New Roman" w:eastAsia="黑体"/>
          <w:sz w:val="28"/>
          <w:szCs w:val="28"/>
        </w:rPr>
        <w:instrText xml:space="preserve"> PAGEREF _Toc7862 </w:instrText>
      </w:r>
      <w:r>
        <w:rPr>
          <w:rFonts w:hint="eastAsia" w:ascii="Times New Roman" w:hAnsi="Times New Roman" w:eastAsia="黑体"/>
          <w:sz w:val="28"/>
          <w:szCs w:val="28"/>
        </w:rPr>
        <w:fldChar w:fldCharType="separate"/>
      </w:r>
      <w:r>
        <w:rPr>
          <w:rFonts w:hint="eastAsia" w:ascii="Times New Roman" w:hAnsi="Times New Roman" w:eastAsia="黑体"/>
          <w:sz w:val="28"/>
          <w:szCs w:val="28"/>
        </w:rPr>
        <w:t>88</w:t>
      </w:r>
      <w:r>
        <w:rPr>
          <w:rFonts w:hint="eastAsia" w:ascii="Times New Roman" w:hAnsi="Times New Roman" w:eastAsia="黑体"/>
          <w:sz w:val="28"/>
          <w:szCs w:val="28"/>
        </w:rPr>
        <w:fldChar w:fldCharType="end"/>
      </w:r>
      <w:r>
        <w:rPr>
          <w:rFonts w:hint="eastAsia" w:ascii="Times New Roman" w:hAnsi="Times New Roman" w:eastAsia="黑体"/>
          <w:sz w:val="28"/>
          <w:szCs w:val="28"/>
        </w:rPr>
        <w:fldChar w:fldCharType="end"/>
      </w:r>
    </w:p>
    <w:p>
      <w:pPr>
        <w:pStyle w:val="10"/>
        <w:tabs>
          <w:tab w:val="right" w:leader="dot" w:pos="8732"/>
        </w:tabs>
        <w:spacing w:line="560" w:lineRule="exact"/>
        <w:rPr>
          <w:rFonts w:ascii="Times New Roman" w:hAnsi="Times New Roman"/>
        </w:rPr>
      </w:pPr>
      <w:r>
        <w:fldChar w:fldCharType="begin"/>
      </w:r>
      <w:r>
        <w:instrText xml:space="preserve"> HYPERLINK \l "_Toc21081" </w:instrText>
      </w:r>
      <w:r>
        <w:fldChar w:fldCharType="separate"/>
      </w:r>
      <w:r>
        <w:rPr>
          <w:rFonts w:hint="eastAsia" w:ascii="Times New Roman" w:hAnsi="Times New Roman" w:eastAsia="黑体"/>
          <w:sz w:val="28"/>
          <w:szCs w:val="28"/>
        </w:rPr>
        <w:t>第五节  建立规划评估机制</w:t>
      </w:r>
      <w:r>
        <w:rPr>
          <w:rFonts w:hint="eastAsia" w:ascii="Times New Roman" w:hAnsi="Times New Roman" w:eastAsia="黑体"/>
          <w:sz w:val="28"/>
          <w:szCs w:val="28"/>
        </w:rPr>
        <w:tab/>
      </w:r>
      <w:r>
        <w:rPr>
          <w:rFonts w:hint="eastAsia" w:ascii="Times New Roman" w:hAnsi="Times New Roman" w:eastAsia="黑体"/>
          <w:sz w:val="28"/>
          <w:szCs w:val="28"/>
        </w:rPr>
        <w:fldChar w:fldCharType="begin"/>
      </w:r>
      <w:r>
        <w:rPr>
          <w:rFonts w:hint="eastAsia" w:ascii="Times New Roman" w:hAnsi="Times New Roman" w:eastAsia="黑体"/>
          <w:sz w:val="28"/>
          <w:szCs w:val="28"/>
        </w:rPr>
        <w:instrText xml:space="preserve"> PAGEREF _Toc21081 </w:instrText>
      </w:r>
      <w:r>
        <w:rPr>
          <w:rFonts w:hint="eastAsia" w:ascii="Times New Roman" w:hAnsi="Times New Roman" w:eastAsia="黑体"/>
          <w:sz w:val="28"/>
          <w:szCs w:val="28"/>
        </w:rPr>
        <w:fldChar w:fldCharType="separate"/>
      </w:r>
      <w:r>
        <w:rPr>
          <w:rFonts w:hint="eastAsia" w:ascii="Times New Roman" w:hAnsi="Times New Roman" w:eastAsia="黑体"/>
          <w:sz w:val="28"/>
          <w:szCs w:val="28"/>
        </w:rPr>
        <w:t>89</w:t>
      </w:r>
      <w:r>
        <w:rPr>
          <w:rFonts w:hint="eastAsia" w:ascii="Times New Roman" w:hAnsi="Times New Roman" w:eastAsia="黑体"/>
          <w:sz w:val="28"/>
          <w:szCs w:val="28"/>
        </w:rPr>
        <w:fldChar w:fldCharType="end"/>
      </w:r>
      <w:r>
        <w:rPr>
          <w:rFonts w:hint="eastAsia" w:ascii="Times New Roman" w:hAnsi="Times New Roman" w:eastAsia="黑体"/>
          <w:sz w:val="28"/>
          <w:szCs w:val="28"/>
        </w:rPr>
        <w:fldChar w:fldCharType="end"/>
      </w:r>
    </w:p>
    <w:p>
      <w:pPr>
        <w:pStyle w:val="31"/>
        <w:spacing w:line="360" w:lineRule="auto"/>
        <w:rPr>
          <w:rFonts w:ascii="Times New Roman" w:hAnsi="Times New Roman"/>
          <w:b/>
          <w:color w:val="000000" w:themeColor="text1"/>
          <w:sz w:val="44"/>
          <w:szCs w:val="44"/>
          <w14:textFill>
            <w14:solidFill>
              <w14:schemeClr w14:val="tx1"/>
            </w14:solidFill>
          </w14:textFill>
        </w:rPr>
        <w:sectPr>
          <w:footerReference r:id="rId6" w:type="default"/>
          <w:pgSz w:w="11906" w:h="16838"/>
          <w:pgMar w:top="1587" w:right="1587" w:bottom="1304" w:left="1587" w:header="851" w:footer="850" w:gutter="0"/>
          <w:pgNumType w:fmt="upperRoman" w:start="1"/>
          <w:cols w:space="0" w:num="1"/>
          <w:docGrid w:type="lines" w:linePitch="312" w:charSpace="0"/>
        </w:sectPr>
      </w:pPr>
      <w:r>
        <w:rPr>
          <w:rFonts w:hint="eastAsia" w:ascii="Times New Roman" w:hAnsi="Times New Roman"/>
          <w:color w:val="000000" w:themeColor="text1"/>
          <w:szCs w:val="44"/>
          <w14:textFill>
            <w14:solidFill>
              <w14:schemeClr w14:val="tx1"/>
            </w14:solidFill>
          </w14:textFill>
        </w:rPr>
        <w:fldChar w:fldCharType="end"/>
      </w:r>
    </w:p>
    <w:p>
      <w:pPr>
        <w:pStyle w:val="31"/>
        <w:autoSpaceDE/>
        <w:autoSpaceDN/>
        <w:adjustRightInd/>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color w:val="000000" w:themeColor="text1"/>
          <w:sz w:val="32"/>
          <w:szCs w:val="32"/>
          <w14:textFill>
            <w14:solidFill>
              <w14:schemeClr w14:val="tx1"/>
            </w14:solidFill>
          </w14:textFill>
        </w:rPr>
        <w:t>龙胜各族自治县（以下简称龙胜县）国民经济和社会发展第十四个五年规划和2035年远景目标纲要，根据中共龙胜各族自治县委员会《关于制定国民经济和社会发展第十四个五年规划和2035年远景目标的建议》进行编制，主要阐明全县战略意图，明确工作重点，引导规范市场主体行为，是政府履行经济调节、市场监管、社会管理和公共服务职责的重要依据，是龙胜县开启全面建设社会主义现代化、建设一流的国际旅游目的地和康养示范基地新征程的宏伟蓝图，是全县各族人民的行动纲领。</w:t>
      </w:r>
    </w:p>
    <w:p>
      <w:pPr>
        <w:pStyle w:val="19"/>
        <w:adjustRightInd w:val="0"/>
        <w:snapToGrid w:val="0"/>
        <w:spacing w:before="0" w:beforeAutospacing="0" w:after="0" w:afterAutospacing="0" w:line="560" w:lineRule="exact"/>
        <w:ind w:firstLine="640" w:firstLineChars="200"/>
        <w:jc w:val="center"/>
        <w:rPr>
          <w:rFonts w:ascii="Times New Roman" w:hAnsi="Times New Roman" w:eastAsia="仿宋" w:cs="Times New Roman"/>
          <w:color w:val="000000" w:themeColor="text1"/>
          <w:sz w:val="32"/>
          <w:szCs w:val="32"/>
          <w14:textFill>
            <w14:solidFill>
              <w14:schemeClr w14:val="tx1"/>
            </w14:solidFill>
          </w14:textFill>
        </w:rPr>
      </w:pPr>
    </w:p>
    <w:p>
      <w:pPr>
        <w:pStyle w:val="19"/>
        <w:widowControl w:val="0"/>
        <w:spacing w:before="0" w:beforeAutospacing="0" w:after="0" w:afterAutospacing="0" w:line="640" w:lineRule="exact"/>
        <w:jc w:val="center"/>
        <w:outlineLvl w:val="0"/>
        <w:rPr>
          <w:rFonts w:ascii="Times New Roman" w:hAnsi="Times New Roman" w:eastAsia="方正小标宋_GBK" w:cs="Times New Roman"/>
          <w:bCs/>
          <w:color w:val="000000" w:themeColor="text1"/>
          <w:sz w:val="44"/>
          <w:szCs w:val="44"/>
          <w14:textFill>
            <w14:solidFill>
              <w14:schemeClr w14:val="tx1"/>
            </w14:solidFill>
          </w14:textFill>
        </w:rPr>
      </w:pPr>
      <w:bookmarkStart w:id="4" w:name="_Toc25821"/>
      <w:r>
        <w:rPr>
          <w:rFonts w:hint="eastAsia" w:ascii="Times New Roman" w:hAnsi="Times New Roman" w:eastAsia="方正小标宋_GBK" w:cs="Times New Roman"/>
          <w:bCs/>
          <w:color w:val="000000" w:themeColor="text1"/>
          <w:sz w:val="44"/>
          <w:szCs w:val="44"/>
          <w14:textFill>
            <w14:solidFill>
              <w14:schemeClr w14:val="tx1"/>
            </w14:solidFill>
          </w14:textFill>
        </w:rPr>
        <w:t>第一篇</w:t>
      </w:r>
      <w:r>
        <w:rPr>
          <w:rFonts w:hint="eastAsia" w:ascii="Times New Roman" w:hAnsi="Times New Roman" w:eastAsia="仿宋" w:cs="Times New Roman"/>
          <w:bCs/>
          <w:color w:val="000000" w:themeColor="text1"/>
          <w:sz w:val="44"/>
          <w:szCs w:val="44"/>
          <w14:textFill>
            <w14:solidFill>
              <w14:schemeClr w14:val="tx1"/>
            </w14:solidFill>
          </w14:textFill>
        </w:rPr>
        <w:t xml:space="preserve"> </w:t>
      </w:r>
      <w:r>
        <w:rPr>
          <w:rFonts w:hint="eastAsia" w:ascii="Times New Roman" w:hAnsi="Times New Roman" w:eastAsia="方正小标宋_GBK" w:cs="Times New Roman"/>
          <w:bCs/>
          <w:color w:val="000000" w:themeColor="text1"/>
          <w:sz w:val="44"/>
          <w:szCs w:val="44"/>
          <w14:textFill>
            <w14:solidFill>
              <w14:schemeClr w14:val="tx1"/>
            </w14:solidFill>
          </w14:textFill>
        </w:rPr>
        <w:t>“两个建成”取得明显成就，龙胜发展进入新阶段</w:t>
      </w:r>
      <w:bookmarkEnd w:id="3"/>
      <w:bookmarkEnd w:id="4"/>
      <w:bookmarkStart w:id="5" w:name="_Toc9020"/>
      <w:bookmarkStart w:id="6" w:name="_Toc4451"/>
      <w:bookmarkStart w:id="7" w:name="_Toc61110759"/>
      <w:bookmarkStart w:id="8" w:name="_Toc22167"/>
      <w:bookmarkStart w:id="9" w:name="_Toc20011"/>
      <w:bookmarkStart w:id="10" w:name="_Toc7151"/>
    </w:p>
    <w:p>
      <w:pPr>
        <w:pStyle w:val="19"/>
        <w:widowControl w:val="0"/>
        <w:spacing w:before="0" w:beforeAutospacing="0" w:after="0" w:afterAutospacing="0" w:line="560" w:lineRule="exact"/>
        <w:jc w:val="center"/>
        <w:rPr>
          <w:rFonts w:ascii="Times New Roman" w:hAnsi="Times New Roman" w:eastAsia="仿宋_GB2312" w:cs="Times New Roman"/>
          <w:b/>
          <w:color w:val="000000" w:themeColor="text1"/>
          <w:sz w:val="32"/>
          <w:szCs w:val="32"/>
          <w14:textFill>
            <w14:solidFill>
              <w14:schemeClr w14:val="tx1"/>
            </w14:solidFill>
          </w14:textFill>
        </w:rPr>
      </w:pPr>
    </w:p>
    <w:p>
      <w:pPr>
        <w:pStyle w:val="41"/>
        <w:keepNext w:val="0"/>
        <w:keepLines w:val="0"/>
        <w:adjustRightInd/>
        <w:snapToGrid/>
        <w:spacing w:before="0" w:beforeLines="0" w:line="560" w:lineRule="exact"/>
        <w:ind w:left="0" w:leftChars="0"/>
        <w:jc w:val="center"/>
        <w:rPr>
          <w:rFonts w:ascii="Times New Roman" w:hAnsi="Times New Roman" w:cs="Times New Roman"/>
          <w:color w:val="000000" w:themeColor="text1"/>
          <w:kern w:val="0"/>
          <w14:textFill>
            <w14:solidFill>
              <w14:schemeClr w14:val="tx1"/>
            </w14:solidFill>
          </w14:textFill>
        </w:rPr>
      </w:pPr>
      <w:bookmarkStart w:id="11" w:name="_Toc29703"/>
      <w:r>
        <w:rPr>
          <w:rFonts w:hint="eastAsia" w:ascii="Times New Roman" w:hAnsi="Times New Roman" w:cs="Times New Roman"/>
          <w:color w:val="000000" w:themeColor="text1"/>
          <w:kern w:val="0"/>
          <w14:textFill>
            <w14:solidFill>
              <w14:schemeClr w14:val="tx1"/>
            </w14:solidFill>
          </w14:textFill>
        </w:rPr>
        <w:t>第一章  “十三五”</w:t>
      </w:r>
      <w:bookmarkEnd w:id="5"/>
      <w:bookmarkEnd w:id="6"/>
      <w:bookmarkEnd w:id="7"/>
      <w:bookmarkStart w:id="12" w:name="_Toc27436"/>
      <w:r>
        <w:rPr>
          <w:rFonts w:hint="eastAsia" w:ascii="Times New Roman" w:hAnsi="Times New Roman" w:cs="Times New Roman"/>
          <w:color w:val="000000" w:themeColor="text1"/>
          <w:kern w:val="0"/>
          <w14:textFill>
            <w14:solidFill>
              <w14:schemeClr w14:val="tx1"/>
            </w14:solidFill>
          </w14:textFill>
        </w:rPr>
        <w:t>规划圆满收官</w:t>
      </w:r>
      <w:bookmarkEnd w:id="11"/>
    </w:p>
    <w:p>
      <w:pPr>
        <w:pStyle w:val="19"/>
        <w:widowControl w:val="0"/>
        <w:spacing w:before="0" w:beforeAutospacing="0" w:after="0" w:afterAutospacing="0" w:line="560" w:lineRule="exact"/>
        <w:rPr>
          <w:rFonts w:ascii="Times New Roman" w:hAnsi="Times New Roman" w:eastAsia="仿宋_GB2312" w:cs="Times New Roman"/>
          <w:color w:val="000000" w:themeColor="text1"/>
          <w:sz w:val="32"/>
          <w:szCs w:val="32"/>
          <w14:textFill>
            <w14:solidFill>
              <w14:schemeClr w14:val="tx1"/>
            </w14:solidFill>
          </w14:textFill>
        </w:rPr>
      </w:pPr>
    </w:p>
    <w:p>
      <w:pPr>
        <w:pStyle w:val="19"/>
        <w:widowControl w:val="0"/>
        <w:spacing w:before="0" w:beforeAutospacing="0" w:after="0" w:afterAutospacing="0" w:line="56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十三五”以来，面对错综复杂的国内外形势和艰巨繁重的改革发展稳定任务，面对经济下行压力持续加大的严峻考验，面对新冠肺炎疫情的严重冲击，在上级党委、政府的正确领导下，全县坚持以习近平新时代中国特色社会主义思想为指导，深入贯彻新发展理念，按照“把龙胜建成经济发达、民族团结、社会和谐、文化繁荣、山川秀美的中国生态旅游强县”的总体要求，统筹推进稳增长、促改革、调结构、惠民生、防风险、保稳定各项工作，全县经济社会呈现出“发展提速、效益提升、民生改善、大局稳定”的良好态势，“十三五”规划总体目标任务基本完成，并为“十四五”全面建设社会主义现代化和高质量发展打下了坚实的基础。</w:t>
      </w:r>
    </w:p>
    <w:p>
      <w:pPr>
        <w:spacing w:line="560" w:lineRule="exact"/>
        <w:jc w:val="center"/>
        <w:outlineLvl w:val="2"/>
        <w:rPr>
          <w:rFonts w:ascii="Times New Roman" w:hAnsi="Times New Roman" w:eastAsia="黑体"/>
          <w:color w:val="000000" w:themeColor="text1"/>
          <w:sz w:val="32"/>
          <w:szCs w:val="32"/>
          <w14:textFill>
            <w14:solidFill>
              <w14:schemeClr w14:val="tx1"/>
            </w14:solidFill>
          </w14:textFill>
        </w:rPr>
      </w:pPr>
      <w:bookmarkStart w:id="13" w:name="_Toc24521"/>
      <w:r>
        <w:rPr>
          <w:rFonts w:hint="eastAsia" w:ascii="Times New Roman" w:hAnsi="Times New Roman" w:eastAsia="黑体"/>
          <w:color w:val="000000" w:themeColor="text1"/>
          <w:sz w:val="32"/>
          <w:szCs w:val="32"/>
          <w14:textFill>
            <w14:solidFill>
              <w14:schemeClr w14:val="tx1"/>
            </w14:solidFill>
          </w14:textFill>
        </w:rPr>
        <w:t>第一节“两个建成”目标如期实现</w:t>
      </w:r>
      <w:bookmarkEnd w:id="13"/>
    </w:p>
    <w:p>
      <w:pPr>
        <w:pStyle w:val="2"/>
        <w:spacing w:line="560" w:lineRule="exact"/>
        <w:rPr>
          <w:rFonts w:ascii="Times New Roman" w:hAnsi="Times New Roman"/>
          <w:color w:val="000000" w:themeColor="text1"/>
          <w14:textFill>
            <w14:solidFill>
              <w14:schemeClr w14:val="tx1"/>
            </w14:solidFill>
          </w14:textFill>
        </w:rPr>
      </w:pPr>
    </w:p>
    <w:p>
      <w:pPr>
        <w:spacing w:line="560" w:lineRule="exact"/>
        <w:ind w:firstLine="643" w:firstLineChars="200"/>
        <w:rPr>
          <w:rFonts w:ascii="Times New Roman" w:hAnsi="Times New Roman" w:eastAsia="仿宋_GB2312"/>
          <w:color w:val="000000" w:themeColor="text1"/>
          <w:kern w:val="0"/>
          <w:sz w:val="32"/>
          <w:szCs w:val="32"/>
          <w14:textFill>
            <w14:solidFill>
              <w14:schemeClr w14:val="tx1"/>
            </w14:solidFill>
          </w14:textFill>
        </w:rPr>
      </w:pPr>
      <w:r>
        <w:rPr>
          <w:rFonts w:hint="eastAsia" w:ascii="Times New Roman" w:hAnsi="Times New Roman" w:eastAsia="仿宋_GB2312"/>
          <w:b/>
          <w:bCs/>
          <w:color w:val="000000" w:themeColor="text1"/>
          <w:sz w:val="32"/>
          <w:szCs w:val="32"/>
          <w14:textFill>
            <w14:solidFill>
              <w14:schemeClr w14:val="tx1"/>
            </w14:solidFill>
          </w14:textFill>
        </w:rPr>
        <w:t>全面建成小康社会。</w:t>
      </w:r>
      <w:r>
        <w:rPr>
          <w:rFonts w:hint="eastAsia" w:ascii="Times New Roman" w:hAnsi="Times New Roman" w:eastAsia="仿宋_GB2312"/>
          <w:color w:val="000000" w:themeColor="text1"/>
          <w:kern w:val="0"/>
          <w:sz w:val="32"/>
          <w:szCs w:val="32"/>
          <w14:textFill>
            <w14:solidFill>
              <w14:schemeClr w14:val="tx1"/>
            </w14:solidFill>
          </w14:textFill>
        </w:rPr>
        <w:t>2020年，全县地区生产总值完成60.40亿元，按可比价是2010年的1.7倍；城镇和农村居民人均可支配收入分别达到36304元和13931元，分别是2010年的2.1倍、4倍，城镇和农村居民收入均实现比2010年翻一番的小康目标。2019年，自治区正式批复同意龙胜县脱贫摘帽；2020年，59个贫困村全部脱贫出列、11479户45213名建档立卡贫困人口全部脱贫，圆满完成了新时代提出的脱贫攻坚目标任务，历史性解决了绝对贫困问题，龙胜和全国同步迈进小康社会。</w:t>
      </w:r>
    </w:p>
    <w:p>
      <w:pPr>
        <w:spacing w:line="560" w:lineRule="exact"/>
        <w:ind w:firstLine="643"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b/>
          <w:bCs/>
          <w:color w:val="000000" w:themeColor="text1"/>
          <w:sz w:val="32"/>
          <w:szCs w:val="32"/>
          <w14:textFill>
            <w14:solidFill>
              <w14:schemeClr w14:val="tx1"/>
            </w14:solidFill>
          </w14:textFill>
        </w:rPr>
        <w:t>基本建成生态旅游强县。</w:t>
      </w:r>
      <w:r>
        <w:rPr>
          <w:rFonts w:hint="eastAsia" w:ascii="Times New Roman" w:hAnsi="Times New Roman" w:eastAsia="仿宋_GB2312"/>
          <w:color w:val="000000" w:themeColor="text1"/>
          <w:sz w:val="32"/>
          <w:szCs w:val="32"/>
          <w14:textFill>
            <w14:solidFill>
              <w14:schemeClr w14:val="tx1"/>
            </w14:solidFill>
          </w14:textFill>
        </w:rPr>
        <w:t>充分挖掘和发挥资源优势，全面推进生态旅游、全域旅游，重点打造了“世界梯田原乡、世界滑石之都、中国红玉之乡、多民族生态博物馆、康寿养生胜地”五张特色旅游名片。全县森林覆盖率达81.76%，饮用水和地表水的水质达标率100%，整体生态环境质量保持优良。2017年，龙胜县高质量通过广西特色旅游名县复核验收工作；2018年4月，龙脊梯田系统入选“全球重要农业文化遗产”；2020年，龙胜县先后荣获了“广西旅游标准化示范县”、全国第四批“绿水青山就是金山银山”实践创新基地（本批广西唯一）等荣誉称号，树立了我国少数民族山区县实践“两山”理论的典范，生态宜居、环境优美、人民富足的生态旅游强县基本建成。</w:t>
      </w:r>
    </w:p>
    <w:p>
      <w:pPr>
        <w:pStyle w:val="2"/>
        <w:spacing w:line="560" w:lineRule="exact"/>
        <w:ind w:left="0" w:leftChars="0"/>
        <w:rPr>
          <w:rFonts w:ascii="Times New Roman" w:hAnsi="Times New Roman" w:eastAsia="仿宋_GB2312"/>
          <w:color w:val="000000" w:themeColor="text1"/>
          <w:sz w:val="32"/>
          <w:szCs w:val="32"/>
          <w14:textFill>
            <w14:solidFill>
              <w14:schemeClr w14:val="tx1"/>
            </w14:solidFill>
          </w14:textFill>
        </w:rPr>
      </w:pPr>
    </w:p>
    <w:p>
      <w:pPr>
        <w:spacing w:line="560" w:lineRule="exact"/>
        <w:rPr>
          <w:rFonts w:ascii="Times New Roman" w:hAnsi="Times New Roman" w:eastAsia="仿宋_GB2312"/>
          <w:color w:val="000000" w:themeColor="text1"/>
          <w:sz w:val="32"/>
          <w:szCs w:val="32"/>
          <w14:textFill>
            <w14:solidFill>
              <w14:schemeClr w14:val="tx1"/>
            </w14:solidFill>
          </w14:textFill>
        </w:rPr>
        <w:sectPr>
          <w:footerReference r:id="rId7" w:type="default"/>
          <w:footnotePr>
            <w:numFmt w:val="decimalEnclosedCircleChinese"/>
          </w:footnotePr>
          <w:pgSz w:w="11906" w:h="16838"/>
          <w:pgMar w:top="1531" w:right="1417" w:bottom="1304" w:left="1417" w:header="851" w:footer="850" w:gutter="0"/>
          <w:pgNumType w:start="1"/>
          <w:cols w:space="0" w:num="1"/>
          <w:docGrid w:type="lines" w:linePitch="312" w:charSpace="0"/>
        </w:sectPr>
      </w:pPr>
    </w:p>
    <w:p>
      <w:pPr>
        <w:spacing w:line="560" w:lineRule="exact"/>
        <w:jc w:val="center"/>
        <w:outlineLvl w:val="2"/>
        <w:rPr>
          <w:rFonts w:ascii="Times New Roman" w:hAnsi="Times New Roman" w:eastAsia="黑体"/>
          <w:color w:val="000000" w:themeColor="text1"/>
          <w:sz w:val="32"/>
          <w:szCs w:val="32"/>
          <w14:textFill>
            <w14:solidFill>
              <w14:schemeClr w14:val="tx1"/>
            </w14:solidFill>
          </w14:textFill>
        </w:rPr>
      </w:pPr>
      <w:bookmarkStart w:id="14" w:name="_Toc2721"/>
      <w:bookmarkStart w:id="15" w:name="_Toc61110760"/>
      <w:bookmarkStart w:id="16" w:name="_Toc26677"/>
      <w:r>
        <w:rPr>
          <w:rFonts w:hint="eastAsia" w:ascii="Times New Roman" w:hAnsi="Times New Roman" w:eastAsia="黑体"/>
          <w:color w:val="000000" w:themeColor="text1"/>
          <w:sz w:val="32"/>
          <w:szCs w:val="32"/>
          <w14:textFill>
            <w14:solidFill>
              <w14:schemeClr w14:val="tx1"/>
            </w14:solidFill>
          </w14:textFill>
        </w:rPr>
        <w:t>第二节  “十三五”期经济社会发展取得的</w:t>
      </w:r>
      <w:bookmarkEnd w:id="8"/>
      <w:bookmarkEnd w:id="9"/>
      <w:bookmarkEnd w:id="10"/>
      <w:bookmarkEnd w:id="12"/>
      <w:bookmarkEnd w:id="14"/>
      <w:bookmarkEnd w:id="15"/>
      <w:r>
        <w:rPr>
          <w:rFonts w:hint="eastAsia" w:ascii="Times New Roman" w:hAnsi="Times New Roman" w:eastAsia="黑体"/>
          <w:color w:val="000000" w:themeColor="text1"/>
          <w:sz w:val="32"/>
          <w:szCs w:val="32"/>
          <w14:textFill>
            <w14:solidFill>
              <w14:schemeClr w14:val="tx1"/>
            </w14:solidFill>
          </w14:textFill>
        </w:rPr>
        <w:t>重大成就</w:t>
      </w:r>
      <w:bookmarkEnd w:id="16"/>
    </w:p>
    <w:p>
      <w:pPr>
        <w:pStyle w:val="19"/>
        <w:widowControl w:val="0"/>
        <w:shd w:val="clear" w:color="auto" w:fill="FFFFFF"/>
        <w:spacing w:before="0" w:beforeAutospacing="0" w:after="0" w:afterAutospacing="0" w:line="560" w:lineRule="exact"/>
        <w:jc w:val="both"/>
        <w:rPr>
          <w:rFonts w:ascii="Times New Roman" w:hAnsi="Times New Roman" w:eastAsia="仿宋_GB2312" w:cs="Times New Roman"/>
          <w:color w:val="000000" w:themeColor="text1"/>
          <w:sz w:val="32"/>
          <w:szCs w:val="32"/>
          <w14:textFill>
            <w14:solidFill>
              <w14:schemeClr w14:val="tx1"/>
            </w14:solidFill>
          </w14:textFill>
        </w:rPr>
      </w:pPr>
    </w:p>
    <w:p>
      <w:pPr>
        <w:pStyle w:val="19"/>
        <w:widowControl w:val="0"/>
        <w:shd w:val="clear" w:color="auto" w:fill="FFFFFF"/>
        <w:spacing w:before="0" w:beforeAutospacing="0" w:after="0" w:afterAutospacing="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经过五年的持续奋斗，龙胜县经济社会发展取得了新的历史性成就。</w:t>
      </w:r>
    </w:p>
    <w:p>
      <w:pPr>
        <w:pStyle w:val="31"/>
        <w:autoSpaceDE/>
        <w:autoSpaceDN/>
        <w:adjustRightInd/>
        <w:spacing w:line="560" w:lineRule="exact"/>
        <w:ind w:firstLine="643" w:firstLineChars="200"/>
        <w:jc w:val="both"/>
        <w:rPr>
          <w:rFonts w:ascii="Times New Roman" w:hAnsi="Times New Roman" w:eastAsia="仿宋_GB2312"/>
          <w:bCs/>
          <w:color w:val="000000" w:themeColor="text1"/>
          <w:sz w:val="32"/>
          <w:szCs w:val="32"/>
          <w14:textFill>
            <w14:solidFill>
              <w14:schemeClr w14:val="tx1"/>
            </w14:solidFill>
          </w14:textFill>
        </w:rPr>
      </w:pPr>
      <w:r>
        <w:rPr>
          <w:rFonts w:hint="eastAsia" w:ascii="Times New Roman" w:hAnsi="Times New Roman" w:eastAsia="仿宋_GB2312"/>
          <w:b/>
          <w:bCs/>
          <w:color w:val="000000" w:themeColor="text1"/>
          <w:sz w:val="32"/>
          <w:szCs w:val="32"/>
          <w14:textFill>
            <w14:solidFill>
              <w14:schemeClr w14:val="tx1"/>
            </w14:solidFill>
          </w14:textFill>
        </w:rPr>
        <w:t>——“十三五”时期是龙胜县综合实力提升最快的五年。</w:t>
      </w:r>
      <w:r>
        <w:rPr>
          <w:rFonts w:hint="eastAsia" w:ascii="Times New Roman" w:hAnsi="Times New Roman" w:eastAsia="仿宋_GB2312"/>
          <w:color w:val="000000" w:themeColor="text1"/>
          <w:sz w:val="32"/>
          <w:szCs w:val="32"/>
          <w14:textFill>
            <w14:solidFill>
              <w14:schemeClr w14:val="tx1"/>
            </w14:solidFill>
          </w14:textFill>
        </w:rPr>
        <w:t>全县地区生产总值由2015年56.59亿元增加到2020年60.40亿元，年均增长5.5%。固定资产投资年均增长13.5%。组织财政收入质量不断提升。社会消费品零售总额由8.07亿元增长到12.59亿元，年均增长4.3%。城镇居民可支配收入由27642元增加到36304元，年均增长6.5%；农村居民人均可支配收入由6637元增加到13931元，年均增长10.0%，城乡居民收入差距进一步缩小。在广西县域经济发展分类考核中，龙胜县2016—2019年度连续四个年度排名位于全区重点生态功能区县前四名，其中2017、2018年度分别被评为“广西科学发展先进县”。</w:t>
      </w:r>
    </w:p>
    <w:p>
      <w:pPr>
        <w:spacing w:line="560" w:lineRule="exact"/>
        <w:ind w:firstLine="643" w:firstLineChars="200"/>
        <w:textAlignment w:val="baseline"/>
        <w:rPr>
          <w:rFonts w:ascii="Times New Roman" w:hAnsi="Times New Roman" w:eastAsia="仿宋_GB2312"/>
          <w:bCs/>
          <w:color w:val="000000" w:themeColor="text1"/>
          <w:sz w:val="32"/>
          <w:szCs w:val="32"/>
          <w14:textFill>
            <w14:solidFill>
              <w14:schemeClr w14:val="tx1"/>
            </w14:solidFill>
          </w14:textFill>
        </w:rPr>
      </w:pPr>
      <w:r>
        <w:rPr>
          <w:rFonts w:hint="eastAsia" w:ascii="Times New Roman" w:hAnsi="Times New Roman" w:eastAsia="仿宋_GB2312"/>
          <w:b/>
          <w:bCs/>
          <w:color w:val="000000" w:themeColor="text1"/>
          <w:kern w:val="0"/>
          <w:sz w:val="32"/>
          <w:szCs w:val="32"/>
          <w14:textFill>
            <w14:solidFill>
              <w14:schemeClr w14:val="tx1"/>
            </w14:solidFill>
          </w14:textFill>
        </w:rPr>
        <w:t>——“十三五”时期是龙胜县产业结构调整最优的五年。</w:t>
      </w:r>
      <w:r>
        <w:rPr>
          <w:rFonts w:hint="eastAsia" w:ascii="Times New Roman" w:hAnsi="Times New Roman" w:eastAsia="仿宋_GB2312"/>
          <w:color w:val="000000" w:themeColor="text1"/>
          <w:sz w:val="32"/>
          <w:szCs w:val="32"/>
          <w14:textFill>
            <w14:solidFill>
              <w14:schemeClr w14:val="tx1"/>
            </w14:solidFill>
          </w14:textFill>
        </w:rPr>
        <w:t>三次产业结构由18.8：54.0：27.2调整为22.2：23.0：54.8，第三产业占地区生产总值比重提高了27.6个百分点。</w:t>
      </w:r>
      <w:r>
        <w:rPr>
          <w:rFonts w:hint="eastAsia" w:ascii="Times New Roman" w:hAnsi="Times New Roman" w:eastAsia="仿宋_GB2312"/>
          <w:b/>
          <w:color w:val="000000" w:themeColor="text1"/>
          <w:sz w:val="32"/>
          <w:szCs w:val="32"/>
          <w14:textFill>
            <w14:solidFill>
              <w14:schemeClr w14:val="tx1"/>
            </w14:solidFill>
          </w14:textFill>
        </w:rPr>
        <w:t>一是</w:t>
      </w:r>
      <w:r>
        <w:rPr>
          <w:rFonts w:hint="eastAsia" w:ascii="Times New Roman" w:hAnsi="Times New Roman" w:eastAsia="仿宋_GB2312"/>
          <w:bCs/>
          <w:color w:val="000000" w:themeColor="text1"/>
          <w:sz w:val="32"/>
          <w:szCs w:val="32"/>
          <w14:textFill>
            <w14:solidFill>
              <w14:schemeClr w14:val="tx1"/>
            </w14:solidFill>
          </w14:textFill>
        </w:rPr>
        <w:t>农业产业稳步发展。“两茶两果+特色养殖”产业不断发展壮大，品牌效应日益凸显，打造有机农产品15个、国家地理标志农产品6个、富硒农产品5个，农产品商标注册61个。创建现代特色农业示范区（园、点）170个，全县农业产业化组织累计达518个，其中农民专业合作社463个，家庭农场47个，市级龙头企业8家。农业总产值由2015年16.80亿元增加到2020年28.89亿元，年均增长5.9%。</w:t>
      </w:r>
      <w:r>
        <w:rPr>
          <w:rFonts w:hint="eastAsia" w:ascii="Times New Roman" w:hAnsi="Times New Roman" w:eastAsia="仿宋_GB2312"/>
          <w:b/>
          <w:color w:val="000000" w:themeColor="text1"/>
          <w:sz w:val="32"/>
          <w:szCs w:val="32"/>
          <w14:textFill>
            <w14:solidFill>
              <w14:schemeClr w14:val="tx1"/>
            </w14:solidFill>
          </w14:textFill>
        </w:rPr>
        <w:t>二是</w:t>
      </w:r>
      <w:r>
        <w:rPr>
          <w:rFonts w:hint="eastAsia" w:ascii="Times New Roman" w:hAnsi="Times New Roman" w:eastAsia="仿宋_GB2312"/>
          <w:bCs/>
          <w:color w:val="000000" w:themeColor="text1"/>
          <w:sz w:val="32"/>
          <w:szCs w:val="32"/>
          <w14:textFill>
            <w14:solidFill>
              <w14:schemeClr w14:val="tx1"/>
            </w14:solidFill>
          </w14:textFill>
        </w:rPr>
        <w:t>工业产业提质增效。推进滑石、电力、冶炼、新能源、木材、农产品深加工等产业发展，新培育规模工业企业9家，全县规模以上工业企业总数达19家，其中亿元以上规模企业5家。全县规模工业总产值达到22.17亿元，规模工业增加值达到8.81亿元。建设5个工业园区，标准厂房面积达到2.6万平方米。</w:t>
      </w:r>
      <w:r>
        <w:rPr>
          <w:rFonts w:hint="eastAsia" w:ascii="Times New Roman" w:hAnsi="Times New Roman" w:eastAsia="仿宋_GB2312"/>
          <w:b/>
          <w:color w:val="000000" w:themeColor="text1"/>
          <w:sz w:val="32"/>
          <w:szCs w:val="32"/>
          <w14:textFill>
            <w14:solidFill>
              <w14:schemeClr w14:val="tx1"/>
            </w14:solidFill>
          </w14:textFill>
        </w:rPr>
        <w:t>三是</w:t>
      </w:r>
      <w:r>
        <w:rPr>
          <w:rFonts w:hint="eastAsia" w:ascii="Times New Roman" w:hAnsi="Times New Roman" w:eastAsia="仿宋_GB2312"/>
          <w:bCs/>
          <w:color w:val="000000" w:themeColor="text1"/>
          <w:sz w:val="32"/>
          <w:szCs w:val="32"/>
          <w14:textFill>
            <w14:solidFill>
              <w14:schemeClr w14:val="tx1"/>
            </w14:solidFill>
          </w14:textFill>
        </w:rPr>
        <w:t>以旅游为龙头的服务业深入推进。积极打造“世界梯田原乡、世界滑石之都、中国红玉之乡、多民族生态博物馆、康寿养生胜地”等五张特色旅游名片，荣获了“中国品牌节庆示范基地”、“广西旅游标准化示范县”、“广西生态旅游示范区”等称号，成功创建“广西特色旅游名县”，龙脊梯田景区入选首批“全国研学旅游示范基地”，龙脊梯田农业系统入选“全球重要农业文化遗产”。大力开发乡村旅游，高标准打造金竹民宿、平安壮寨、黄洛瑶寨、张家苗寨等乡村旅游示范点，全县发展农家乐350余家，旅游直接从业人员达2.5万人，间接从业人员达5万人。2016年至2020年接待游客总人数3969.47万人次，实现旅游总消费476.45亿元。打造农村电子商务与物流配送运营服务体系，荣获“全国电子商务进农村综合示范县”称号。</w:t>
      </w:r>
    </w:p>
    <w:p>
      <w:pPr>
        <w:spacing w:line="560" w:lineRule="exact"/>
        <w:ind w:firstLine="643" w:firstLineChars="200"/>
        <w:rPr>
          <w:rFonts w:ascii="Times New Roman" w:hAnsi="Times New Roman" w:eastAsia="仿宋_GB2312"/>
          <w:bCs/>
          <w:color w:val="000000" w:themeColor="text1"/>
          <w:sz w:val="32"/>
          <w:szCs w:val="32"/>
          <w14:textFill>
            <w14:solidFill>
              <w14:schemeClr w14:val="tx1"/>
            </w14:solidFill>
          </w14:textFill>
        </w:rPr>
      </w:pPr>
      <w:r>
        <w:rPr>
          <w:rFonts w:hint="eastAsia" w:ascii="Times New Roman" w:hAnsi="Times New Roman" w:eastAsia="仿宋_GB2312"/>
          <w:b/>
          <w:bCs/>
          <w:color w:val="000000" w:themeColor="text1"/>
          <w:kern w:val="0"/>
          <w:sz w:val="32"/>
          <w:szCs w:val="32"/>
          <w14:textFill>
            <w14:solidFill>
              <w14:schemeClr w14:val="tx1"/>
            </w14:solidFill>
          </w14:textFill>
        </w:rPr>
        <w:t>——“十三五”时期是龙胜县脱贫攻坚力度最强的五年。</w:t>
      </w:r>
      <w:r>
        <w:rPr>
          <w:rFonts w:hint="eastAsia" w:ascii="Times New Roman" w:hAnsi="Times New Roman" w:eastAsia="仿宋_GB2312"/>
          <w:color w:val="000000" w:themeColor="text1"/>
          <w:sz w:val="32"/>
          <w:szCs w:val="32"/>
          <w14:textFill>
            <w14:solidFill>
              <w14:schemeClr w14:val="tx1"/>
            </w14:solidFill>
          </w14:textFill>
        </w:rPr>
        <w:t>2016年以来，全县紧紧围绕“两不愁三保障”脱贫标准，始终把打赢脱贫攻坚战作为最大的政治任务、最大的民生工程抓牢抓实，</w:t>
      </w:r>
      <w:r>
        <w:rPr>
          <w:rFonts w:hint="eastAsia" w:ascii="Times New Roman" w:hAnsi="Times New Roman" w:eastAsia="仿宋_GB2312"/>
          <w:color w:val="000000" w:themeColor="text1"/>
          <w:kern w:val="0"/>
          <w:sz w:val="32"/>
          <w:szCs w:val="32"/>
          <w14:textFill>
            <w14:solidFill>
              <w14:schemeClr w14:val="tx1"/>
            </w14:solidFill>
          </w14:textFill>
        </w:rPr>
        <w:t>全县4342名干部职工及中央定点帮扶、粤桂帮扶、扶贫协理员等社会各界各行各业组成的“龙胜扶贫铁军”，</w:t>
      </w:r>
      <w:r>
        <w:rPr>
          <w:rFonts w:hint="eastAsia" w:ascii="Times New Roman" w:hAnsi="Times New Roman" w:eastAsia="仿宋_GB2312"/>
          <w:color w:val="000000" w:themeColor="text1"/>
          <w:sz w:val="32"/>
          <w:szCs w:val="32"/>
          <w14:textFill>
            <w14:solidFill>
              <w14:schemeClr w14:val="tx1"/>
            </w14:solidFill>
          </w14:textFill>
        </w:rPr>
        <w:t>对贫困户进行全方位帮扶，实现了帮扶“全覆盖”。整合各类涉农资金20多亿元</w:t>
      </w:r>
      <w:r>
        <w:rPr>
          <w:rFonts w:hint="eastAsia" w:ascii="Times New Roman" w:hAnsi="Times New Roman" w:eastAsia="仿宋_GB2312"/>
          <w:color w:val="000000" w:themeColor="text1"/>
          <w:kern w:val="0"/>
          <w:sz w:val="32"/>
          <w:szCs w:val="32"/>
          <w14:textFill>
            <w14:solidFill>
              <w14:schemeClr w14:val="tx1"/>
            </w14:solidFill>
          </w14:textFill>
        </w:rPr>
        <w:t>精准</w:t>
      </w:r>
      <w:r>
        <w:rPr>
          <w:rFonts w:hint="eastAsia" w:ascii="Times New Roman" w:hAnsi="Times New Roman" w:eastAsia="仿宋_GB2312"/>
          <w:color w:val="000000" w:themeColor="text1"/>
          <w:sz w:val="32"/>
          <w:szCs w:val="32"/>
          <w14:textFill>
            <w14:solidFill>
              <w14:schemeClr w14:val="tx1"/>
            </w14:solidFill>
          </w14:textFill>
        </w:rPr>
        <w:t>用于农村基础设施建设、农业产业发展、易地扶贫搬迁、村级集体经济、社会事业发展等</w:t>
      </w:r>
      <w:r>
        <w:rPr>
          <w:rFonts w:hint="eastAsia" w:ascii="Times New Roman" w:hAnsi="Times New Roman" w:eastAsia="仿宋_GB2312"/>
          <w:color w:val="000000" w:themeColor="text1"/>
          <w:kern w:val="0"/>
          <w:sz w:val="32"/>
          <w:szCs w:val="32"/>
          <w14:textFill>
            <w14:solidFill>
              <w14:schemeClr w14:val="tx1"/>
            </w14:solidFill>
          </w14:textFill>
        </w:rPr>
        <w:t>扶贫事业，</w:t>
      </w:r>
      <w:r>
        <w:rPr>
          <w:rFonts w:hint="eastAsia" w:ascii="Times New Roman" w:hAnsi="Times New Roman" w:eastAsia="仿宋_GB2312"/>
          <w:color w:val="000000" w:themeColor="text1"/>
          <w:sz w:val="32"/>
          <w:szCs w:val="32"/>
          <w14:textFill>
            <w14:solidFill>
              <w14:schemeClr w14:val="tx1"/>
            </w14:solidFill>
          </w14:textFill>
        </w:rPr>
        <w:t>共</w:t>
      </w:r>
      <w:r>
        <w:rPr>
          <w:rFonts w:hint="eastAsia" w:ascii="Times New Roman" w:hAnsi="Times New Roman" w:eastAsia="仿宋_GB2312"/>
          <w:color w:val="000000" w:themeColor="text1"/>
          <w:kern w:val="0"/>
          <w:sz w:val="32"/>
          <w:szCs w:val="32"/>
          <w14:textFill>
            <w14:solidFill>
              <w14:schemeClr w14:val="tx1"/>
            </w14:solidFill>
          </w14:textFill>
        </w:rPr>
        <w:t>硬化和新建通组屯道路、产业道路1207条1677公里，80%的自然屯通了水泥路；</w:t>
      </w:r>
      <w:r>
        <w:rPr>
          <w:rFonts w:hint="eastAsia" w:ascii="Times New Roman" w:hAnsi="Times New Roman" w:eastAsia="仿宋_GB2312"/>
          <w:color w:val="000000" w:themeColor="text1"/>
          <w:sz w:val="32"/>
          <w:szCs w:val="32"/>
          <w14:textFill>
            <w14:solidFill>
              <w14:schemeClr w14:val="tx1"/>
            </w14:solidFill>
          </w14:textFill>
        </w:rPr>
        <w:t>扶持10457户建档立卡贫困户通过自主发展产业实现脱贫致富；</w:t>
      </w:r>
      <w:r>
        <w:rPr>
          <w:rFonts w:hint="eastAsia" w:ascii="Times New Roman" w:hAnsi="Times New Roman" w:eastAsia="仿宋_GB2312"/>
          <w:color w:val="000000" w:themeColor="text1"/>
          <w:kern w:val="0"/>
          <w:sz w:val="32"/>
          <w:szCs w:val="32"/>
          <w14:textFill>
            <w14:solidFill>
              <w14:schemeClr w14:val="tx1"/>
            </w14:solidFill>
          </w14:textFill>
        </w:rPr>
        <w:t>创建55个扶贫产业园（基地）带动2.3万户农户增收；帮扶贫困劳动力10949人就业增收；完成易地扶贫搬迁2032户9311人；实施危房改造和不稳固住房维修4663座；资助贫困学生21.12万人次，全县无一名学生因贫辍学；低保救助1.42万人；落实“198”政策，切实解决了</w:t>
      </w:r>
      <w:r>
        <w:rPr>
          <w:rFonts w:hint="eastAsia" w:ascii="Times New Roman" w:hAnsi="Times New Roman" w:eastAsia="仿宋_GB2312"/>
          <w:color w:val="000000" w:themeColor="text1"/>
          <w:sz w:val="32"/>
          <w:szCs w:val="32"/>
          <w14:textFill>
            <w14:solidFill>
              <w14:schemeClr w14:val="tx1"/>
            </w14:solidFill>
          </w14:textFill>
        </w:rPr>
        <w:t>贫困人口“看病难、看病贵”问题；投入6815万元培育村级集体经济，全县所有村级集体经济收入均达5万元以上。通过精准施策，全县水、电、路、网等突出短板逐步补齐，贫困群众收入明显提高，2016-2019年连续四年在全区扶贫成效考核中获“综合评价好”等次，旅游扶贫经验走进了国际减贫论坛，59个贫困村、45160人贫困人口实现了高质量脱贫，圆满完成了新时代提出的脱贫攻坚目标任务，历史性解决了绝对贫困问题。</w:t>
      </w:r>
    </w:p>
    <w:p>
      <w:pPr>
        <w:pStyle w:val="31"/>
        <w:autoSpaceDE/>
        <w:autoSpaceDN/>
        <w:adjustRightInd/>
        <w:spacing w:line="560" w:lineRule="exact"/>
        <w:ind w:firstLine="643" w:firstLineChars="200"/>
        <w:jc w:val="both"/>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b/>
          <w:bCs/>
          <w:color w:val="000000" w:themeColor="text1"/>
          <w:sz w:val="32"/>
          <w:szCs w:val="32"/>
          <w14:textFill>
            <w14:solidFill>
              <w14:schemeClr w14:val="tx1"/>
            </w14:solidFill>
          </w14:textFill>
        </w:rPr>
        <w:t>——“十三五”时期是龙胜县城乡面貌变化最大的五年。一是</w:t>
      </w:r>
      <w:r>
        <w:rPr>
          <w:rFonts w:hint="eastAsia" w:ascii="Times New Roman" w:hAnsi="Times New Roman" w:eastAsia="仿宋_GB2312"/>
          <w:color w:val="000000" w:themeColor="text1"/>
          <w:sz w:val="32"/>
          <w:szCs w:val="32"/>
          <w14:textFill>
            <w14:solidFill>
              <w14:schemeClr w14:val="tx1"/>
            </w14:solidFill>
          </w14:textFill>
        </w:rPr>
        <w:t>重大路网建设取得新突破，桂三高速公路龙胜段建成通车，正式融入大桂林1小时经济圈，圆了全县各族人民的“高速梦”；</w:t>
      </w:r>
      <w:r>
        <w:rPr>
          <w:rFonts w:hint="eastAsia" w:ascii="Times New Roman" w:hAnsi="Times New Roman" w:eastAsia="仿宋_GB2312"/>
          <w:bCs/>
          <w:color w:val="000000" w:themeColor="text1"/>
          <w:sz w:val="32"/>
          <w:szCs w:val="32"/>
          <w14:textFill>
            <w14:solidFill>
              <w14:schemeClr w14:val="tx1"/>
            </w14:solidFill>
          </w14:textFill>
        </w:rPr>
        <w:t>龙胜—峒中口岸（马堤芙蓉至县城段）高速公路</w:t>
      </w:r>
      <w:r>
        <w:rPr>
          <w:rFonts w:hint="eastAsia" w:ascii="Times New Roman" w:hAnsi="Times New Roman" w:eastAsia="仿宋_GB2312"/>
          <w:color w:val="000000" w:themeColor="text1"/>
          <w:sz w:val="32"/>
          <w:szCs w:val="32"/>
          <w14:textFill>
            <w14:solidFill>
              <w14:schemeClr w14:val="tx1"/>
            </w14:solidFill>
          </w14:textFill>
        </w:rPr>
        <w:t>顺利开工建设</w:t>
      </w:r>
      <w:r>
        <w:rPr>
          <w:rFonts w:hint="eastAsia" w:ascii="Times New Roman" w:hAnsi="Times New Roman" w:eastAsia="仿宋_GB2312"/>
          <w:bCs/>
          <w:color w:val="000000" w:themeColor="text1"/>
          <w:sz w:val="32"/>
          <w:szCs w:val="32"/>
          <w14:textFill>
            <w14:solidFill>
              <w14:schemeClr w14:val="tx1"/>
            </w14:solidFill>
          </w14:textFill>
        </w:rPr>
        <w:t>；</w:t>
      </w:r>
      <w:r>
        <w:rPr>
          <w:rFonts w:hint="eastAsia" w:ascii="Times New Roman" w:hAnsi="Times New Roman" w:eastAsia="仿宋_GB2312"/>
          <w:color w:val="000000" w:themeColor="text1"/>
          <w:sz w:val="32"/>
          <w:szCs w:val="32"/>
          <w14:textFill>
            <w14:solidFill>
              <w14:schemeClr w14:val="tx1"/>
            </w14:solidFill>
          </w14:textFill>
        </w:rPr>
        <w:t>生态旅游扶贫大环线全线贯通。</w:t>
      </w:r>
      <w:r>
        <w:rPr>
          <w:rFonts w:hint="eastAsia" w:ascii="Times New Roman" w:hAnsi="Times New Roman" w:eastAsia="仿宋_GB2312"/>
          <w:b/>
          <w:bCs/>
          <w:color w:val="000000" w:themeColor="text1"/>
          <w:sz w:val="32"/>
          <w:szCs w:val="32"/>
          <w14:textFill>
            <w14:solidFill>
              <w14:schemeClr w14:val="tx1"/>
            </w14:solidFill>
          </w14:textFill>
        </w:rPr>
        <w:t>二是</w:t>
      </w:r>
      <w:r>
        <w:rPr>
          <w:rFonts w:hint="eastAsia" w:ascii="Times New Roman" w:hAnsi="Times New Roman" w:eastAsia="仿宋_GB2312"/>
          <w:bCs/>
          <w:color w:val="000000" w:themeColor="text1"/>
          <w:sz w:val="32"/>
          <w:szCs w:val="32"/>
          <w14:textFill>
            <w14:solidFill>
              <w14:schemeClr w14:val="tx1"/>
            </w14:solidFill>
          </w14:textFill>
        </w:rPr>
        <w:t>推进以人为本的新型城镇化建设，</w:t>
      </w:r>
      <w:r>
        <w:rPr>
          <w:rFonts w:hint="eastAsia" w:ascii="Times New Roman" w:hAnsi="Times New Roman" w:eastAsia="仿宋_GB2312"/>
          <w:color w:val="000000" w:themeColor="text1"/>
          <w:sz w:val="32"/>
          <w:szCs w:val="32"/>
          <w14:textFill>
            <w14:solidFill>
              <w14:schemeClr w14:val="tx1"/>
            </w14:solidFill>
          </w14:textFill>
        </w:rPr>
        <w:t>创建新型城镇化示范乡镇5个，全县城镇化率由2015年的30.6%提高到2020年的35.4%。县城品位不断提升，</w:t>
      </w:r>
      <w:r>
        <w:rPr>
          <w:rFonts w:hint="eastAsia" w:ascii="Times New Roman" w:hAnsi="Times New Roman" w:eastAsia="仿宋_GB2312"/>
          <w:bCs/>
          <w:color w:val="000000" w:themeColor="text1"/>
          <w:sz w:val="32"/>
          <w:szCs w:val="32"/>
          <w14:textFill>
            <w14:solidFill>
              <w14:schemeClr w14:val="tx1"/>
            </w14:solidFill>
          </w14:textFill>
        </w:rPr>
        <w:t>成功创建“广西壮族自治区卫生县城”；</w:t>
      </w:r>
      <w:r>
        <w:rPr>
          <w:rFonts w:hint="eastAsia" w:ascii="Times New Roman" w:hAnsi="Times New Roman" w:eastAsia="仿宋_GB2312"/>
          <w:color w:val="000000" w:themeColor="text1"/>
          <w:sz w:val="32"/>
          <w:szCs w:val="32"/>
          <w14:textFill>
            <w14:solidFill>
              <w14:schemeClr w14:val="tx1"/>
            </w14:solidFill>
          </w14:textFill>
        </w:rPr>
        <w:t>龙脊大道新区建设加速推进。</w:t>
      </w:r>
      <w:r>
        <w:rPr>
          <w:rFonts w:hint="eastAsia" w:ascii="Times New Roman" w:hAnsi="Times New Roman" w:eastAsia="仿宋_GB2312"/>
          <w:b/>
          <w:bCs/>
          <w:color w:val="000000" w:themeColor="text1"/>
          <w:sz w:val="32"/>
          <w:szCs w:val="32"/>
          <w14:textFill>
            <w14:solidFill>
              <w14:schemeClr w14:val="tx1"/>
            </w14:solidFill>
          </w14:textFill>
        </w:rPr>
        <w:t>三是</w:t>
      </w:r>
      <w:r>
        <w:rPr>
          <w:rFonts w:hint="eastAsia" w:ascii="Times New Roman" w:hAnsi="Times New Roman" w:eastAsia="仿宋_GB2312"/>
          <w:color w:val="000000" w:themeColor="text1"/>
          <w:sz w:val="32"/>
          <w:szCs w:val="32"/>
          <w14:textFill>
            <w14:solidFill>
              <w14:schemeClr w14:val="tx1"/>
            </w14:solidFill>
          </w14:textFill>
        </w:rPr>
        <w:t>接续推进生态乡村、宜居乡村、幸福乡村建设，幸福乡村示范村建设全面启动。10个乡镇和6个行政村分别获得自治区级生态乡镇、生态村命名，118个行政村获得市级生态村命名，34个行政村获得自治区级卫生村命名；完成18个中国传统村落保护修缮工作及10个乡土特色示范村的建设，龙脊镇金江村金竹组等30个村落入选中国传统村落名录，16个村寨被命名为“中国少数民族特色村寨”，马堤乡张家塘荣获“全国文明村屯”称号。</w:t>
      </w:r>
    </w:p>
    <w:p>
      <w:pPr>
        <w:tabs>
          <w:tab w:val="left" w:pos="993"/>
        </w:tabs>
        <w:spacing w:line="560" w:lineRule="exact"/>
        <w:ind w:firstLine="643"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b/>
          <w:bCs/>
          <w:color w:val="000000" w:themeColor="text1"/>
          <w:kern w:val="0"/>
          <w:sz w:val="32"/>
          <w:szCs w:val="32"/>
          <w14:textFill>
            <w14:solidFill>
              <w14:schemeClr w14:val="tx1"/>
            </w14:solidFill>
          </w14:textFill>
        </w:rPr>
        <w:t>——“十三五”时期是龙胜县生态建设成效最好的五年。</w:t>
      </w:r>
      <w:r>
        <w:rPr>
          <w:rFonts w:hint="eastAsia" w:ascii="Times New Roman" w:hAnsi="Times New Roman" w:eastAsia="仿宋_GB2312"/>
          <w:bCs/>
          <w:color w:val="000000" w:themeColor="text1"/>
          <w:sz w:val="32"/>
          <w:szCs w:val="32"/>
          <w14:textFill>
            <w14:solidFill>
              <w14:schemeClr w14:val="tx1"/>
            </w14:solidFill>
          </w14:textFill>
        </w:rPr>
        <w:t>坚守“绿水青山就是金山银山”的发展理念，</w:t>
      </w:r>
      <w:r>
        <w:rPr>
          <w:rFonts w:hint="eastAsia" w:ascii="Times New Roman" w:hAnsi="Times New Roman" w:eastAsia="仿宋_GB2312"/>
          <w:color w:val="000000" w:themeColor="text1"/>
          <w:kern w:val="0"/>
          <w:sz w:val="32"/>
          <w:szCs w:val="32"/>
          <w14:textFill>
            <w14:solidFill>
              <w14:schemeClr w14:val="tx1"/>
            </w14:solidFill>
          </w14:textFill>
        </w:rPr>
        <w:t>把好生态“红线关”和“底线关”，荣获全国第四批“绿水青山就是金山银山实践创新基地”“自治区级生态县”等荣誉称号，龙脊镇荣获“广西首批养生养老小镇”称号，龙脊梯田国家湿地公园顺利通过国家级验收。深入开展蓝天碧水净土保卫战，县城环境空气质量优良率达到99.7%，饮用水、地表水水质达标率100%，森林覆盖率达81.76%，全县生态环境质量排名全市前列。建成绿色矿山15座，被列为“广西首批绿色矿业发展示范区”。</w:t>
      </w:r>
    </w:p>
    <w:p>
      <w:pPr>
        <w:pBdr>
          <w:top w:val="single" w:color="FFFFFF" w:sz="4" w:space="0"/>
          <w:left w:val="single" w:color="FFFFFF" w:sz="4" w:space="31"/>
          <w:bottom w:val="single" w:color="FFFFFF" w:sz="4" w:space="31"/>
          <w:right w:val="single" w:color="FFFFFF" w:sz="4" w:space="2"/>
        </w:pBdr>
        <w:spacing w:line="560" w:lineRule="exact"/>
        <w:ind w:firstLine="643"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b/>
          <w:bCs/>
          <w:color w:val="000000" w:themeColor="text1"/>
          <w:kern w:val="0"/>
          <w:sz w:val="32"/>
          <w:szCs w:val="32"/>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-61595</wp:posOffset>
                </wp:positionH>
                <wp:positionV relativeFrom="paragraph">
                  <wp:posOffset>7694930</wp:posOffset>
                </wp:positionV>
                <wp:extent cx="952500" cy="381000"/>
                <wp:effectExtent l="0" t="0" r="0" b="0"/>
                <wp:wrapNone/>
                <wp:docPr id="10" name="矩形 10"/>
                <wp:cNvGraphicFramePr/>
                <a:graphic xmlns:a="http://schemas.openxmlformats.org/drawingml/2006/main">
                  <a:graphicData uri="http://schemas.microsoft.com/office/word/2010/wordprocessingShape">
                    <wps:wsp>
                      <wps:cNvSpPr/>
                      <wps:spPr>
                        <a:xfrm>
                          <a:off x="882650" y="9764395"/>
                          <a:ext cx="952500" cy="3810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pPr>
                              <w:pStyle w:val="15"/>
                              <w:jc w:val="center"/>
                              <w:rPr>
                                <w:rFonts w:ascii="Times New Roman" w:hAnsi="Times New Roman"/>
                                <w:sz w:val="24"/>
                                <w:szCs w:val="24"/>
                              </w:rPr>
                            </w:pPr>
                            <w:r>
                              <w:rPr>
                                <w:rFonts w:ascii="Times New Roman" w:hAnsi="Times New Roman"/>
                                <w:sz w:val="24"/>
                                <w:szCs w:val="24"/>
                              </w:rPr>
                              <w:t xml:space="preserve">— </w:t>
                            </w:r>
                            <w:sdt>
                              <w:sdtPr>
                                <w:rPr>
                                  <w:rFonts w:ascii="Times New Roman" w:hAnsi="Times New Roman"/>
                                  <w:sz w:val="24"/>
                                  <w:szCs w:val="24"/>
                                </w:rPr>
                                <w:id w:val="607398698"/>
                              </w:sdtPr>
                              <w:sdtEndPr>
                                <w:rPr>
                                  <w:rFonts w:ascii="Times New Roman" w:hAnsi="Times New Roman"/>
                                  <w:sz w:val="24"/>
                                  <w:szCs w:val="24"/>
                                </w:rPr>
                              </w:sdtEndPr>
                              <w:sdtContent>
                                <w:r>
                                  <w:rPr>
                                    <w:rFonts w:hint="eastAsia" w:ascii="Times New Roman" w:hAnsi="Times New Roman"/>
                                    <w:sz w:val="24"/>
                                    <w:szCs w:val="24"/>
                                  </w:rPr>
                                  <w:t>6</w:t>
                                </w:r>
                                <w:r>
                                  <w:rPr>
                                    <w:rFonts w:ascii="Times New Roman" w:hAnsi="Times New Roman" w:eastAsiaTheme="minorEastAsia"/>
                                    <w:sz w:val="24"/>
                                    <w:szCs w:val="24"/>
                                  </w:rPr>
                                  <w:t xml:space="preserve"> —</w:t>
                                </w:r>
                              </w:sdtContent>
                            </w:sdt>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85pt;margin-top:605.9pt;height:30pt;width:75pt;z-index:251670528;v-text-anchor:middle;mso-width-relative:page;mso-height-relative:page;" fillcolor="#FFFFFF [3201]" filled="t" stroked="f" coordsize="21600,21600" o:gfxdata="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D82rtvVAAAADAEAAA8AAAAAAAAAAQAgAAAAIgAAAGRycy9kb3ducmV2Lnht&#10;bFBLAQIUABQAAAAIAIdO4kAjzKnfbgIAAMsEAAAOAAAAAAAAAAEAIAAAACQBAABkcnMvZTJvRG9j&#10;LnhtbFBLBQYAAAAABgAGAFkBAAAEBgAAAAA=&#10;">
                <v:fill on="t" focussize="0,0"/>
                <v:stroke on="f" weight="2pt"/>
                <v:imagedata o:title=""/>
                <o:lock v:ext="edit" aspectratio="f"/>
                <v:textbox>
                  <w:txbxContent>
                    <w:p>
                      <w:pPr>
                        <w:pStyle w:val="15"/>
                        <w:jc w:val="center"/>
                        <w:rPr>
                          <w:rFonts w:ascii="Times New Roman" w:hAnsi="Times New Roman"/>
                          <w:sz w:val="24"/>
                          <w:szCs w:val="24"/>
                        </w:rPr>
                      </w:pPr>
                      <w:r>
                        <w:rPr>
                          <w:rFonts w:ascii="Times New Roman" w:hAnsi="Times New Roman"/>
                          <w:sz w:val="24"/>
                          <w:szCs w:val="24"/>
                        </w:rPr>
                        <w:t xml:space="preserve">— </w:t>
                      </w:r>
                      <w:sdt>
                        <w:sdtPr>
                          <w:rPr>
                            <w:rFonts w:ascii="Times New Roman" w:hAnsi="Times New Roman"/>
                            <w:sz w:val="24"/>
                            <w:szCs w:val="24"/>
                          </w:rPr>
                          <w:id w:val="607398698"/>
                        </w:sdtPr>
                        <w:sdtEndPr>
                          <w:rPr>
                            <w:rFonts w:ascii="Times New Roman" w:hAnsi="Times New Roman"/>
                            <w:sz w:val="24"/>
                            <w:szCs w:val="24"/>
                          </w:rPr>
                        </w:sdtEndPr>
                        <w:sdtContent>
                          <w:r>
                            <w:rPr>
                              <w:rFonts w:hint="eastAsia" w:ascii="Times New Roman" w:hAnsi="Times New Roman"/>
                              <w:sz w:val="24"/>
                              <w:szCs w:val="24"/>
                            </w:rPr>
                            <w:t>6</w:t>
                          </w:r>
                          <w:r>
                            <w:rPr>
                              <w:rFonts w:ascii="Times New Roman" w:hAnsi="Times New Roman" w:eastAsiaTheme="minorEastAsia"/>
                              <w:sz w:val="24"/>
                              <w:szCs w:val="24"/>
                            </w:rPr>
                            <w:t xml:space="preserve"> —</w:t>
                          </w:r>
                        </w:sdtContent>
                      </w:sdt>
                    </w:p>
                    <w:p>
                      <w:pPr>
                        <w:jc w:val="center"/>
                      </w:pPr>
                    </w:p>
                  </w:txbxContent>
                </v:textbox>
              </v:rect>
            </w:pict>
          </mc:Fallback>
        </mc:AlternateContent>
      </w:r>
      <w:r>
        <w:rPr>
          <w:rFonts w:hint="eastAsia" w:ascii="Times New Roman" w:hAnsi="Times New Roman" w:eastAsia="仿宋_GB2312"/>
          <w:b/>
          <w:bCs/>
          <w:color w:val="000000" w:themeColor="text1"/>
          <w:kern w:val="0"/>
          <w:sz w:val="32"/>
          <w:szCs w:val="32"/>
          <w14:textFill>
            <w14:solidFill>
              <w14:schemeClr w14:val="tx1"/>
            </w14:solidFill>
          </w14:textFill>
        </w:rPr>
        <w:t>——“十三五”时期是龙胜县人民得实惠最多的五年。</w:t>
      </w:r>
      <w:r>
        <w:rPr>
          <w:rFonts w:hint="eastAsia" w:ascii="Times New Roman" w:hAnsi="Times New Roman" w:eastAsia="仿宋_GB2312"/>
          <w:b/>
          <w:bCs/>
          <w:color w:val="000000" w:themeColor="text1"/>
          <w:sz w:val="32"/>
          <w:szCs w:val="32"/>
          <w14:textFill>
            <w14:solidFill>
              <w14:schemeClr w14:val="tx1"/>
            </w14:solidFill>
          </w14:textFill>
        </w:rPr>
        <w:t>一是</w:t>
      </w:r>
      <w:r>
        <w:rPr>
          <w:rFonts w:hint="eastAsia" w:ascii="Times New Roman" w:hAnsi="Times New Roman" w:eastAsia="仿宋_GB2312"/>
          <w:color w:val="000000" w:themeColor="text1"/>
          <w:sz w:val="32"/>
          <w:szCs w:val="32"/>
          <w14:textFill>
            <w14:solidFill>
              <w14:schemeClr w14:val="tx1"/>
            </w14:solidFill>
          </w14:textFill>
        </w:rPr>
        <w:t>教育事业全面推进。努力办好人民满意的教育，每年都有优秀学子考上清华、北大，义务教育入学率、巩固率均完成桂林市下达指标任务。投入2.78亿元实施龙脊大道教育园区、县扶贫移民小学（龙胜镇第二小学）等教育基础设施项目119个，办学条件大幅提升。县扶贫移民小学和龙胜镇初级中学均如期实现开学招生。</w:t>
      </w:r>
      <w:r>
        <w:rPr>
          <w:rFonts w:hint="eastAsia" w:ascii="Times New Roman" w:hAnsi="Times New Roman" w:eastAsia="仿宋_GB2312"/>
          <w:b/>
          <w:color w:val="000000" w:themeColor="text1"/>
          <w:sz w:val="32"/>
          <w:szCs w:val="32"/>
          <w14:textFill>
            <w14:solidFill>
              <w14:schemeClr w14:val="tx1"/>
            </w14:solidFill>
          </w14:textFill>
        </w:rPr>
        <w:t>二是</w:t>
      </w:r>
      <w:r>
        <w:rPr>
          <w:rFonts w:hint="eastAsia" w:ascii="Times New Roman" w:hAnsi="Times New Roman" w:eastAsia="仿宋_GB2312"/>
          <w:color w:val="000000" w:themeColor="text1"/>
          <w:sz w:val="32"/>
          <w:szCs w:val="32"/>
          <w14:textFill>
            <w14:solidFill>
              <w14:schemeClr w14:val="tx1"/>
            </w14:solidFill>
          </w14:textFill>
        </w:rPr>
        <w:t>卫生健康事业稳步发展。投入7579万元实施县中医院整体搬迁等一批公共卫生基础设施建设，紧密型“医联体”全面构建完成，公共卫生和疾病防控工作扎实有效，县乡村医疗卫生服务体系建设走在全区前列，全县健康扶贫工作获国家</w:t>
      </w:r>
      <w:r>
        <w:rPr>
          <w:rFonts w:hint="eastAsia" w:ascii="Times New Roman" w:hAnsi="Times New Roman" w:eastAsia="仿宋_GB2312"/>
          <w:color w:val="000000" w:themeColor="text1"/>
          <w:sz w:val="32"/>
          <w:szCs w:val="32"/>
          <w:lang w:eastAsia="zh-CN"/>
          <w14:textFill>
            <w14:solidFill>
              <w14:schemeClr w14:val="tx1"/>
            </w14:solidFill>
          </w14:textFill>
        </w:rPr>
        <w:t>卫生健康委</w:t>
      </w:r>
      <w:r>
        <w:rPr>
          <w:rFonts w:hint="eastAsia" w:ascii="Times New Roman" w:hAnsi="Times New Roman" w:eastAsia="仿宋_GB2312"/>
          <w:color w:val="000000" w:themeColor="text1"/>
          <w:sz w:val="32"/>
          <w:szCs w:val="32"/>
          <w14:textFill>
            <w14:solidFill>
              <w14:schemeClr w14:val="tx1"/>
            </w14:solidFill>
          </w14:textFill>
        </w:rPr>
        <w:t>、国务院扶贫办通报表扬。</w:t>
      </w:r>
      <w:r>
        <w:rPr>
          <w:rFonts w:hint="eastAsia" w:ascii="Times New Roman" w:hAnsi="Times New Roman" w:eastAsia="仿宋_GB2312"/>
          <w:b/>
          <w:color w:val="000000" w:themeColor="text1"/>
          <w:sz w:val="32"/>
          <w:szCs w:val="32"/>
          <w14:textFill>
            <w14:solidFill>
              <w14:schemeClr w14:val="tx1"/>
            </w14:solidFill>
          </w14:textFill>
        </w:rPr>
        <w:t>三是</w:t>
      </w:r>
      <w:r>
        <w:rPr>
          <w:rFonts w:hint="eastAsia" w:ascii="Times New Roman" w:hAnsi="Times New Roman" w:eastAsia="仿宋_GB2312"/>
          <w:color w:val="000000" w:themeColor="text1"/>
          <w:sz w:val="32"/>
          <w:szCs w:val="32"/>
          <w14:textFill>
            <w14:solidFill>
              <w14:schemeClr w14:val="tx1"/>
            </w14:solidFill>
          </w14:textFill>
        </w:rPr>
        <w:t>文化事业繁荣发展。增进民族团结，2018年获自治区级“民族团结进步创建示范县”称号。投入2500万元新建53个村级综合文化服务中心，率先在全市实现了村级综合文化服务中心全覆盖。成功举办中国农民丰收节、桂林市第三届少数民族传统体育运动会等活动。加大科普示范创建工作力度，荣获“2016—2020年度全国科普示范县”荣誉称号，首次跻身全国科普示范县行列。</w:t>
      </w:r>
      <w:r>
        <w:rPr>
          <w:rFonts w:hint="eastAsia" w:ascii="Times New Roman" w:hAnsi="Times New Roman" w:eastAsia="仿宋_GB2312"/>
          <w:b/>
          <w:color w:val="000000" w:themeColor="text1"/>
          <w:sz w:val="32"/>
          <w:szCs w:val="32"/>
          <w14:textFill>
            <w14:solidFill>
              <w14:schemeClr w14:val="tx1"/>
            </w14:solidFill>
          </w14:textFill>
        </w:rPr>
        <w:t>四是</w:t>
      </w:r>
      <w:r>
        <w:rPr>
          <w:rFonts w:hint="eastAsia" w:ascii="Times New Roman" w:hAnsi="Times New Roman" w:eastAsia="仿宋_GB2312"/>
          <w:color w:val="000000" w:themeColor="text1"/>
          <w:sz w:val="32"/>
          <w:szCs w:val="32"/>
          <w14:textFill>
            <w14:solidFill>
              <w14:schemeClr w14:val="tx1"/>
            </w14:solidFill>
          </w14:textFill>
        </w:rPr>
        <w:t>社会保障不断加强，婚姻登记、殡葬、社会救助、社会福利等便民服务水平不断提升。</w:t>
      </w:r>
      <w:r>
        <w:rPr>
          <w:rFonts w:hint="eastAsia" w:ascii="Times New Roman" w:hAnsi="Times New Roman" w:eastAsia="仿宋_GB2312"/>
          <w:b/>
          <w:color w:val="000000" w:themeColor="text1"/>
          <w:sz w:val="32"/>
          <w:szCs w:val="32"/>
          <w14:textFill>
            <w14:solidFill>
              <w14:schemeClr w14:val="tx1"/>
            </w14:solidFill>
          </w14:textFill>
        </w:rPr>
        <w:t>五是</w:t>
      </w:r>
      <w:r>
        <w:rPr>
          <w:rFonts w:hint="eastAsia" w:ascii="Times New Roman" w:hAnsi="Times New Roman" w:eastAsia="仿宋_GB2312"/>
          <w:color w:val="000000" w:themeColor="text1"/>
          <w:sz w:val="32"/>
          <w:szCs w:val="32"/>
          <w14:textFill>
            <w14:solidFill>
              <w14:schemeClr w14:val="tx1"/>
            </w14:solidFill>
          </w14:textFill>
        </w:rPr>
        <w:t>平安龙胜建设成效明显。扎实推进网格化服务管理工作，实现了县乡村网格化全覆盖。加强和创新社会治理，推进县、乡（镇）、村三级综治中心规范化建设，实现县、乡（镇）综治视联网全覆盖，群众安全感和满意度连年排名全区前列，马堤乡芙蓉村被授予“全国民主法治示范村”荣誉称号。</w:t>
      </w:r>
    </w:p>
    <w:p>
      <w:pPr>
        <w:pBdr>
          <w:top w:val="single" w:color="FFFFFF" w:sz="4" w:space="0"/>
          <w:left w:val="single" w:color="FFFFFF" w:sz="4" w:space="31"/>
          <w:bottom w:val="single" w:color="FFFFFF" w:sz="4" w:space="31"/>
          <w:right w:val="single" w:color="FFFFFF" w:sz="4" w:space="2"/>
        </w:pBdr>
        <w:spacing w:line="560" w:lineRule="exact"/>
        <w:ind w:firstLine="640" w:firstLineChars="200"/>
        <w:rPr>
          <w:rFonts w:ascii="Times New Roman" w:hAnsi="Times New Roman" w:eastAsia="仿宋_GB2312"/>
          <w:color w:val="000000" w:themeColor="text1"/>
          <w:kern w:val="0"/>
          <w:sz w:val="32"/>
          <w:szCs w:val="32"/>
          <w14:textFill>
            <w14:solidFill>
              <w14:schemeClr w14:val="tx1"/>
            </w14:solidFill>
          </w14:textFill>
        </w:rPr>
      </w:pPr>
      <w:r>
        <w:rPr>
          <w:rFonts w:hint="eastAsia" w:ascii="Times New Roman" w:hAnsi="Times New Roman" w:eastAsia="仿宋_GB2312"/>
          <w:color w:val="000000" w:themeColor="text1"/>
          <w:kern w:val="0"/>
          <w:sz w:val="32"/>
          <w:szCs w:val="32"/>
          <w14:textFill>
            <w14:solidFill>
              <w14:schemeClr w14:val="tx1"/>
            </w14:solidFill>
          </w14:textFill>
        </w:rPr>
        <w:t>五年来，统计、审计、保密、应急、机关事务、接待、档案、供销、地方志、编制、民族宗教、外事侨务、对台工作、市场服务、广播电视、新闻外宣、老龄、工会、共青团、妇女儿童、社会科学、军事设施保护、残疾人事业等不断推进；应急管理、国防动员、人民防空及双拥工作得到加强，税务、公路、国土、工商、金融、水库移民、气象、水文、民爆、石油、烟草、邮政、通信等部门为全县经济社会发展发挥了重要作用。</w:t>
      </w:r>
    </w:p>
    <w:p>
      <w:pPr>
        <w:spacing w:line="560" w:lineRule="exact"/>
        <w:rPr>
          <w:rFonts w:ascii="Times New Roman" w:hAnsi="Times New Roman" w:eastAsia="仿宋_GB2312"/>
          <w:color w:val="000000" w:themeColor="text1"/>
          <w:sz w:val="32"/>
          <w:szCs w:val="32"/>
          <w14:textFill>
            <w14:solidFill>
              <w14:schemeClr w14:val="tx1"/>
            </w14:solidFill>
          </w14:textFill>
        </w:rPr>
      </w:pPr>
      <w:bookmarkStart w:id="17" w:name="_Toc52201139"/>
      <w:r>
        <w:rPr>
          <w:rFonts w:hint="eastAsia" w:ascii="Times New Roman" w:hAnsi="Times New Roman" w:eastAsia="仿宋_GB2312"/>
          <w:color w:val="000000" w:themeColor="text1"/>
          <w:sz w:val="32"/>
          <w:szCs w:val="32"/>
          <w14:textFill>
            <w14:solidFill>
              <w14:schemeClr w14:val="tx1"/>
            </w14:solidFill>
          </w14:textFill>
        </w:rPr>
        <w:br w:type="page"/>
      </w:r>
    </w:p>
    <w:p>
      <w:pPr>
        <w:spacing w:after="120" w:afterLines="50" w:line="560" w:lineRule="exact"/>
        <w:jc w:val="center"/>
        <w:textAlignment w:val="baseline"/>
        <w:rPr>
          <w:rFonts w:ascii="Times New Roman" w:hAnsi="Times New Roman" w:eastAsia="黑体"/>
          <w:color w:val="000000" w:themeColor="text1"/>
          <w:sz w:val="32"/>
          <w:szCs w:val="32"/>
          <w14:textFill>
            <w14:solidFill>
              <w14:schemeClr w14:val="tx1"/>
            </w14:solidFill>
          </w14:textFill>
        </w:rPr>
      </w:pPr>
      <w:r>
        <w:rPr>
          <w:rFonts w:hint="eastAsia" w:ascii="Times New Roman" w:hAnsi="Times New Roman" w:eastAsia="黑体"/>
          <w:color w:val="000000" w:themeColor="text1"/>
          <w:sz w:val="32"/>
          <w:szCs w:val="32"/>
          <w14:textFill>
            <w14:solidFill>
              <w14:schemeClr w14:val="tx1"/>
            </w14:solidFill>
          </w14:textFill>
        </w:rPr>
        <w:t>表1  “十三五”时期主要指标执行情况表</w:t>
      </w:r>
    </w:p>
    <w:tbl>
      <w:tblPr>
        <w:tblStyle w:val="22"/>
        <w:tblW w:w="93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4"/>
        <w:gridCol w:w="1125"/>
        <w:gridCol w:w="1170"/>
        <w:gridCol w:w="1470"/>
        <w:gridCol w:w="1440"/>
        <w:gridCol w:w="16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94" w:type="dxa"/>
            <w:vAlign w:val="center"/>
          </w:tcPr>
          <w:p>
            <w:pPr>
              <w:adjustRightInd w:val="0"/>
              <w:snapToGrid w:val="0"/>
              <w:spacing w:line="300" w:lineRule="auto"/>
              <w:jc w:val="center"/>
              <w:textAlignment w:val="baseline"/>
              <w:rPr>
                <w:rFonts w:ascii="Times New Roman" w:hAnsi="Times New Roman" w:eastAsia="仿宋_GB2312"/>
                <w:b/>
                <w:color w:val="000000" w:themeColor="text1"/>
                <w:sz w:val="24"/>
                <w14:textFill>
                  <w14:solidFill>
                    <w14:schemeClr w14:val="tx1"/>
                  </w14:solidFill>
                </w14:textFill>
              </w:rPr>
            </w:pPr>
            <w:r>
              <w:rPr>
                <w:rFonts w:hint="eastAsia" w:ascii="Times New Roman" w:hAnsi="Times New Roman" w:eastAsia="仿宋_GB2312"/>
                <w:b/>
                <w:color w:val="000000" w:themeColor="text1"/>
                <w:sz w:val="24"/>
                <w14:textFill>
                  <w14:solidFill>
                    <w14:schemeClr w14:val="tx1"/>
                  </w14:solidFill>
                </w14:textFill>
              </w:rPr>
              <w:t>主要指标</w:t>
            </w:r>
          </w:p>
        </w:tc>
        <w:tc>
          <w:tcPr>
            <w:tcW w:w="1125" w:type="dxa"/>
            <w:vAlign w:val="center"/>
          </w:tcPr>
          <w:p>
            <w:pPr>
              <w:adjustRightInd w:val="0"/>
              <w:snapToGrid w:val="0"/>
              <w:spacing w:line="300" w:lineRule="auto"/>
              <w:jc w:val="center"/>
              <w:textAlignment w:val="baseline"/>
              <w:rPr>
                <w:rFonts w:ascii="Times New Roman" w:hAnsi="Times New Roman" w:eastAsia="仿宋_GB2312"/>
                <w:b/>
                <w:color w:val="000000" w:themeColor="text1"/>
                <w:sz w:val="24"/>
                <w14:textFill>
                  <w14:solidFill>
                    <w14:schemeClr w14:val="tx1"/>
                  </w14:solidFill>
                </w14:textFill>
              </w:rPr>
            </w:pPr>
            <w:r>
              <w:rPr>
                <w:rFonts w:hint="eastAsia" w:ascii="Times New Roman" w:hAnsi="Times New Roman" w:eastAsia="仿宋_GB2312"/>
                <w:b/>
                <w:color w:val="000000" w:themeColor="text1"/>
                <w:sz w:val="24"/>
                <w14:textFill>
                  <w14:solidFill>
                    <w14:schemeClr w14:val="tx1"/>
                  </w14:solidFill>
                </w14:textFill>
              </w:rPr>
              <w:t>单位</w:t>
            </w:r>
          </w:p>
        </w:tc>
        <w:tc>
          <w:tcPr>
            <w:tcW w:w="1170" w:type="dxa"/>
            <w:vAlign w:val="center"/>
          </w:tcPr>
          <w:p>
            <w:pPr>
              <w:adjustRightInd w:val="0"/>
              <w:snapToGrid w:val="0"/>
              <w:spacing w:line="300" w:lineRule="auto"/>
              <w:jc w:val="center"/>
              <w:textAlignment w:val="baseline"/>
              <w:rPr>
                <w:rFonts w:ascii="Times New Roman" w:hAnsi="Times New Roman" w:eastAsia="仿宋_GB2312"/>
                <w:b/>
                <w:color w:val="000000" w:themeColor="text1"/>
                <w:sz w:val="24"/>
                <w14:textFill>
                  <w14:solidFill>
                    <w14:schemeClr w14:val="tx1"/>
                  </w14:solidFill>
                </w14:textFill>
              </w:rPr>
            </w:pPr>
            <w:r>
              <w:rPr>
                <w:rFonts w:hint="eastAsia" w:ascii="Times New Roman" w:hAnsi="Times New Roman" w:eastAsia="仿宋_GB2312"/>
                <w:b/>
                <w:color w:val="000000" w:themeColor="text1"/>
                <w:sz w:val="24"/>
                <w14:textFill>
                  <w14:solidFill>
                    <w14:schemeClr w14:val="tx1"/>
                  </w14:solidFill>
                </w14:textFill>
              </w:rPr>
              <w:t>2015年</w:t>
            </w:r>
          </w:p>
          <w:p>
            <w:pPr>
              <w:adjustRightInd w:val="0"/>
              <w:snapToGrid w:val="0"/>
              <w:spacing w:line="300" w:lineRule="auto"/>
              <w:jc w:val="center"/>
              <w:textAlignment w:val="baseline"/>
              <w:rPr>
                <w:rFonts w:ascii="Times New Roman" w:hAnsi="Times New Roman" w:eastAsia="仿宋_GB2312"/>
                <w:b/>
                <w:color w:val="000000" w:themeColor="text1"/>
                <w:sz w:val="24"/>
                <w14:textFill>
                  <w14:solidFill>
                    <w14:schemeClr w14:val="tx1"/>
                  </w14:solidFill>
                </w14:textFill>
              </w:rPr>
            </w:pPr>
            <w:r>
              <w:rPr>
                <w:rFonts w:hint="eastAsia" w:ascii="Times New Roman" w:hAnsi="Times New Roman" w:eastAsia="仿宋_GB2312"/>
                <w:b/>
                <w:color w:val="000000" w:themeColor="text1"/>
                <w:sz w:val="24"/>
                <w14:textFill>
                  <w14:solidFill>
                    <w14:schemeClr w14:val="tx1"/>
                  </w14:solidFill>
                </w14:textFill>
              </w:rPr>
              <w:t>实际</w:t>
            </w:r>
          </w:p>
        </w:tc>
        <w:tc>
          <w:tcPr>
            <w:tcW w:w="1470" w:type="dxa"/>
            <w:vAlign w:val="center"/>
          </w:tcPr>
          <w:p>
            <w:pPr>
              <w:adjustRightInd w:val="0"/>
              <w:snapToGrid w:val="0"/>
              <w:spacing w:line="300" w:lineRule="auto"/>
              <w:jc w:val="center"/>
              <w:textAlignment w:val="baseline"/>
              <w:rPr>
                <w:rFonts w:ascii="Times New Roman" w:hAnsi="Times New Roman" w:eastAsia="仿宋_GB2312"/>
                <w:b/>
                <w:color w:val="000000" w:themeColor="text1"/>
                <w:sz w:val="24"/>
                <w14:textFill>
                  <w14:solidFill>
                    <w14:schemeClr w14:val="tx1"/>
                  </w14:solidFill>
                </w14:textFill>
              </w:rPr>
            </w:pPr>
            <w:r>
              <w:rPr>
                <w:rFonts w:hint="eastAsia" w:ascii="Times New Roman" w:hAnsi="Times New Roman" w:eastAsia="仿宋_GB2312"/>
                <w:b/>
                <w:color w:val="000000" w:themeColor="text1"/>
                <w:sz w:val="24"/>
                <w14:textFill>
                  <w14:solidFill>
                    <w14:schemeClr w14:val="tx1"/>
                  </w14:solidFill>
                </w14:textFill>
              </w:rPr>
              <w:t>“十三五”规划年均增长（%）</w:t>
            </w:r>
          </w:p>
        </w:tc>
        <w:tc>
          <w:tcPr>
            <w:tcW w:w="1440" w:type="dxa"/>
            <w:vAlign w:val="center"/>
          </w:tcPr>
          <w:p>
            <w:pPr>
              <w:adjustRightInd w:val="0"/>
              <w:snapToGrid w:val="0"/>
              <w:spacing w:line="300" w:lineRule="auto"/>
              <w:jc w:val="center"/>
              <w:textAlignment w:val="baseline"/>
              <w:rPr>
                <w:rFonts w:ascii="Times New Roman" w:hAnsi="Times New Roman" w:eastAsia="仿宋_GB2312"/>
                <w:b/>
                <w:color w:val="000000" w:themeColor="text1"/>
                <w:sz w:val="24"/>
                <w14:textFill>
                  <w14:solidFill>
                    <w14:schemeClr w14:val="tx1"/>
                  </w14:solidFill>
                </w14:textFill>
              </w:rPr>
            </w:pPr>
            <w:r>
              <w:rPr>
                <w:rFonts w:hint="eastAsia" w:ascii="Times New Roman" w:hAnsi="Times New Roman" w:eastAsia="仿宋_GB2312"/>
                <w:b/>
                <w:color w:val="000000" w:themeColor="text1"/>
                <w:sz w:val="24"/>
                <w14:textFill>
                  <w14:solidFill>
                    <w14:schemeClr w14:val="tx1"/>
                  </w14:solidFill>
                </w14:textFill>
              </w:rPr>
              <w:t>2020年</w:t>
            </w:r>
          </w:p>
          <w:p>
            <w:pPr>
              <w:adjustRightInd w:val="0"/>
              <w:snapToGrid w:val="0"/>
              <w:spacing w:line="300" w:lineRule="auto"/>
              <w:jc w:val="center"/>
              <w:textAlignment w:val="baseline"/>
              <w:rPr>
                <w:rFonts w:ascii="Times New Roman" w:hAnsi="Times New Roman" w:eastAsia="仿宋_GB2312"/>
                <w:b/>
                <w:color w:val="000000" w:themeColor="text1"/>
                <w:sz w:val="24"/>
                <w14:textFill>
                  <w14:solidFill>
                    <w14:schemeClr w14:val="tx1"/>
                  </w14:solidFill>
                </w14:textFill>
              </w:rPr>
            </w:pPr>
            <w:r>
              <w:rPr>
                <w:rFonts w:hint="eastAsia" w:ascii="Times New Roman" w:hAnsi="Times New Roman" w:eastAsia="仿宋_GB2312"/>
                <w:b/>
                <w:color w:val="000000" w:themeColor="text1"/>
                <w:sz w:val="24"/>
                <w14:textFill>
                  <w14:solidFill>
                    <w14:schemeClr w14:val="tx1"/>
                  </w14:solidFill>
                </w14:textFill>
              </w:rPr>
              <w:t>完成情况</w:t>
            </w:r>
          </w:p>
        </w:tc>
        <w:tc>
          <w:tcPr>
            <w:tcW w:w="1669" w:type="dxa"/>
            <w:vAlign w:val="center"/>
          </w:tcPr>
          <w:p>
            <w:pPr>
              <w:adjustRightInd w:val="0"/>
              <w:snapToGrid w:val="0"/>
              <w:spacing w:line="300" w:lineRule="auto"/>
              <w:jc w:val="center"/>
              <w:textAlignment w:val="baseline"/>
              <w:rPr>
                <w:rFonts w:ascii="Times New Roman" w:hAnsi="Times New Roman" w:eastAsia="仿宋_GB2312"/>
                <w:b/>
                <w:color w:val="000000" w:themeColor="text1"/>
                <w:sz w:val="24"/>
                <w14:textFill>
                  <w14:solidFill>
                    <w14:schemeClr w14:val="tx1"/>
                  </w14:solidFill>
                </w14:textFill>
              </w:rPr>
            </w:pPr>
            <w:r>
              <w:rPr>
                <w:rFonts w:hint="eastAsia" w:ascii="Times New Roman" w:hAnsi="Times New Roman" w:eastAsia="仿宋_GB2312"/>
                <w:b/>
                <w:color w:val="000000" w:themeColor="text1"/>
                <w:sz w:val="24"/>
                <w14:textFill>
                  <w14:solidFill>
                    <w14:schemeClr w14:val="tx1"/>
                  </w14:solidFill>
                </w14:textFill>
              </w:rPr>
              <w:t>“十三五”  实际年均增长（%）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2494" w:type="dxa"/>
            <w:vAlign w:val="center"/>
          </w:tcPr>
          <w:p>
            <w:pPr>
              <w:adjustRightInd w:val="0"/>
              <w:snapToGrid w:val="0"/>
              <w:spacing w:line="300" w:lineRule="auto"/>
              <w:textAlignment w:val="baseline"/>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地区生产总值</w:t>
            </w:r>
          </w:p>
        </w:tc>
        <w:tc>
          <w:tcPr>
            <w:tcW w:w="1125" w:type="dxa"/>
            <w:vAlign w:val="center"/>
          </w:tcPr>
          <w:p>
            <w:pPr>
              <w:adjustRightInd w:val="0"/>
              <w:snapToGrid w:val="0"/>
              <w:spacing w:line="300" w:lineRule="auto"/>
              <w:jc w:val="center"/>
              <w:textAlignment w:val="baseline"/>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亿元</w:t>
            </w:r>
          </w:p>
        </w:tc>
        <w:tc>
          <w:tcPr>
            <w:tcW w:w="1170" w:type="dxa"/>
            <w:vAlign w:val="center"/>
          </w:tcPr>
          <w:p>
            <w:pPr>
              <w:adjustRightInd w:val="0"/>
              <w:snapToGrid w:val="0"/>
              <w:spacing w:line="30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56.60</w:t>
            </w:r>
          </w:p>
        </w:tc>
        <w:tc>
          <w:tcPr>
            <w:tcW w:w="1470" w:type="dxa"/>
            <w:vAlign w:val="center"/>
          </w:tcPr>
          <w:p>
            <w:pPr>
              <w:adjustRightInd w:val="0"/>
              <w:snapToGrid w:val="0"/>
              <w:spacing w:line="30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7.0</w:t>
            </w:r>
          </w:p>
        </w:tc>
        <w:tc>
          <w:tcPr>
            <w:tcW w:w="1440" w:type="dxa"/>
            <w:vAlign w:val="center"/>
          </w:tcPr>
          <w:p>
            <w:pPr>
              <w:adjustRightInd w:val="0"/>
              <w:snapToGrid w:val="0"/>
              <w:spacing w:line="30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60.40</w:t>
            </w:r>
          </w:p>
        </w:tc>
        <w:tc>
          <w:tcPr>
            <w:tcW w:w="1669" w:type="dxa"/>
            <w:vAlign w:val="center"/>
          </w:tcPr>
          <w:p>
            <w:pPr>
              <w:adjustRightInd w:val="0"/>
              <w:snapToGrid w:val="0"/>
              <w:spacing w:line="30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2494" w:type="dxa"/>
            <w:vAlign w:val="center"/>
          </w:tcPr>
          <w:p>
            <w:pPr>
              <w:adjustRightInd w:val="0"/>
              <w:snapToGrid w:val="0"/>
              <w:spacing w:line="300" w:lineRule="auto"/>
              <w:textAlignment w:val="baseline"/>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人均地区生产总值（按户籍人口）</w:t>
            </w:r>
          </w:p>
        </w:tc>
        <w:tc>
          <w:tcPr>
            <w:tcW w:w="1125" w:type="dxa"/>
            <w:vAlign w:val="center"/>
          </w:tcPr>
          <w:p>
            <w:pPr>
              <w:adjustRightInd w:val="0"/>
              <w:snapToGrid w:val="0"/>
              <w:spacing w:line="300" w:lineRule="auto"/>
              <w:jc w:val="center"/>
              <w:textAlignment w:val="baseline"/>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元/人</w:t>
            </w:r>
          </w:p>
        </w:tc>
        <w:tc>
          <w:tcPr>
            <w:tcW w:w="1170" w:type="dxa"/>
            <w:vAlign w:val="center"/>
          </w:tcPr>
          <w:p>
            <w:pPr>
              <w:adjustRightInd w:val="0"/>
              <w:snapToGrid w:val="0"/>
              <w:spacing w:line="30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32131</w:t>
            </w:r>
          </w:p>
        </w:tc>
        <w:tc>
          <w:tcPr>
            <w:tcW w:w="1470" w:type="dxa"/>
            <w:vAlign w:val="center"/>
          </w:tcPr>
          <w:p>
            <w:pPr>
              <w:adjustRightInd w:val="0"/>
              <w:snapToGrid w:val="0"/>
              <w:spacing w:line="30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8.6</w:t>
            </w:r>
          </w:p>
        </w:tc>
        <w:tc>
          <w:tcPr>
            <w:tcW w:w="1440" w:type="dxa"/>
            <w:vAlign w:val="center"/>
          </w:tcPr>
          <w:p>
            <w:pPr>
              <w:adjustRightInd w:val="0"/>
              <w:snapToGrid w:val="0"/>
              <w:spacing w:line="30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34850</w:t>
            </w:r>
          </w:p>
        </w:tc>
        <w:tc>
          <w:tcPr>
            <w:tcW w:w="1669" w:type="dxa"/>
            <w:vAlign w:val="center"/>
          </w:tcPr>
          <w:p>
            <w:pPr>
              <w:adjustRightInd w:val="0"/>
              <w:snapToGrid w:val="0"/>
              <w:spacing w:line="30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2494" w:type="dxa"/>
            <w:vAlign w:val="center"/>
          </w:tcPr>
          <w:p>
            <w:pPr>
              <w:adjustRightInd w:val="0"/>
              <w:snapToGrid w:val="0"/>
              <w:spacing w:line="300" w:lineRule="auto"/>
              <w:textAlignment w:val="baseline"/>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财政收入</w:t>
            </w:r>
          </w:p>
        </w:tc>
        <w:tc>
          <w:tcPr>
            <w:tcW w:w="1125" w:type="dxa"/>
            <w:vAlign w:val="center"/>
          </w:tcPr>
          <w:p>
            <w:pPr>
              <w:adjustRightInd w:val="0"/>
              <w:snapToGrid w:val="0"/>
              <w:spacing w:line="300" w:lineRule="auto"/>
              <w:jc w:val="center"/>
              <w:textAlignment w:val="baseline"/>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亿元</w:t>
            </w:r>
          </w:p>
        </w:tc>
        <w:tc>
          <w:tcPr>
            <w:tcW w:w="1170" w:type="dxa"/>
            <w:vAlign w:val="center"/>
          </w:tcPr>
          <w:p>
            <w:pPr>
              <w:adjustRightInd w:val="0"/>
              <w:snapToGrid w:val="0"/>
              <w:spacing w:line="30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w:t>
            </w:r>
          </w:p>
        </w:tc>
        <w:tc>
          <w:tcPr>
            <w:tcW w:w="1470" w:type="dxa"/>
            <w:vAlign w:val="center"/>
          </w:tcPr>
          <w:p>
            <w:pPr>
              <w:adjustRightInd w:val="0"/>
              <w:snapToGrid w:val="0"/>
              <w:spacing w:line="30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w:t>
            </w:r>
          </w:p>
        </w:tc>
        <w:tc>
          <w:tcPr>
            <w:tcW w:w="1440" w:type="dxa"/>
            <w:vAlign w:val="center"/>
          </w:tcPr>
          <w:p>
            <w:pPr>
              <w:adjustRightInd w:val="0"/>
              <w:snapToGrid w:val="0"/>
              <w:spacing w:line="30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3.93</w:t>
            </w:r>
          </w:p>
        </w:tc>
        <w:tc>
          <w:tcPr>
            <w:tcW w:w="1669" w:type="dxa"/>
            <w:vAlign w:val="center"/>
          </w:tcPr>
          <w:p>
            <w:pPr>
              <w:adjustRightInd w:val="0"/>
              <w:snapToGrid w:val="0"/>
              <w:spacing w:line="30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2494" w:type="dxa"/>
            <w:vAlign w:val="center"/>
          </w:tcPr>
          <w:p>
            <w:pPr>
              <w:adjustRightInd w:val="0"/>
              <w:snapToGrid w:val="0"/>
              <w:spacing w:line="300" w:lineRule="auto"/>
              <w:textAlignment w:val="baseline"/>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固定资产投资</w:t>
            </w:r>
          </w:p>
        </w:tc>
        <w:tc>
          <w:tcPr>
            <w:tcW w:w="1125" w:type="dxa"/>
            <w:vAlign w:val="center"/>
          </w:tcPr>
          <w:p>
            <w:pPr>
              <w:adjustRightInd w:val="0"/>
              <w:snapToGrid w:val="0"/>
              <w:spacing w:line="300" w:lineRule="auto"/>
              <w:jc w:val="center"/>
              <w:textAlignment w:val="baseline"/>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亿元</w:t>
            </w:r>
          </w:p>
        </w:tc>
        <w:tc>
          <w:tcPr>
            <w:tcW w:w="1170" w:type="dxa"/>
            <w:vAlign w:val="center"/>
          </w:tcPr>
          <w:p>
            <w:pPr>
              <w:adjustRightInd w:val="0"/>
              <w:snapToGrid w:val="0"/>
              <w:spacing w:line="30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w:t>
            </w:r>
          </w:p>
        </w:tc>
        <w:tc>
          <w:tcPr>
            <w:tcW w:w="1470" w:type="dxa"/>
            <w:vAlign w:val="center"/>
          </w:tcPr>
          <w:p>
            <w:pPr>
              <w:adjustRightInd w:val="0"/>
              <w:snapToGrid w:val="0"/>
              <w:spacing w:line="30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w:t>
            </w:r>
          </w:p>
        </w:tc>
        <w:tc>
          <w:tcPr>
            <w:tcW w:w="1440" w:type="dxa"/>
            <w:vAlign w:val="center"/>
          </w:tcPr>
          <w:p>
            <w:pPr>
              <w:adjustRightInd w:val="0"/>
              <w:snapToGrid w:val="0"/>
              <w:spacing w:line="30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35.63</w:t>
            </w:r>
          </w:p>
        </w:tc>
        <w:tc>
          <w:tcPr>
            <w:tcW w:w="1669" w:type="dxa"/>
            <w:vAlign w:val="center"/>
          </w:tcPr>
          <w:p>
            <w:pPr>
              <w:adjustRightInd w:val="0"/>
              <w:snapToGrid w:val="0"/>
              <w:spacing w:line="30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2494" w:type="dxa"/>
            <w:vAlign w:val="center"/>
          </w:tcPr>
          <w:p>
            <w:pPr>
              <w:adjustRightInd w:val="0"/>
              <w:snapToGrid w:val="0"/>
              <w:spacing w:line="300" w:lineRule="auto"/>
              <w:textAlignment w:val="baseline"/>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社会消费品零售总额</w:t>
            </w:r>
          </w:p>
        </w:tc>
        <w:tc>
          <w:tcPr>
            <w:tcW w:w="1125" w:type="dxa"/>
            <w:vAlign w:val="center"/>
          </w:tcPr>
          <w:p>
            <w:pPr>
              <w:adjustRightInd w:val="0"/>
              <w:snapToGrid w:val="0"/>
              <w:spacing w:line="300" w:lineRule="auto"/>
              <w:jc w:val="center"/>
              <w:textAlignment w:val="baseline"/>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亿元</w:t>
            </w:r>
          </w:p>
        </w:tc>
        <w:tc>
          <w:tcPr>
            <w:tcW w:w="1170" w:type="dxa"/>
            <w:vAlign w:val="center"/>
          </w:tcPr>
          <w:p>
            <w:pPr>
              <w:adjustRightInd w:val="0"/>
              <w:snapToGrid w:val="0"/>
              <w:spacing w:line="30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8.07</w:t>
            </w:r>
          </w:p>
        </w:tc>
        <w:tc>
          <w:tcPr>
            <w:tcW w:w="1470" w:type="dxa"/>
            <w:vAlign w:val="center"/>
          </w:tcPr>
          <w:p>
            <w:pPr>
              <w:adjustRightInd w:val="0"/>
              <w:snapToGrid w:val="0"/>
              <w:spacing w:line="30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4.3</w:t>
            </w:r>
          </w:p>
        </w:tc>
        <w:tc>
          <w:tcPr>
            <w:tcW w:w="1440" w:type="dxa"/>
            <w:vAlign w:val="center"/>
          </w:tcPr>
          <w:p>
            <w:pPr>
              <w:adjustRightInd w:val="0"/>
              <w:snapToGrid w:val="0"/>
              <w:spacing w:line="30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12.59</w:t>
            </w:r>
          </w:p>
        </w:tc>
        <w:tc>
          <w:tcPr>
            <w:tcW w:w="1669" w:type="dxa"/>
            <w:vAlign w:val="center"/>
          </w:tcPr>
          <w:p>
            <w:pPr>
              <w:adjustRightInd w:val="0"/>
              <w:snapToGrid w:val="0"/>
              <w:spacing w:line="30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494" w:type="dxa"/>
            <w:vAlign w:val="center"/>
          </w:tcPr>
          <w:p>
            <w:pPr>
              <w:adjustRightInd w:val="0"/>
              <w:snapToGrid w:val="0"/>
              <w:spacing w:line="300" w:lineRule="auto"/>
              <w:textAlignment w:val="baseline"/>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外贸进出口总额</w:t>
            </w:r>
          </w:p>
        </w:tc>
        <w:tc>
          <w:tcPr>
            <w:tcW w:w="1125" w:type="dxa"/>
            <w:vAlign w:val="center"/>
          </w:tcPr>
          <w:p>
            <w:pPr>
              <w:adjustRightInd w:val="0"/>
              <w:snapToGrid w:val="0"/>
              <w:spacing w:line="300" w:lineRule="auto"/>
              <w:jc w:val="center"/>
              <w:textAlignment w:val="baseline"/>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亿元</w:t>
            </w:r>
          </w:p>
        </w:tc>
        <w:tc>
          <w:tcPr>
            <w:tcW w:w="1170" w:type="dxa"/>
            <w:vAlign w:val="center"/>
          </w:tcPr>
          <w:p>
            <w:pPr>
              <w:adjustRightInd w:val="0"/>
              <w:snapToGrid w:val="0"/>
              <w:spacing w:line="30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0.25</w:t>
            </w:r>
          </w:p>
        </w:tc>
        <w:tc>
          <w:tcPr>
            <w:tcW w:w="1470" w:type="dxa"/>
            <w:vAlign w:val="center"/>
          </w:tcPr>
          <w:p>
            <w:pPr>
              <w:adjustRightInd w:val="0"/>
              <w:snapToGrid w:val="0"/>
              <w:spacing w:line="30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w:t>
            </w:r>
          </w:p>
        </w:tc>
        <w:tc>
          <w:tcPr>
            <w:tcW w:w="1440" w:type="dxa"/>
            <w:vAlign w:val="center"/>
          </w:tcPr>
          <w:p>
            <w:pPr>
              <w:adjustRightInd w:val="0"/>
              <w:snapToGrid w:val="0"/>
              <w:spacing w:line="30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3.60</w:t>
            </w:r>
          </w:p>
        </w:tc>
        <w:tc>
          <w:tcPr>
            <w:tcW w:w="1669" w:type="dxa"/>
            <w:vAlign w:val="center"/>
          </w:tcPr>
          <w:p>
            <w:pPr>
              <w:adjustRightInd w:val="0"/>
              <w:snapToGrid w:val="0"/>
              <w:spacing w:line="30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2494" w:type="dxa"/>
            <w:vAlign w:val="center"/>
          </w:tcPr>
          <w:p>
            <w:pPr>
              <w:adjustRightInd w:val="0"/>
              <w:snapToGrid w:val="0"/>
              <w:spacing w:line="300" w:lineRule="auto"/>
              <w:textAlignment w:val="baseline"/>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旅游接待总人数</w:t>
            </w:r>
          </w:p>
        </w:tc>
        <w:tc>
          <w:tcPr>
            <w:tcW w:w="1125" w:type="dxa"/>
            <w:vAlign w:val="center"/>
          </w:tcPr>
          <w:p>
            <w:pPr>
              <w:adjustRightInd w:val="0"/>
              <w:snapToGrid w:val="0"/>
              <w:spacing w:line="300" w:lineRule="auto"/>
              <w:jc w:val="center"/>
              <w:textAlignment w:val="baseline"/>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万人次</w:t>
            </w:r>
          </w:p>
        </w:tc>
        <w:tc>
          <w:tcPr>
            <w:tcW w:w="1170" w:type="dxa"/>
            <w:vAlign w:val="center"/>
          </w:tcPr>
          <w:p>
            <w:pPr>
              <w:adjustRightInd w:val="0"/>
              <w:snapToGrid w:val="0"/>
              <w:spacing w:line="30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553.45</w:t>
            </w:r>
          </w:p>
        </w:tc>
        <w:tc>
          <w:tcPr>
            <w:tcW w:w="1470" w:type="dxa"/>
            <w:vAlign w:val="center"/>
          </w:tcPr>
          <w:p>
            <w:pPr>
              <w:adjustRightInd w:val="0"/>
              <w:snapToGrid w:val="0"/>
              <w:spacing w:line="30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4.76</w:t>
            </w:r>
          </w:p>
        </w:tc>
        <w:tc>
          <w:tcPr>
            <w:tcW w:w="1440" w:type="dxa"/>
            <w:vAlign w:val="center"/>
          </w:tcPr>
          <w:p>
            <w:pPr>
              <w:adjustRightInd w:val="0"/>
              <w:snapToGrid w:val="0"/>
              <w:spacing w:line="30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698.30</w:t>
            </w:r>
          </w:p>
        </w:tc>
        <w:tc>
          <w:tcPr>
            <w:tcW w:w="1669" w:type="dxa"/>
            <w:vAlign w:val="center"/>
          </w:tcPr>
          <w:p>
            <w:pPr>
              <w:adjustRightInd w:val="0"/>
              <w:snapToGrid w:val="0"/>
              <w:spacing w:line="30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2494" w:type="dxa"/>
            <w:vAlign w:val="center"/>
          </w:tcPr>
          <w:p>
            <w:pPr>
              <w:adjustRightInd w:val="0"/>
              <w:snapToGrid w:val="0"/>
              <w:spacing w:line="300" w:lineRule="auto"/>
              <w:textAlignment w:val="baseline"/>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实现旅游总消费</w:t>
            </w:r>
          </w:p>
        </w:tc>
        <w:tc>
          <w:tcPr>
            <w:tcW w:w="1125" w:type="dxa"/>
            <w:vAlign w:val="center"/>
          </w:tcPr>
          <w:p>
            <w:pPr>
              <w:adjustRightInd w:val="0"/>
              <w:snapToGrid w:val="0"/>
              <w:spacing w:line="300" w:lineRule="auto"/>
              <w:jc w:val="center"/>
              <w:textAlignment w:val="baseline"/>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亿元</w:t>
            </w:r>
          </w:p>
        </w:tc>
        <w:tc>
          <w:tcPr>
            <w:tcW w:w="1170" w:type="dxa"/>
            <w:vAlign w:val="center"/>
          </w:tcPr>
          <w:p>
            <w:pPr>
              <w:adjustRightInd w:val="0"/>
              <w:snapToGrid w:val="0"/>
              <w:spacing w:line="30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46.10</w:t>
            </w:r>
          </w:p>
        </w:tc>
        <w:tc>
          <w:tcPr>
            <w:tcW w:w="1470" w:type="dxa"/>
            <w:vAlign w:val="center"/>
          </w:tcPr>
          <w:p>
            <w:pPr>
              <w:adjustRightInd w:val="0"/>
              <w:snapToGrid w:val="0"/>
              <w:spacing w:line="30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12.62</w:t>
            </w:r>
          </w:p>
        </w:tc>
        <w:tc>
          <w:tcPr>
            <w:tcW w:w="1440" w:type="dxa"/>
            <w:vAlign w:val="center"/>
          </w:tcPr>
          <w:p>
            <w:pPr>
              <w:adjustRightInd w:val="0"/>
              <w:snapToGrid w:val="0"/>
              <w:spacing w:line="30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83.52</w:t>
            </w:r>
          </w:p>
        </w:tc>
        <w:tc>
          <w:tcPr>
            <w:tcW w:w="1669" w:type="dxa"/>
            <w:vAlign w:val="center"/>
          </w:tcPr>
          <w:p>
            <w:pPr>
              <w:adjustRightInd w:val="0"/>
              <w:snapToGrid w:val="0"/>
              <w:spacing w:line="30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2494" w:type="dxa"/>
            <w:vAlign w:val="center"/>
          </w:tcPr>
          <w:p>
            <w:pPr>
              <w:adjustRightInd w:val="0"/>
              <w:snapToGrid w:val="0"/>
              <w:spacing w:line="300" w:lineRule="auto"/>
              <w:textAlignment w:val="baseline"/>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三次产业增加值结构</w:t>
            </w:r>
          </w:p>
        </w:tc>
        <w:tc>
          <w:tcPr>
            <w:tcW w:w="1125" w:type="dxa"/>
            <w:vAlign w:val="center"/>
          </w:tcPr>
          <w:p>
            <w:pPr>
              <w:adjustRightInd w:val="0"/>
              <w:snapToGrid w:val="0"/>
              <w:spacing w:line="300" w:lineRule="auto"/>
              <w:jc w:val="center"/>
              <w:textAlignment w:val="baseline"/>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w:t>
            </w:r>
          </w:p>
        </w:tc>
        <w:tc>
          <w:tcPr>
            <w:tcW w:w="1170" w:type="dxa"/>
            <w:vAlign w:val="center"/>
          </w:tcPr>
          <w:p>
            <w:pPr>
              <w:adjustRightInd w:val="0"/>
              <w:snapToGrid w:val="0"/>
              <w:spacing w:line="30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18.7:54:27.3</w:t>
            </w:r>
          </w:p>
        </w:tc>
        <w:tc>
          <w:tcPr>
            <w:tcW w:w="1470" w:type="dxa"/>
            <w:vAlign w:val="center"/>
          </w:tcPr>
          <w:p>
            <w:pPr>
              <w:adjustRightInd w:val="0"/>
              <w:snapToGrid w:val="0"/>
              <w:spacing w:line="30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w:t>
            </w:r>
          </w:p>
        </w:tc>
        <w:tc>
          <w:tcPr>
            <w:tcW w:w="1440" w:type="dxa"/>
            <w:vAlign w:val="center"/>
          </w:tcPr>
          <w:p>
            <w:pPr>
              <w:adjustRightInd w:val="0"/>
              <w:snapToGrid w:val="0"/>
              <w:spacing w:line="30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22.2：23.0：54.8</w:t>
            </w:r>
          </w:p>
        </w:tc>
        <w:tc>
          <w:tcPr>
            <w:tcW w:w="1669" w:type="dxa"/>
            <w:vAlign w:val="center"/>
          </w:tcPr>
          <w:p>
            <w:pPr>
              <w:adjustRightInd w:val="0"/>
              <w:snapToGrid w:val="0"/>
              <w:spacing w:line="30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2494" w:type="dxa"/>
            <w:vAlign w:val="center"/>
          </w:tcPr>
          <w:p>
            <w:pPr>
              <w:adjustRightInd w:val="0"/>
              <w:snapToGrid w:val="0"/>
              <w:spacing w:line="300" w:lineRule="auto"/>
              <w:textAlignment w:val="baseline"/>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工业增加值占GDP</w:t>
            </w:r>
          </w:p>
          <w:p>
            <w:pPr>
              <w:adjustRightInd w:val="0"/>
              <w:snapToGrid w:val="0"/>
              <w:spacing w:line="300" w:lineRule="auto"/>
              <w:textAlignment w:val="baseline"/>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比重</w:t>
            </w:r>
          </w:p>
        </w:tc>
        <w:tc>
          <w:tcPr>
            <w:tcW w:w="1125" w:type="dxa"/>
            <w:vAlign w:val="center"/>
          </w:tcPr>
          <w:p>
            <w:pPr>
              <w:adjustRightInd w:val="0"/>
              <w:snapToGrid w:val="0"/>
              <w:spacing w:line="300" w:lineRule="auto"/>
              <w:jc w:val="center"/>
              <w:textAlignment w:val="baseline"/>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w:t>
            </w:r>
          </w:p>
        </w:tc>
        <w:tc>
          <w:tcPr>
            <w:tcW w:w="1170" w:type="dxa"/>
            <w:vAlign w:val="center"/>
          </w:tcPr>
          <w:p>
            <w:pPr>
              <w:adjustRightInd w:val="0"/>
              <w:snapToGrid w:val="0"/>
              <w:spacing w:line="30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44.9</w:t>
            </w:r>
          </w:p>
        </w:tc>
        <w:tc>
          <w:tcPr>
            <w:tcW w:w="1470" w:type="dxa"/>
            <w:vAlign w:val="center"/>
          </w:tcPr>
          <w:p>
            <w:pPr>
              <w:adjustRightInd w:val="0"/>
              <w:snapToGrid w:val="0"/>
              <w:spacing w:line="30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w:t>
            </w:r>
          </w:p>
        </w:tc>
        <w:tc>
          <w:tcPr>
            <w:tcW w:w="1440" w:type="dxa"/>
            <w:vAlign w:val="center"/>
          </w:tcPr>
          <w:p>
            <w:pPr>
              <w:adjustRightInd w:val="0"/>
              <w:snapToGrid w:val="0"/>
              <w:spacing w:line="30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13.4</w:t>
            </w:r>
          </w:p>
        </w:tc>
        <w:tc>
          <w:tcPr>
            <w:tcW w:w="1669" w:type="dxa"/>
            <w:vAlign w:val="center"/>
          </w:tcPr>
          <w:p>
            <w:pPr>
              <w:adjustRightInd w:val="0"/>
              <w:snapToGrid w:val="0"/>
              <w:spacing w:line="30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2494" w:type="dxa"/>
            <w:vAlign w:val="center"/>
          </w:tcPr>
          <w:p>
            <w:pPr>
              <w:adjustRightInd w:val="0"/>
              <w:snapToGrid w:val="0"/>
              <w:spacing w:line="300" w:lineRule="auto"/>
              <w:textAlignment w:val="baseline"/>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常住人口城镇化率</w:t>
            </w:r>
          </w:p>
        </w:tc>
        <w:tc>
          <w:tcPr>
            <w:tcW w:w="1125" w:type="dxa"/>
            <w:vAlign w:val="center"/>
          </w:tcPr>
          <w:p>
            <w:pPr>
              <w:adjustRightInd w:val="0"/>
              <w:snapToGrid w:val="0"/>
              <w:spacing w:line="300" w:lineRule="auto"/>
              <w:jc w:val="center"/>
              <w:textAlignment w:val="baseline"/>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w:t>
            </w:r>
          </w:p>
        </w:tc>
        <w:tc>
          <w:tcPr>
            <w:tcW w:w="1170" w:type="dxa"/>
            <w:vAlign w:val="center"/>
          </w:tcPr>
          <w:p>
            <w:pPr>
              <w:adjustRightInd w:val="0"/>
              <w:snapToGrid w:val="0"/>
              <w:spacing w:line="30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30.6</w:t>
            </w:r>
          </w:p>
        </w:tc>
        <w:tc>
          <w:tcPr>
            <w:tcW w:w="1470" w:type="dxa"/>
            <w:vAlign w:val="center"/>
          </w:tcPr>
          <w:p>
            <w:pPr>
              <w:adjustRightInd w:val="0"/>
              <w:snapToGrid w:val="0"/>
              <w:spacing w:line="30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w:t>
            </w:r>
          </w:p>
        </w:tc>
        <w:tc>
          <w:tcPr>
            <w:tcW w:w="1440" w:type="dxa"/>
            <w:vAlign w:val="center"/>
          </w:tcPr>
          <w:p>
            <w:pPr>
              <w:adjustRightInd w:val="0"/>
              <w:snapToGrid w:val="0"/>
              <w:spacing w:line="30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35.4</w:t>
            </w:r>
          </w:p>
        </w:tc>
        <w:tc>
          <w:tcPr>
            <w:tcW w:w="1669" w:type="dxa"/>
            <w:vAlign w:val="center"/>
          </w:tcPr>
          <w:p>
            <w:pPr>
              <w:adjustRightInd w:val="0"/>
              <w:snapToGrid w:val="0"/>
              <w:spacing w:line="30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2494" w:type="dxa"/>
            <w:vAlign w:val="center"/>
          </w:tcPr>
          <w:p>
            <w:pPr>
              <w:adjustRightInd w:val="0"/>
              <w:snapToGrid w:val="0"/>
              <w:spacing w:line="300" w:lineRule="auto"/>
              <w:textAlignment w:val="baseline"/>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每万人口专利拥有量</w:t>
            </w:r>
          </w:p>
        </w:tc>
        <w:tc>
          <w:tcPr>
            <w:tcW w:w="1125" w:type="dxa"/>
            <w:vAlign w:val="center"/>
          </w:tcPr>
          <w:p>
            <w:pPr>
              <w:adjustRightInd w:val="0"/>
              <w:snapToGrid w:val="0"/>
              <w:spacing w:line="300" w:lineRule="auto"/>
              <w:jc w:val="center"/>
              <w:textAlignment w:val="baseline"/>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件</w:t>
            </w:r>
          </w:p>
        </w:tc>
        <w:tc>
          <w:tcPr>
            <w:tcW w:w="1170" w:type="dxa"/>
            <w:vAlign w:val="center"/>
          </w:tcPr>
          <w:p>
            <w:pPr>
              <w:adjustRightInd w:val="0"/>
              <w:snapToGrid w:val="0"/>
              <w:spacing w:line="30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0.51</w:t>
            </w:r>
          </w:p>
        </w:tc>
        <w:tc>
          <w:tcPr>
            <w:tcW w:w="1470" w:type="dxa"/>
            <w:vAlign w:val="center"/>
          </w:tcPr>
          <w:p>
            <w:pPr>
              <w:adjustRightInd w:val="0"/>
              <w:snapToGrid w:val="0"/>
              <w:spacing w:line="30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w:t>
            </w:r>
          </w:p>
        </w:tc>
        <w:tc>
          <w:tcPr>
            <w:tcW w:w="1440" w:type="dxa"/>
            <w:vAlign w:val="center"/>
          </w:tcPr>
          <w:p>
            <w:pPr>
              <w:adjustRightInd w:val="0"/>
              <w:snapToGrid w:val="0"/>
              <w:spacing w:line="30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1.05</w:t>
            </w:r>
          </w:p>
        </w:tc>
        <w:tc>
          <w:tcPr>
            <w:tcW w:w="1669" w:type="dxa"/>
            <w:vAlign w:val="center"/>
          </w:tcPr>
          <w:p>
            <w:pPr>
              <w:adjustRightInd w:val="0"/>
              <w:snapToGrid w:val="0"/>
              <w:spacing w:line="30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2494" w:type="dxa"/>
            <w:vAlign w:val="center"/>
          </w:tcPr>
          <w:p>
            <w:pPr>
              <w:adjustRightInd w:val="0"/>
              <w:snapToGrid w:val="0"/>
              <w:spacing w:line="300" w:lineRule="auto"/>
              <w:textAlignment w:val="baseline"/>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城镇居民人均可支配收入</w:t>
            </w:r>
          </w:p>
        </w:tc>
        <w:tc>
          <w:tcPr>
            <w:tcW w:w="1125" w:type="dxa"/>
            <w:vAlign w:val="center"/>
          </w:tcPr>
          <w:p>
            <w:pPr>
              <w:adjustRightInd w:val="0"/>
              <w:snapToGrid w:val="0"/>
              <w:spacing w:line="300" w:lineRule="auto"/>
              <w:jc w:val="center"/>
              <w:textAlignment w:val="baseline"/>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元</w:t>
            </w:r>
          </w:p>
        </w:tc>
        <w:tc>
          <w:tcPr>
            <w:tcW w:w="1170" w:type="dxa"/>
            <w:vAlign w:val="center"/>
          </w:tcPr>
          <w:p>
            <w:pPr>
              <w:adjustRightInd w:val="0"/>
              <w:snapToGrid w:val="0"/>
              <w:spacing w:line="30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27642</w:t>
            </w:r>
          </w:p>
        </w:tc>
        <w:tc>
          <w:tcPr>
            <w:tcW w:w="1470" w:type="dxa"/>
            <w:vAlign w:val="center"/>
          </w:tcPr>
          <w:p>
            <w:pPr>
              <w:adjustRightInd w:val="0"/>
              <w:snapToGrid w:val="0"/>
              <w:spacing w:line="30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9</w:t>
            </w:r>
          </w:p>
        </w:tc>
        <w:tc>
          <w:tcPr>
            <w:tcW w:w="1440" w:type="dxa"/>
            <w:vAlign w:val="center"/>
          </w:tcPr>
          <w:p>
            <w:pPr>
              <w:adjustRightInd w:val="0"/>
              <w:snapToGrid w:val="0"/>
              <w:spacing w:line="30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 xml:space="preserve">36304 </w:t>
            </w:r>
          </w:p>
        </w:tc>
        <w:tc>
          <w:tcPr>
            <w:tcW w:w="1669" w:type="dxa"/>
            <w:vAlign w:val="center"/>
          </w:tcPr>
          <w:p>
            <w:pPr>
              <w:adjustRightInd w:val="0"/>
              <w:snapToGrid w:val="0"/>
              <w:spacing w:line="30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2494" w:type="dxa"/>
            <w:vAlign w:val="center"/>
          </w:tcPr>
          <w:p>
            <w:pPr>
              <w:adjustRightInd w:val="0"/>
              <w:snapToGrid w:val="0"/>
              <w:spacing w:line="300" w:lineRule="auto"/>
              <w:textAlignment w:val="baseline"/>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农村居民人均纯收入</w:t>
            </w:r>
          </w:p>
        </w:tc>
        <w:tc>
          <w:tcPr>
            <w:tcW w:w="1125" w:type="dxa"/>
            <w:vAlign w:val="center"/>
          </w:tcPr>
          <w:p>
            <w:pPr>
              <w:adjustRightInd w:val="0"/>
              <w:snapToGrid w:val="0"/>
              <w:spacing w:line="300" w:lineRule="auto"/>
              <w:jc w:val="center"/>
              <w:textAlignment w:val="baseline"/>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元</w:t>
            </w:r>
          </w:p>
        </w:tc>
        <w:tc>
          <w:tcPr>
            <w:tcW w:w="1170" w:type="dxa"/>
            <w:vAlign w:val="center"/>
          </w:tcPr>
          <w:p>
            <w:pPr>
              <w:adjustRightInd w:val="0"/>
              <w:snapToGrid w:val="0"/>
              <w:spacing w:line="30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6637</w:t>
            </w:r>
          </w:p>
        </w:tc>
        <w:tc>
          <w:tcPr>
            <w:tcW w:w="1470" w:type="dxa"/>
            <w:vAlign w:val="center"/>
          </w:tcPr>
          <w:p>
            <w:pPr>
              <w:adjustRightInd w:val="0"/>
              <w:snapToGrid w:val="0"/>
              <w:spacing w:line="30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12</w:t>
            </w:r>
          </w:p>
        </w:tc>
        <w:tc>
          <w:tcPr>
            <w:tcW w:w="1440" w:type="dxa"/>
            <w:vAlign w:val="center"/>
          </w:tcPr>
          <w:p>
            <w:pPr>
              <w:adjustRightInd w:val="0"/>
              <w:snapToGrid w:val="0"/>
              <w:spacing w:line="30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 xml:space="preserve">13931 </w:t>
            </w:r>
          </w:p>
        </w:tc>
        <w:tc>
          <w:tcPr>
            <w:tcW w:w="1669" w:type="dxa"/>
            <w:vAlign w:val="center"/>
          </w:tcPr>
          <w:p>
            <w:pPr>
              <w:adjustRightInd w:val="0"/>
              <w:snapToGrid w:val="0"/>
              <w:spacing w:line="30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2494" w:type="dxa"/>
            <w:vAlign w:val="center"/>
          </w:tcPr>
          <w:p>
            <w:pPr>
              <w:adjustRightInd w:val="0"/>
              <w:snapToGrid w:val="0"/>
              <w:spacing w:line="300" w:lineRule="auto"/>
              <w:textAlignment w:val="baseline"/>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全县耕地保有量</w:t>
            </w:r>
          </w:p>
        </w:tc>
        <w:tc>
          <w:tcPr>
            <w:tcW w:w="1125" w:type="dxa"/>
            <w:vAlign w:val="center"/>
          </w:tcPr>
          <w:p>
            <w:pPr>
              <w:adjustRightInd w:val="0"/>
              <w:snapToGrid w:val="0"/>
              <w:spacing w:line="300" w:lineRule="auto"/>
              <w:jc w:val="center"/>
              <w:textAlignment w:val="baseline"/>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万亩</w:t>
            </w:r>
          </w:p>
        </w:tc>
        <w:tc>
          <w:tcPr>
            <w:tcW w:w="1170" w:type="dxa"/>
            <w:vAlign w:val="center"/>
          </w:tcPr>
          <w:p>
            <w:pPr>
              <w:adjustRightInd w:val="0"/>
              <w:snapToGrid w:val="0"/>
              <w:spacing w:line="30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26.71</w:t>
            </w:r>
          </w:p>
        </w:tc>
        <w:tc>
          <w:tcPr>
            <w:tcW w:w="1470" w:type="dxa"/>
            <w:vAlign w:val="center"/>
          </w:tcPr>
          <w:p>
            <w:pPr>
              <w:adjustRightInd w:val="0"/>
              <w:snapToGrid w:val="0"/>
              <w:spacing w:line="30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w:t>
            </w:r>
          </w:p>
        </w:tc>
        <w:tc>
          <w:tcPr>
            <w:tcW w:w="1440" w:type="dxa"/>
            <w:vAlign w:val="center"/>
          </w:tcPr>
          <w:p>
            <w:pPr>
              <w:adjustRightInd w:val="0"/>
              <w:snapToGrid w:val="0"/>
              <w:spacing w:line="30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26.71</w:t>
            </w:r>
          </w:p>
        </w:tc>
        <w:tc>
          <w:tcPr>
            <w:tcW w:w="1669" w:type="dxa"/>
            <w:vAlign w:val="center"/>
          </w:tcPr>
          <w:p>
            <w:pPr>
              <w:adjustRightInd w:val="0"/>
              <w:snapToGrid w:val="0"/>
              <w:spacing w:line="30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2494" w:type="dxa"/>
            <w:vAlign w:val="center"/>
          </w:tcPr>
          <w:p>
            <w:pPr>
              <w:adjustRightInd w:val="0"/>
              <w:snapToGrid w:val="0"/>
              <w:spacing w:line="300" w:lineRule="auto"/>
              <w:textAlignment w:val="baseline"/>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年末总人口</w:t>
            </w:r>
            <w:r>
              <w:rPr>
                <w:rFonts w:hint="eastAsia" w:ascii="Times New Roman" w:hAnsi="Times New Roman" w:eastAsia="仿宋_GB2312"/>
                <w:color w:val="000000" w:themeColor="text1"/>
                <w:w w:val="95"/>
                <w:sz w:val="24"/>
                <w14:textFill>
                  <w14:solidFill>
                    <w14:schemeClr w14:val="tx1"/>
                  </w14:solidFill>
                </w14:textFill>
              </w:rPr>
              <w:t>（按户籍人口计）</w:t>
            </w:r>
          </w:p>
        </w:tc>
        <w:tc>
          <w:tcPr>
            <w:tcW w:w="1125" w:type="dxa"/>
            <w:vAlign w:val="center"/>
          </w:tcPr>
          <w:p>
            <w:pPr>
              <w:adjustRightInd w:val="0"/>
              <w:snapToGrid w:val="0"/>
              <w:spacing w:line="300" w:lineRule="auto"/>
              <w:jc w:val="center"/>
              <w:textAlignment w:val="baseline"/>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万人</w:t>
            </w:r>
          </w:p>
        </w:tc>
        <w:tc>
          <w:tcPr>
            <w:tcW w:w="1170" w:type="dxa"/>
            <w:vAlign w:val="center"/>
          </w:tcPr>
          <w:p>
            <w:pPr>
              <w:adjustRightInd w:val="0"/>
              <w:snapToGrid w:val="0"/>
              <w:spacing w:line="30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17.10</w:t>
            </w:r>
          </w:p>
        </w:tc>
        <w:tc>
          <w:tcPr>
            <w:tcW w:w="1470" w:type="dxa"/>
            <w:vAlign w:val="center"/>
          </w:tcPr>
          <w:p>
            <w:pPr>
              <w:adjustRightInd w:val="0"/>
              <w:snapToGrid w:val="0"/>
              <w:spacing w:line="30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w:t>
            </w:r>
          </w:p>
        </w:tc>
        <w:tc>
          <w:tcPr>
            <w:tcW w:w="1440" w:type="dxa"/>
            <w:vAlign w:val="center"/>
          </w:tcPr>
          <w:p>
            <w:pPr>
              <w:adjustRightInd w:val="0"/>
              <w:snapToGrid w:val="0"/>
              <w:spacing w:line="30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17.34</w:t>
            </w:r>
          </w:p>
        </w:tc>
        <w:tc>
          <w:tcPr>
            <w:tcW w:w="1669" w:type="dxa"/>
            <w:vAlign w:val="center"/>
          </w:tcPr>
          <w:p>
            <w:pPr>
              <w:adjustRightInd w:val="0"/>
              <w:snapToGrid w:val="0"/>
              <w:spacing w:line="30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2494" w:type="dxa"/>
            <w:vAlign w:val="center"/>
          </w:tcPr>
          <w:p>
            <w:pPr>
              <w:adjustRightInd w:val="0"/>
              <w:snapToGrid w:val="0"/>
              <w:spacing w:line="300" w:lineRule="auto"/>
              <w:textAlignment w:val="baseline"/>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万元生产总值能耗</w:t>
            </w:r>
          </w:p>
        </w:tc>
        <w:tc>
          <w:tcPr>
            <w:tcW w:w="1125" w:type="dxa"/>
            <w:vAlign w:val="center"/>
          </w:tcPr>
          <w:p>
            <w:pPr>
              <w:adjustRightInd w:val="0"/>
              <w:snapToGrid w:val="0"/>
              <w:spacing w:line="300" w:lineRule="auto"/>
              <w:jc w:val="center"/>
              <w:textAlignment w:val="baseline"/>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吨标煤</w:t>
            </w:r>
          </w:p>
        </w:tc>
        <w:tc>
          <w:tcPr>
            <w:tcW w:w="5749" w:type="dxa"/>
            <w:gridSpan w:val="4"/>
            <w:vAlign w:val="center"/>
          </w:tcPr>
          <w:p>
            <w:pPr>
              <w:adjustRightInd w:val="0"/>
              <w:snapToGrid w:val="0"/>
              <w:spacing w:line="30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控制在桂林市下达目标范围内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2494" w:type="dxa"/>
            <w:vAlign w:val="center"/>
          </w:tcPr>
          <w:p>
            <w:pPr>
              <w:adjustRightInd w:val="0"/>
              <w:snapToGrid w:val="0"/>
              <w:spacing w:line="300" w:lineRule="auto"/>
              <w:textAlignment w:val="baseline"/>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森林覆盖率</w:t>
            </w:r>
          </w:p>
        </w:tc>
        <w:tc>
          <w:tcPr>
            <w:tcW w:w="1125" w:type="dxa"/>
            <w:vAlign w:val="center"/>
          </w:tcPr>
          <w:p>
            <w:pPr>
              <w:adjustRightInd w:val="0"/>
              <w:snapToGrid w:val="0"/>
              <w:spacing w:line="300" w:lineRule="auto"/>
              <w:jc w:val="center"/>
              <w:textAlignment w:val="baseline"/>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w:t>
            </w:r>
          </w:p>
        </w:tc>
        <w:tc>
          <w:tcPr>
            <w:tcW w:w="1170" w:type="dxa"/>
            <w:vAlign w:val="center"/>
          </w:tcPr>
          <w:p>
            <w:pPr>
              <w:adjustRightInd w:val="0"/>
              <w:snapToGrid w:val="0"/>
              <w:spacing w:line="30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79.12</w:t>
            </w:r>
          </w:p>
        </w:tc>
        <w:tc>
          <w:tcPr>
            <w:tcW w:w="1470" w:type="dxa"/>
            <w:vAlign w:val="center"/>
          </w:tcPr>
          <w:p>
            <w:pPr>
              <w:adjustRightInd w:val="0"/>
              <w:snapToGrid w:val="0"/>
              <w:spacing w:line="30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w:t>
            </w:r>
          </w:p>
        </w:tc>
        <w:tc>
          <w:tcPr>
            <w:tcW w:w="1440" w:type="dxa"/>
            <w:vAlign w:val="center"/>
          </w:tcPr>
          <w:p>
            <w:pPr>
              <w:adjustRightInd w:val="0"/>
              <w:snapToGrid w:val="0"/>
              <w:spacing w:line="30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81.76</w:t>
            </w:r>
          </w:p>
        </w:tc>
        <w:tc>
          <w:tcPr>
            <w:tcW w:w="1669" w:type="dxa"/>
            <w:vAlign w:val="center"/>
          </w:tcPr>
          <w:p>
            <w:pPr>
              <w:adjustRightInd w:val="0"/>
              <w:snapToGrid w:val="0"/>
              <w:spacing w:line="300" w:lineRule="auto"/>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w:t>
            </w:r>
          </w:p>
        </w:tc>
      </w:tr>
    </w:tbl>
    <w:p>
      <w:pPr>
        <w:adjustRightInd w:val="0"/>
        <w:snapToGrid w:val="0"/>
        <w:spacing w:line="520" w:lineRule="exact"/>
        <w:ind w:firstLine="640" w:firstLineChars="200"/>
        <w:rPr>
          <w:rFonts w:ascii="Times New Roman" w:hAnsi="Times New Roman" w:eastAsia="仿宋_GB2312"/>
          <w:color w:val="000000" w:themeColor="text1"/>
          <w:sz w:val="32"/>
          <w:szCs w:val="32"/>
          <w14:textFill>
            <w14:solidFill>
              <w14:schemeClr w14:val="tx1"/>
            </w14:solidFill>
          </w14:textFill>
        </w:rPr>
        <w:sectPr>
          <w:footerReference r:id="rId8" w:type="default"/>
          <w:footnotePr>
            <w:numFmt w:val="decimalEnclosedCircleChinese"/>
          </w:footnotePr>
          <w:pgSz w:w="11906" w:h="16838"/>
          <w:pgMar w:top="1587" w:right="1417" w:bottom="1304" w:left="1417" w:header="851" w:footer="850" w:gutter="0"/>
          <w:cols w:space="0" w:num="1"/>
          <w:docGrid w:linePitch="312" w:charSpace="0"/>
        </w:sectPr>
      </w:pPr>
    </w:p>
    <w:p>
      <w:pPr>
        <w:pStyle w:val="41"/>
        <w:keepNext w:val="0"/>
        <w:keepLines w:val="0"/>
        <w:adjustRightInd/>
        <w:snapToGrid/>
        <w:spacing w:before="0" w:beforeLines="0" w:line="560" w:lineRule="exact"/>
        <w:ind w:left="0" w:leftChars="0"/>
        <w:jc w:val="center"/>
        <w:rPr>
          <w:rFonts w:ascii="Times New Roman" w:hAnsi="Times New Roman" w:cs="Times New Roman"/>
          <w:color w:val="000000" w:themeColor="text1"/>
          <w14:textFill>
            <w14:solidFill>
              <w14:schemeClr w14:val="tx1"/>
            </w14:solidFill>
          </w14:textFill>
        </w:rPr>
      </w:pPr>
      <w:bookmarkStart w:id="18" w:name="_Toc14660"/>
      <w:bookmarkStart w:id="19" w:name="_Toc15923"/>
      <w:bookmarkStart w:id="20" w:name="_Toc17502"/>
      <w:bookmarkStart w:id="21" w:name="_Toc25305"/>
      <w:bookmarkStart w:id="22" w:name="_Toc61110762"/>
      <w:bookmarkStart w:id="23" w:name="_Toc25992"/>
      <w:r>
        <w:rPr>
          <w:rFonts w:hint="eastAsia" w:ascii="Times New Roman" w:hAnsi="Times New Roman" w:cs="Times New Roman"/>
          <w:color w:val="000000" w:themeColor="text1"/>
          <w14:textFill>
            <w14:solidFill>
              <w14:schemeClr w14:val="tx1"/>
            </w14:solidFill>
          </w14:textFill>
        </w:rPr>
        <w:t xml:space="preserve">第二章  </w:t>
      </w:r>
      <w:bookmarkEnd w:id="17"/>
      <w:bookmarkEnd w:id="18"/>
      <w:bookmarkEnd w:id="19"/>
      <w:bookmarkEnd w:id="20"/>
      <w:bookmarkEnd w:id="21"/>
      <w:bookmarkEnd w:id="22"/>
      <w:r>
        <w:rPr>
          <w:rFonts w:hint="eastAsia" w:ascii="Times New Roman" w:hAnsi="Times New Roman" w:cs="Times New Roman"/>
          <w:color w:val="000000" w:themeColor="text1"/>
          <w14:textFill>
            <w14:solidFill>
              <w14:schemeClr w14:val="tx1"/>
            </w14:solidFill>
          </w14:textFill>
        </w:rPr>
        <w:t>新发展阶段的新历史方位</w:t>
      </w:r>
      <w:bookmarkEnd w:id="23"/>
    </w:p>
    <w:p>
      <w:pPr>
        <w:pStyle w:val="31"/>
        <w:autoSpaceDE/>
        <w:autoSpaceDN/>
        <w:adjustRightInd/>
        <w:spacing w:line="560" w:lineRule="exact"/>
        <w:rPr>
          <w:rFonts w:ascii="Times New Roman" w:hAnsi="Times New Roman"/>
          <w:color w:val="000000" w:themeColor="text1"/>
          <w14:textFill>
            <w14:solidFill>
              <w14:schemeClr w14:val="tx1"/>
            </w14:solidFill>
          </w14:textFill>
        </w:rPr>
      </w:pPr>
      <w:bookmarkStart w:id="24" w:name="_Toc52201140"/>
      <w:bookmarkStart w:id="25" w:name="_Toc3484"/>
      <w:bookmarkStart w:id="26" w:name="_Toc2252"/>
      <w:bookmarkStart w:id="27" w:name="_Toc22562"/>
      <w:bookmarkStart w:id="28" w:name="_Toc18849"/>
      <w:bookmarkStart w:id="29" w:name="_Toc61110763"/>
      <w:bookmarkStart w:id="30" w:name="_Toc8480"/>
    </w:p>
    <w:p>
      <w:pPr>
        <w:pStyle w:val="5"/>
        <w:keepNext w:val="0"/>
        <w:keepLines w:val="0"/>
        <w:spacing w:before="0" w:after="0" w:line="560" w:lineRule="exact"/>
        <w:jc w:val="center"/>
        <w:rPr>
          <w:rFonts w:ascii="Times New Roman" w:hAnsi="Times New Roman" w:eastAsia="黑体"/>
          <w:b w:val="0"/>
          <w:color w:val="000000" w:themeColor="text1"/>
          <w14:textFill>
            <w14:solidFill>
              <w14:schemeClr w14:val="tx1"/>
            </w14:solidFill>
          </w14:textFill>
        </w:rPr>
      </w:pPr>
      <w:bookmarkStart w:id="31" w:name="_Toc31928"/>
      <w:r>
        <w:rPr>
          <w:rFonts w:hint="eastAsia" w:ascii="Times New Roman" w:hAnsi="Times New Roman" w:eastAsia="黑体"/>
          <w:b w:val="0"/>
          <w:color w:val="000000" w:themeColor="text1"/>
          <w14:textFill>
            <w14:solidFill>
              <w14:schemeClr w14:val="tx1"/>
            </w14:solidFill>
          </w14:textFill>
        </w:rPr>
        <w:t xml:space="preserve">第一节  </w:t>
      </w:r>
      <w:bookmarkEnd w:id="24"/>
      <w:bookmarkEnd w:id="25"/>
      <w:bookmarkEnd w:id="26"/>
      <w:bookmarkEnd w:id="27"/>
      <w:bookmarkEnd w:id="28"/>
      <w:bookmarkEnd w:id="29"/>
      <w:bookmarkEnd w:id="30"/>
      <w:r>
        <w:rPr>
          <w:rFonts w:hint="eastAsia" w:ascii="Times New Roman" w:hAnsi="Times New Roman" w:eastAsia="黑体"/>
          <w:b w:val="0"/>
          <w:color w:val="000000" w:themeColor="text1"/>
          <w14:textFill>
            <w14:solidFill>
              <w14:schemeClr w14:val="tx1"/>
            </w14:solidFill>
          </w14:textFill>
        </w:rPr>
        <w:t>“十四五”时期发展面临的新形势</w:t>
      </w:r>
      <w:bookmarkEnd w:id="31"/>
    </w:p>
    <w:p>
      <w:pP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p>
    <w:p>
      <w:pP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color w:val="000000" w:themeColor="text1"/>
          <w:sz w:val="32"/>
          <w:szCs w:val="32"/>
          <w14:textFill>
            <w14:solidFill>
              <w14:schemeClr w14:val="tx1"/>
            </w14:solidFill>
          </w14:textFill>
        </w:rPr>
        <w:t>当前，中国特色社会主义进入了新时代，这是我国发展新的历史方位。认识新时代新特征是谋划“十四五”发展的逻辑起点。对照这个逻辑深入分析外部形势和环境，有利于明确龙胜县未来五年发展的方向和重点。</w:t>
      </w:r>
    </w:p>
    <w:p>
      <w:pPr>
        <w:spacing w:line="560" w:lineRule="exact"/>
        <w:ind w:firstLine="643" w:firstLineChars="200"/>
        <w:rPr>
          <w:rFonts w:ascii="Times New Roman" w:hAnsi="Times New Roman" w:eastAsia="仿宋_GB2312"/>
          <w:color w:val="000000" w:themeColor="text1"/>
          <w:sz w:val="32"/>
          <w:szCs w:val="32"/>
          <w14:textFill>
            <w14:solidFill>
              <w14:schemeClr w14:val="tx1"/>
            </w14:solidFill>
          </w14:textFill>
        </w:rPr>
      </w:pPr>
      <w:bookmarkStart w:id="32" w:name="_Toc11872"/>
      <w:r>
        <w:rPr>
          <w:rFonts w:hint="eastAsia" w:ascii="Times New Roman" w:hAnsi="Times New Roman" w:eastAsia="仿宋_GB2312"/>
          <w:b/>
          <w:bCs/>
          <w:color w:val="000000" w:themeColor="text1"/>
          <w:sz w:val="32"/>
          <w:szCs w:val="32"/>
          <w14:textFill>
            <w14:solidFill>
              <w14:schemeClr w14:val="tx1"/>
            </w14:solidFill>
          </w14:textFill>
        </w:rPr>
        <w:t>一、国际环境</w:t>
      </w:r>
      <w:bookmarkEnd w:id="32"/>
      <w:r>
        <w:rPr>
          <w:rFonts w:hint="eastAsia" w:ascii="Times New Roman" w:hAnsi="Times New Roman" w:eastAsia="仿宋_GB2312"/>
          <w:b/>
          <w:bCs/>
          <w:color w:val="000000" w:themeColor="text1"/>
          <w:sz w:val="32"/>
          <w:szCs w:val="32"/>
          <w14:textFill>
            <w14:solidFill>
              <w14:schemeClr w14:val="tx1"/>
            </w14:solidFill>
          </w14:textFill>
        </w:rPr>
        <w:t>：</w:t>
      </w:r>
      <w:r>
        <w:rPr>
          <w:rFonts w:hint="eastAsia" w:ascii="Times New Roman" w:hAnsi="Times New Roman" w:eastAsia="仿宋_GB2312"/>
          <w:color w:val="000000" w:themeColor="text1"/>
          <w:sz w:val="32"/>
          <w:szCs w:val="32"/>
          <w14:textFill>
            <w14:solidFill>
              <w14:schemeClr w14:val="tx1"/>
            </w14:solidFill>
          </w14:textFill>
        </w:rPr>
        <w:t>世界正经历百年未有之大变局。</w:t>
      </w:r>
      <w:bookmarkStart w:id="33" w:name="_Toc15445"/>
      <w:r>
        <w:rPr>
          <w:rFonts w:hint="eastAsia" w:ascii="Times New Roman" w:hAnsi="Times New Roman" w:eastAsia="仿宋_GB2312"/>
          <w:color w:val="000000" w:themeColor="text1"/>
          <w:sz w:val="32"/>
          <w:szCs w:val="32"/>
          <w14:textFill>
            <w14:solidFill>
              <w14:schemeClr w14:val="tx1"/>
            </w14:solidFill>
          </w14:textFill>
        </w:rPr>
        <w:t>新一轮科技革命和产业变革深入发展，国际力量对比深刻调整，和平与发展仍然是时代主题。以信息技术、生物科技、新能源新材料、人工智能等为代表的新技术革命不同程度地孕育突破，将带来产业组织方式、生产生活方式的颠覆性变革，全球产业链、价值链、供应链加快重塑。同时，国际环境日趋复杂，国际力量对比深刻调整，不稳定性、不确定性明显增加，新冠肺炎疫情影响广泛深远，经济全球化遭遇逆流，世界进入动荡变革期。</w:t>
      </w:r>
    </w:p>
    <w:p>
      <w:pPr>
        <w:spacing w:line="560" w:lineRule="exact"/>
        <w:ind w:firstLine="643"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b/>
          <w:bCs/>
          <w:color w:val="000000" w:themeColor="text1"/>
          <w:sz w:val="32"/>
          <w:szCs w:val="32"/>
          <w14:textFill>
            <w14:solidFill>
              <w14:schemeClr w14:val="tx1"/>
            </w14:solidFill>
          </w14:textFill>
        </w:rPr>
        <w:t>二、国内环境</w:t>
      </w:r>
      <w:bookmarkEnd w:id="33"/>
      <w:r>
        <w:rPr>
          <w:rFonts w:hint="eastAsia" w:ascii="Times New Roman" w:hAnsi="Times New Roman" w:eastAsia="仿宋_GB2312"/>
          <w:b/>
          <w:bCs/>
          <w:color w:val="000000" w:themeColor="text1"/>
          <w:sz w:val="32"/>
          <w:szCs w:val="32"/>
          <w14:textFill>
            <w14:solidFill>
              <w14:schemeClr w14:val="tx1"/>
            </w14:solidFill>
          </w14:textFill>
        </w:rPr>
        <w:t>：</w:t>
      </w:r>
      <w:r>
        <w:rPr>
          <w:rFonts w:hint="eastAsia" w:ascii="Times New Roman" w:hAnsi="Times New Roman" w:eastAsia="仿宋_GB2312"/>
          <w:color w:val="000000" w:themeColor="text1"/>
          <w:sz w:val="32"/>
          <w:szCs w:val="32"/>
          <w14:textFill>
            <w14:solidFill>
              <w14:schemeClr w14:val="tx1"/>
            </w14:solidFill>
          </w14:textFill>
        </w:rPr>
        <w:t>中国转向高质量发展阶段。我国处在转变发展方式、优化经济结构、转换增长动力的攻坚期，正由中等收入国家迈向高收入国家，发展的阶段任务也由全面建成小康社会转向全面建设社会主义现代化国家，社会主要矛盾转化为人民日益增长的美好生活需要和不平衡不充分的发展之间的矛盾，国内大循环为主体、国内国际双循环相互促进的新发展格局加快形成。我国制度优势显著、发展韧性强劲、经济长期向好、社会大局稳定。同时，发展不平衡不充分问题仍然突出，创新能力不适应高质量发展要求，城乡区域发展和收入分配差距较大，生态环保任重道远，民生保障存在短板，社会治理还有弱项。</w:t>
      </w:r>
    </w:p>
    <w:p>
      <w:pPr>
        <w:spacing w:line="560" w:lineRule="exact"/>
        <w:ind w:firstLine="643" w:firstLineChars="200"/>
        <w:rPr>
          <w:rFonts w:ascii="Times New Roman" w:hAnsi="Times New Roman" w:eastAsia="仿宋_GB2312"/>
          <w:color w:val="000000" w:themeColor="text1"/>
          <w:sz w:val="32"/>
          <w:szCs w:val="32"/>
          <w14:textFill>
            <w14:solidFill>
              <w14:schemeClr w14:val="tx1"/>
            </w14:solidFill>
          </w14:textFill>
        </w:rPr>
      </w:pPr>
      <w:bookmarkStart w:id="34" w:name="_Toc9412"/>
      <w:r>
        <w:rPr>
          <w:rFonts w:hint="eastAsia" w:ascii="Times New Roman" w:hAnsi="Times New Roman" w:eastAsia="仿宋_GB2312"/>
          <w:b/>
          <w:bCs/>
          <w:color w:val="000000" w:themeColor="text1"/>
          <w:sz w:val="32"/>
          <w:szCs w:val="32"/>
          <w14:textFill>
            <w14:solidFill>
              <w14:schemeClr w14:val="tx1"/>
            </w14:solidFill>
          </w14:textFill>
        </w:rPr>
        <w:t>三、广西环境</w:t>
      </w:r>
      <w:bookmarkEnd w:id="34"/>
      <w:r>
        <w:rPr>
          <w:rFonts w:hint="eastAsia" w:ascii="Times New Roman" w:hAnsi="Times New Roman" w:eastAsia="仿宋_GB2312"/>
          <w:b/>
          <w:bCs/>
          <w:color w:val="000000" w:themeColor="text1"/>
          <w:sz w:val="32"/>
          <w:szCs w:val="32"/>
          <w14:textFill>
            <w14:solidFill>
              <w14:schemeClr w14:val="tx1"/>
            </w14:solidFill>
          </w14:textFill>
        </w:rPr>
        <w:t>：</w:t>
      </w:r>
      <w:r>
        <w:rPr>
          <w:rFonts w:hint="eastAsia" w:ascii="Times New Roman" w:hAnsi="Times New Roman" w:eastAsia="仿宋_GB2312"/>
          <w:color w:val="000000" w:themeColor="text1"/>
          <w:sz w:val="32"/>
          <w:szCs w:val="32"/>
          <w14:textFill>
            <w14:solidFill>
              <w14:schemeClr w14:val="tx1"/>
            </w14:solidFill>
          </w14:textFill>
        </w:rPr>
        <w:t>全区进入加快建设壮美广西、共圆复兴梦想的关键期。习近平总书记赋予自治区“三大定位”</w:t>
      </w:r>
      <w:r>
        <w:rPr>
          <w:rFonts w:hint="eastAsia" w:ascii="Times New Roman" w:hAnsi="Times New Roman" w:eastAsia="仿宋_GB2312"/>
          <w:color w:val="000000" w:themeColor="text1"/>
          <w:sz w:val="32"/>
          <w:szCs w:val="32"/>
          <w:vertAlign w:val="superscript"/>
          <w14:textFill>
            <w14:solidFill>
              <w14:schemeClr w14:val="tx1"/>
            </w14:solidFill>
          </w14:textFill>
        </w:rPr>
        <w:footnoteReference w:id="0"/>
      </w:r>
      <w:r>
        <w:rPr>
          <w:rFonts w:hint="eastAsia" w:ascii="Times New Roman" w:hAnsi="Times New Roman" w:eastAsia="仿宋_GB2312"/>
          <w:color w:val="000000" w:themeColor="text1"/>
          <w:sz w:val="32"/>
          <w:szCs w:val="32"/>
          <w14:textFill>
            <w14:solidFill>
              <w14:schemeClr w14:val="tx1"/>
            </w14:solidFill>
          </w14:textFill>
        </w:rPr>
        <w:t>新使命，提出“五个扎实”</w:t>
      </w:r>
      <w:r>
        <w:rPr>
          <w:rFonts w:hint="eastAsia" w:ascii="Times New Roman" w:hAnsi="Times New Roman" w:eastAsia="仿宋_GB2312"/>
          <w:color w:val="000000" w:themeColor="text1"/>
          <w:sz w:val="32"/>
          <w:szCs w:val="32"/>
          <w:vertAlign w:val="superscript"/>
          <w14:textFill>
            <w14:solidFill>
              <w14:schemeClr w14:val="tx1"/>
            </w14:solidFill>
          </w14:textFill>
        </w:rPr>
        <w:footnoteReference w:id="1"/>
      </w:r>
      <w:r>
        <w:rPr>
          <w:rFonts w:hint="eastAsia" w:ascii="Times New Roman" w:hAnsi="Times New Roman" w:eastAsia="仿宋_GB2312"/>
          <w:color w:val="000000" w:themeColor="text1"/>
          <w:sz w:val="32"/>
          <w:szCs w:val="32"/>
          <w14:textFill>
            <w14:solidFill>
              <w14:schemeClr w14:val="tx1"/>
            </w14:solidFill>
          </w14:textFill>
        </w:rPr>
        <w:t>新要求，作出“建设壮美广西 共圆复兴梦想”重要题词，进一步明确和提升了广西在国家总体战略格局中的地位和作用。建设西部陆海新通道、面向东盟的金融开放门户、中国-东盟信息港、中国（广西）自由贸易试验区等为广西发展提供了新的历史性机遇。广西加快构建“南向、北联、东融、西合”全方位开放发展新格局，将使广西在国家推进“一带一路”建设、中国—东盟合作中发挥更大作用。同时，广西面临贵州、云南、湖南、江西等周边省份以及东盟国家（地区）的竞争压力，加之自身基础设施承载能力不足、营商环境相对不优、政策红利未能充分释放等问题，留给广西加快发展、进位赶超的窗口期越来越短，需着力打造面向粤港澳大湾区和东盟两大战略通道，以高水平开放引领高质量发展。</w:t>
      </w:r>
      <w:bookmarkStart w:id="35" w:name="_Toc23103"/>
    </w:p>
    <w:p>
      <w:pPr>
        <w:spacing w:line="560" w:lineRule="exact"/>
        <w:ind w:firstLine="643"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b/>
          <w:bCs/>
          <w:color w:val="000000" w:themeColor="text1"/>
          <w:sz w:val="32"/>
          <w:szCs w:val="32"/>
          <w14:textFill>
            <w14:solidFill>
              <w14:schemeClr w14:val="tx1"/>
            </w14:solidFill>
          </w14:textFill>
        </w:rPr>
        <w:t>四、市县环境</w:t>
      </w:r>
      <w:bookmarkEnd w:id="35"/>
      <w:r>
        <w:rPr>
          <w:rFonts w:hint="eastAsia" w:ascii="Times New Roman" w:hAnsi="Times New Roman" w:eastAsia="仿宋_GB2312"/>
          <w:b/>
          <w:bCs/>
          <w:color w:val="000000" w:themeColor="text1"/>
          <w:sz w:val="32"/>
          <w:szCs w:val="32"/>
          <w14:textFill>
            <w14:solidFill>
              <w14:schemeClr w14:val="tx1"/>
            </w14:solidFill>
          </w14:textFill>
        </w:rPr>
        <w:t>：</w:t>
      </w:r>
      <w:r>
        <w:rPr>
          <w:rFonts w:hint="eastAsia" w:ascii="Times New Roman" w:hAnsi="Times New Roman" w:eastAsia="仿宋_GB2312"/>
          <w:color w:val="000000" w:themeColor="text1"/>
          <w:sz w:val="32"/>
          <w:szCs w:val="32"/>
          <w14:textFill>
            <w14:solidFill>
              <w14:schemeClr w14:val="tx1"/>
            </w14:solidFill>
          </w14:textFill>
        </w:rPr>
        <w:t>一是桂林市随着“1+2”国家战略</w:t>
      </w:r>
      <w:r>
        <w:rPr>
          <w:rFonts w:hint="eastAsia" w:ascii="Times New Roman" w:hAnsi="Times New Roman" w:eastAsia="仿宋_GB2312"/>
          <w:color w:val="000000" w:themeColor="text1"/>
          <w:sz w:val="32"/>
          <w:szCs w:val="32"/>
          <w:vertAlign w:val="superscript"/>
          <w14:textFill>
            <w14:solidFill>
              <w14:schemeClr w14:val="tx1"/>
            </w14:solidFill>
          </w14:textFill>
        </w:rPr>
        <w:footnoteReference w:id="2"/>
      </w:r>
      <w:r>
        <w:rPr>
          <w:rFonts w:hint="eastAsia" w:ascii="Times New Roman" w:hAnsi="Times New Roman" w:eastAsia="仿宋_GB2312"/>
          <w:color w:val="000000" w:themeColor="text1"/>
          <w:sz w:val="32"/>
          <w:szCs w:val="32"/>
          <w14:textFill>
            <w14:solidFill>
              <w14:schemeClr w14:val="tx1"/>
            </w14:solidFill>
          </w14:textFill>
        </w:rPr>
        <w:t>的深入实施，政策叠加优势更加凸显；“十三五”期间建成的一大批重大基础设施和重大产业项目，将为后续发展提供强大动力。同时，桂林与南宁、柳州差距进一步拉大，北海、贵港、玉林等市与桂林的差距在迅速缩小，呈现“标兵渐行渐远，追兵越来越近”的紧迫形势，需要桂林坚持问题导向，在重点领域寻求突破，实现经济社会高质量发展。二是龙胜县处在广西与湖南之间，是</w:t>
      </w:r>
      <w:r>
        <w:fldChar w:fldCharType="begin"/>
      </w:r>
      <w:r>
        <w:instrText xml:space="preserve"> HYPERLINK "https://baike.sogou.com/lemma/ShowInnerLink.htm?lemmaId=69982494&amp;ss_c=ssc.citiao.link" \t "https://baike.sogou.com/_blank" </w:instrText>
      </w:r>
      <w:r>
        <w:fldChar w:fldCharType="separate"/>
      </w:r>
      <w:r>
        <w:rPr>
          <w:rFonts w:hint="eastAsia" w:ascii="Times New Roman" w:hAnsi="Times New Roman" w:eastAsia="仿宋_GB2312"/>
          <w:color w:val="000000" w:themeColor="text1"/>
          <w:sz w:val="32"/>
          <w:szCs w:val="32"/>
          <w14:textFill>
            <w14:solidFill>
              <w14:schemeClr w14:val="tx1"/>
            </w14:solidFill>
          </w14:textFill>
        </w:rPr>
        <w:t>湘西南</w:t>
      </w:r>
      <w:r>
        <w:rPr>
          <w:rFonts w:hint="eastAsia" w:ascii="Times New Roman" w:hAnsi="Times New Roman" w:eastAsia="仿宋_GB2312"/>
          <w:color w:val="000000" w:themeColor="text1"/>
          <w:sz w:val="32"/>
          <w:szCs w:val="32"/>
          <w14:textFill>
            <w14:solidFill>
              <w14:schemeClr w14:val="tx1"/>
            </w14:solidFill>
          </w14:textFill>
        </w:rPr>
        <w:fldChar w:fldCharType="end"/>
      </w:r>
      <w:r>
        <w:rPr>
          <w:rFonts w:hint="eastAsia" w:ascii="Times New Roman" w:hAnsi="Times New Roman" w:eastAsia="仿宋_GB2312"/>
          <w:color w:val="000000" w:themeColor="text1"/>
          <w:sz w:val="32"/>
          <w:szCs w:val="32"/>
          <w14:textFill>
            <w14:solidFill>
              <w14:schemeClr w14:val="tx1"/>
            </w14:solidFill>
          </w14:textFill>
        </w:rPr>
        <w:t>、</w:t>
      </w:r>
      <w:r>
        <w:fldChar w:fldCharType="begin"/>
      </w:r>
      <w:r>
        <w:instrText xml:space="preserve"> HYPERLINK "https://baike.sogou.com/lemma/ShowInnerLink.htm?lemmaId=34616&amp;ss_c=ssc.citiao.link" \t "https://baike.sogou.com/_blank" </w:instrText>
      </w:r>
      <w:r>
        <w:fldChar w:fldCharType="separate"/>
      </w:r>
      <w:r>
        <w:rPr>
          <w:rFonts w:hint="eastAsia" w:ascii="Times New Roman" w:hAnsi="Times New Roman" w:eastAsia="仿宋_GB2312"/>
          <w:color w:val="000000" w:themeColor="text1"/>
          <w:sz w:val="32"/>
          <w:szCs w:val="32"/>
          <w14:textFill>
            <w14:solidFill>
              <w14:schemeClr w14:val="tx1"/>
            </w14:solidFill>
          </w14:textFill>
        </w:rPr>
        <w:t>黔东南</w:t>
      </w:r>
      <w:r>
        <w:rPr>
          <w:rFonts w:hint="eastAsia" w:ascii="Times New Roman" w:hAnsi="Times New Roman" w:eastAsia="仿宋_GB2312"/>
          <w:color w:val="000000" w:themeColor="text1"/>
          <w:sz w:val="32"/>
          <w:szCs w:val="32"/>
          <w14:textFill>
            <w14:solidFill>
              <w14:schemeClr w14:val="tx1"/>
            </w14:solidFill>
          </w14:textFill>
        </w:rPr>
        <w:fldChar w:fldCharType="end"/>
      </w:r>
      <w:r>
        <w:rPr>
          <w:rFonts w:hint="eastAsia" w:ascii="Times New Roman" w:hAnsi="Times New Roman" w:eastAsia="仿宋_GB2312"/>
          <w:color w:val="000000" w:themeColor="text1"/>
          <w:sz w:val="32"/>
          <w:szCs w:val="32"/>
          <w14:textFill>
            <w14:solidFill>
              <w14:schemeClr w14:val="tx1"/>
            </w14:solidFill>
          </w14:textFill>
        </w:rPr>
        <w:t>和四川进入广西之咽喉与物资集散地。龙胜县应主动与西部地区更紧密地融为一体，主动融入国家“一带一路”、珠江—西江经济带等区域发展。随着桂三高速公路的开通，龙胜到桂林（高速公路）只需1个小时，使其具备加快发展的优势和潜力，为加强与国际接轨，充分利用国内国际两个市场，国内资源和国外资源两种资源，对外技术合作与经济贸易、招商引资等方面提供了较好的环境和机遇，也为龙胜县实现生态绿色、可持续发展提供了良好的环境。</w:t>
      </w:r>
    </w:p>
    <w:p>
      <w:pPr>
        <w:spacing w:line="560" w:lineRule="exact"/>
        <w:ind w:firstLine="420" w:firstLineChars="200"/>
        <w:rPr>
          <w:rFonts w:ascii="Times New Roman" w:hAnsi="Times New Roman" w:eastAsia="黑体"/>
          <w:color w:val="000000" w:themeColor="text1"/>
          <w14:textFill>
            <w14:solidFill>
              <w14:schemeClr w14:val="tx1"/>
            </w14:solidFill>
          </w14:textFill>
        </w:rPr>
      </w:pPr>
    </w:p>
    <w:p>
      <w:pPr>
        <w:pStyle w:val="5"/>
        <w:keepNext w:val="0"/>
        <w:keepLines w:val="0"/>
        <w:spacing w:before="0" w:after="0" w:line="560" w:lineRule="exact"/>
        <w:ind w:firstLine="640" w:firstLineChars="200"/>
        <w:jc w:val="center"/>
        <w:rPr>
          <w:rFonts w:ascii="Times New Roman" w:hAnsi="Times New Roman" w:eastAsia="黑体"/>
          <w:b w:val="0"/>
          <w:color w:val="000000" w:themeColor="text1"/>
          <w14:textFill>
            <w14:solidFill>
              <w14:schemeClr w14:val="tx1"/>
            </w14:solidFill>
          </w14:textFill>
        </w:rPr>
      </w:pPr>
      <w:bookmarkStart w:id="36" w:name="_Toc20646"/>
      <w:bookmarkStart w:id="37" w:name="_Toc61110764"/>
      <w:bookmarkStart w:id="38" w:name="_Toc9908"/>
      <w:bookmarkStart w:id="39" w:name="_Toc52201141"/>
      <w:bookmarkStart w:id="40" w:name="_Toc30867"/>
      <w:bookmarkStart w:id="41" w:name="_Toc17021"/>
      <w:bookmarkStart w:id="42" w:name="_Toc15465"/>
      <w:bookmarkStart w:id="43" w:name="_Toc20704"/>
      <w:r>
        <w:rPr>
          <w:rFonts w:hint="eastAsia" w:ascii="Times New Roman" w:hAnsi="Times New Roman" w:eastAsia="黑体"/>
          <w:b w:val="0"/>
          <w:color w:val="000000" w:themeColor="text1"/>
          <w14:textFill>
            <w14:solidFill>
              <w14:schemeClr w14:val="tx1"/>
            </w14:solidFill>
          </w14:textFill>
        </w:rPr>
        <w:t>第二节  面临的机遇</w:t>
      </w:r>
      <w:bookmarkEnd w:id="36"/>
      <w:bookmarkEnd w:id="37"/>
      <w:bookmarkEnd w:id="38"/>
      <w:bookmarkEnd w:id="39"/>
      <w:bookmarkEnd w:id="40"/>
      <w:bookmarkEnd w:id="41"/>
      <w:bookmarkEnd w:id="42"/>
      <w:r>
        <w:rPr>
          <w:rFonts w:hint="eastAsia" w:ascii="Times New Roman" w:hAnsi="Times New Roman" w:eastAsia="黑体"/>
          <w:b w:val="0"/>
          <w:color w:val="000000" w:themeColor="text1"/>
          <w14:textFill>
            <w14:solidFill>
              <w14:schemeClr w14:val="tx1"/>
            </w14:solidFill>
          </w14:textFill>
        </w:rPr>
        <w:t>和挑战</w:t>
      </w:r>
      <w:bookmarkEnd w:id="43"/>
    </w:p>
    <w:p>
      <w:pPr>
        <w:spacing w:line="560" w:lineRule="exact"/>
        <w:ind w:firstLine="643" w:firstLineChars="200"/>
        <w:rPr>
          <w:rFonts w:ascii="Times New Roman" w:hAnsi="Times New Roman" w:eastAsia="楷体_GB2312"/>
          <w:b/>
          <w:color w:val="000000" w:themeColor="text1"/>
          <w:sz w:val="32"/>
          <w:szCs w:val="32"/>
          <w14:textFill>
            <w14:solidFill>
              <w14:schemeClr w14:val="tx1"/>
            </w14:solidFill>
          </w14:textFill>
        </w:rPr>
      </w:pPr>
    </w:p>
    <w:p>
      <w:pPr>
        <w:spacing w:line="560" w:lineRule="exact"/>
        <w:ind w:firstLine="643"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b/>
          <w:bCs/>
          <w:color w:val="000000" w:themeColor="text1"/>
          <w:sz w:val="32"/>
          <w:szCs w:val="32"/>
          <w14:textFill>
            <w14:solidFill>
              <w14:schemeClr w14:val="tx1"/>
            </w14:solidFill>
          </w14:textFill>
        </w:rPr>
        <w:t>发展机遇：</w:t>
      </w:r>
      <w:r>
        <w:rPr>
          <w:rFonts w:hint="eastAsia" w:ascii="Times New Roman" w:hAnsi="Times New Roman" w:eastAsia="仿宋_GB2312"/>
          <w:color w:val="000000" w:themeColor="text1"/>
          <w:sz w:val="32"/>
          <w:szCs w:val="32"/>
          <w14:textFill>
            <w14:solidFill>
              <w14:schemeClr w14:val="tx1"/>
            </w14:solidFill>
          </w14:textFill>
        </w:rPr>
        <w:t>中央、广西和桂林市出台一系列刺激经济发展的重大政策，将对提振经济起到非常重要的作用，也为龙胜县扩大有效投资、补齐基础设施和公共服务等短板带来大有作为的重要战略机遇期。</w:t>
      </w:r>
      <w:r>
        <w:rPr>
          <w:rFonts w:hint="eastAsia" w:ascii="Times New Roman" w:hAnsi="Times New Roman" w:eastAsia="仿宋_GB2312"/>
          <w:b/>
          <w:bCs/>
          <w:color w:val="000000" w:themeColor="text1"/>
          <w:sz w:val="32"/>
          <w:szCs w:val="32"/>
          <w14:textFill>
            <w14:solidFill>
              <w14:schemeClr w14:val="tx1"/>
            </w14:solidFill>
          </w14:textFill>
        </w:rPr>
        <w:t>一是</w:t>
      </w:r>
      <w:r>
        <w:rPr>
          <w:rFonts w:hint="eastAsia" w:ascii="Times New Roman" w:hAnsi="Times New Roman" w:eastAsia="仿宋_GB2312"/>
          <w:color w:val="000000" w:themeColor="text1"/>
          <w:sz w:val="32"/>
          <w:szCs w:val="32"/>
          <w14:textFill>
            <w14:solidFill>
              <w14:schemeClr w14:val="tx1"/>
            </w14:solidFill>
          </w14:textFill>
        </w:rPr>
        <w:t>“1+2”国家战略深入推进，有利于全县争取更多的改革空间和制度红利，在重大项目、重大政策和资金安排等方面争取更多的支持。</w:t>
      </w:r>
      <w:r>
        <w:rPr>
          <w:rFonts w:hint="eastAsia" w:ascii="Times New Roman" w:hAnsi="Times New Roman" w:eastAsia="仿宋_GB2312"/>
          <w:b/>
          <w:bCs/>
          <w:color w:val="000000" w:themeColor="text1"/>
          <w:sz w:val="32"/>
          <w:szCs w:val="32"/>
          <w14:textFill>
            <w14:solidFill>
              <w14:schemeClr w14:val="tx1"/>
            </w14:solidFill>
          </w14:textFill>
        </w:rPr>
        <w:t>二是</w:t>
      </w:r>
      <w:r>
        <w:rPr>
          <w:rFonts w:hint="eastAsia" w:ascii="Times New Roman" w:hAnsi="Times New Roman" w:eastAsia="仿宋_GB2312"/>
          <w:color w:val="000000" w:themeColor="text1"/>
          <w:sz w:val="32"/>
          <w:szCs w:val="32"/>
          <w14:textFill>
            <w14:solidFill>
              <w14:schemeClr w14:val="tx1"/>
            </w14:solidFill>
          </w14:textFill>
        </w:rPr>
        <w:t>新一轮西部大开发的全面推进和西部陆海新通道建设，有利于龙胜扩大有效投资，促进投资结构向供给侧调整和优化，切实补齐基础设施、社会民生短板。</w:t>
      </w:r>
      <w:r>
        <w:rPr>
          <w:rFonts w:hint="eastAsia" w:ascii="Times New Roman" w:hAnsi="Times New Roman" w:eastAsia="仿宋_GB2312"/>
          <w:b/>
          <w:bCs/>
          <w:color w:val="000000" w:themeColor="text1"/>
          <w:sz w:val="32"/>
          <w:szCs w:val="32"/>
          <w14:textFill>
            <w14:solidFill>
              <w14:schemeClr w14:val="tx1"/>
            </w14:solidFill>
          </w14:textFill>
        </w:rPr>
        <w:t>三是</w:t>
      </w:r>
      <w:r>
        <w:rPr>
          <w:rFonts w:hint="eastAsia" w:ascii="Times New Roman" w:hAnsi="Times New Roman" w:eastAsia="仿宋_GB2312"/>
          <w:color w:val="000000" w:themeColor="text1"/>
          <w:sz w:val="32"/>
          <w:szCs w:val="32"/>
          <w14:textFill>
            <w14:solidFill>
              <w14:schemeClr w14:val="tx1"/>
            </w14:solidFill>
          </w14:textFill>
        </w:rPr>
        <w:t>技术革新和消费升级成为新导向，有利于龙胜县深入推进工业振兴、乡村振兴和文旅振兴，培育壮大新兴文化和旅游消费市场，加快经济转型升级和高质量发展，促进新旧动能有效、快速转化。</w:t>
      </w:r>
      <w:r>
        <w:rPr>
          <w:rFonts w:hint="eastAsia" w:ascii="Times New Roman" w:hAnsi="Times New Roman" w:eastAsia="仿宋_GB2312"/>
          <w:b/>
          <w:bCs/>
          <w:color w:val="000000" w:themeColor="text1"/>
          <w:sz w:val="32"/>
          <w:szCs w:val="32"/>
          <w14:textFill>
            <w14:solidFill>
              <w14:schemeClr w14:val="tx1"/>
            </w14:solidFill>
          </w14:textFill>
        </w:rPr>
        <w:t>四是</w:t>
      </w:r>
      <w:r>
        <w:rPr>
          <w:rFonts w:hint="eastAsia" w:ascii="Times New Roman" w:hAnsi="Times New Roman" w:eastAsia="仿宋_GB2312"/>
          <w:color w:val="000000" w:themeColor="text1"/>
          <w:sz w:val="32"/>
          <w:szCs w:val="32"/>
          <w14:textFill>
            <w14:solidFill>
              <w14:schemeClr w14:val="tx1"/>
            </w14:solidFill>
          </w14:textFill>
        </w:rPr>
        <w:t>国家全方位高水平对外开放和广西“南向、北联、东融、西合”开放新格局，有利于龙胜县获得更多的对外开放政策效应外溢，全方位拓展跨区域合作空间和提升开放型经济发展台阶。</w:t>
      </w:r>
    </w:p>
    <w:p>
      <w:pPr>
        <w:spacing w:line="560" w:lineRule="exact"/>
        <w:ind w:firstLine="643" w:firstLineChars="200"/>
        <w:rPr>
          <w:rFonts w:ascii="Times New Roman" w:hAnsi="Times New Roman" w:eastAsia="仿宋_GB2312"/>
          <w:bCs/>
          <w:color w:val="000000" w:themeColor="text1"/>
          <w:sz w:val="32"/>
          <w:szCs w:val="32"/>
          <w14:textFill>
            <w14:solidFill>
              <w14:schemeClr w14:val="tx1"/>
            </w14:solidFill>
          </w14:textFill>
        </w:rPr>
      </w:pPr>
      <w:r>
        <w:rPr>
          <w:rFonts w:hint="eastAsia" w:ascii="Times New Roman" w:hAnsi="Times New Roman" w:eastAsia="仿宋_GB2312"/>
          <w:b/>
          <w:bCs/>
          <w:color w:val="000000" w:themeColor="text1"/>
          <w:sz w:val="32"/>
          <w:szCs w:val="32"/>
          <w14:textFill>
            <w14:solidFill>
              <w14:schemeClr w14:val="tx1"/>
            </w14:solidFill>
          </w14:textFill>
        </w:rPr>
        <w:t>问题与挑战：一是</w:t>
      </w:r>
      <w:r>
        <w:rPr>
          <w:rFonts w:hint="eastAsia" w:ascii="Times New Roman" w:hAnsi="Times New Roman" w:eastAsia="仿宋_GB2312"/>
          <w:bCs/>
          <w:color w:val="000000" w:themeColor="text1"/>
          <w:sz w:val="32"/>
          <w:szCs w:val="32"/>
          <w14:textFill>
            <w14:solidFill>
              <w14:schemeClr w14:val="tx1"/>
            </w14:solidFill>
          </w14:textFill>
        </w:rPr>
        <w:t>经济总量偏小，</w:t>
      </w:r>
      <w:r>
        <w:rPr>
          <w:rFonts w:hint="eastAsia" w:ascii="Times New Roman" w:hAnsi="Times New Roman" w:eastAsia="仿宋_GB2312"/>
          <w:color w:val="000000" w:themeColor="text1"/>
          <w:sz w:val="32"/>
          <w:szCs w:val="32"/>
          <w14:textFill>
            <w14:solidFill>
              <w14:schemeClr w14:val="tx1"/>
            </w14:solidFill>
          </w14:textFill>
        </w:rPr>
        <w:t>发展新动能不足，工业短板明显，人均地区生产总值低于全国平均水平，后发展欠发达的基本县情没有改变。受疫情影响和冲击，旅游、住宿、餐饮、消费等服务业低迷，固定资产投资增速放缓，带动力强的大项目大企业少，存在“一产不大、二产不强、三产不快”的现象。</w:t>
      </w:r>
      <w:r>
        <w:rPr>
          <w:rFonts w:hint="eastAsia" w:ascii="Times New Roman" w:hAnsi="Times New Roman" w:eastAsia="仿宋_GB2312"/>
          <w:b/>
          <w:bCs/>
          <w:color w:val="000000" w:themeColor="text1"/>
          <w:sz w:val="32"/>
          <w:szCs w:val="32"/>
          <w14:textFill>
            <w14:solidFill>
              <w14:schemeClr w14:val="tx1"/>
            </w14:solidFill>
          </w14:textFill>
        </w:rPr>
        <w:t>二是</w:t>
      </w:r>
      <w:r>
        <w:rPr>
          <w:rFonts w:hint="eastAsia" w:ascii="Times New Roman" w:hAnsi="Times New Roman" w:eastAsia="仿宋_GB2312"/>
          <w:bCs/>
          <w:color w:val="000000" w:themeColor="text1"/>
          <w:sz w:val="32"/>
          <w:szCs w:val="32"/>
          <w14:textFill>
            <w14:solidFill>
              <w14:schemeClr w14:val="tx1"/>
            </w14:solidFill>
          </w14:textFill>
        </w:rPr>
        <w:t>资源要素保障有待加强。</w:t>
      </w:r>
      <w:r>
        <w:rPr>
          <w:rFonts w:hint="eastAsia" w:ascii="Times New Roman" w:hAnsi="Times New Roman" w:eastAsia="仿宋_GB2312"/>
          <w:color w:val="000000" w:themeColor="text1"/>
          <w:sz w:val="32"/>
          <w:szCs w:val="32"/>
          <w14:textFill>
            <w14:solidFill>
              <w14:schemeClr w14:val="tx1"/>
            </w14:solidFill>
          </w14:textFill>
        </w:rPr>
        <w:t>项目建设本级财政配套资金筹集压力大，边坡治理难，“三通一平”等前期建设成本高。交通基础网络薄弱，土地集约利用率偏低，物流、用电、用气、融资等成本高，营商环境有待优化。</w:t>
      </w:r>
      <w:r>
        <w:rPr>
          <w:rFonts w:hint="eastAsia" w:ascii="Times New Roman" w:hAnsi="Times New Roman" w:eastAsia="仿宋_GB2312"/>
          <w:b/>
          <w:bCs/>
          <w:color w:val="000000" w:themeColor="text1"/>
          <w:sz w:val="32"/>
          <w:szCs w:val="32"/>
          <w14:textFill>
            <w14:solidFill>
              <w14:schemeClr w14:val="tx1"/>
            </w14:solidFill>
          </w14:textFill>
        </w:rPr>
        <w:t>三是</w:t>
      </w:r>
      <w:r>
        <w:rPr>
          <w:rFonts w:hint="eastAsia" w:ascii="Times New Roman" w:hAnsi="Times New Roman" w:eastAsia="仿宋_GB2312"/>
          <w:bCs/>
          <w:color w:val="000000" w:themeColor="text1"/>
          <w:sz w:val="32"/>
          <w:szCs w:val="32"/>
          <w14:textFill>
            <w14:solidFill>
              <w14:schemeClr w14:val="tx1"/>
            </w14:solidFill>
          </w14:textFill>
        </w:rPr>
        <w:t>财政增收压力大。</w:t>
      </w:r>
      <w:r>
        <w:rPr>
          <w:rFonts w:hint="eastAsia" w:ascii="Times New Roman" w:hAnsi="Times New Roman" w:eastAsia="仿宋_GB2312"/>
          <w:color w:val="000000" w:themeColor="text1"/>
          <w:sz w:val="32"/>
          <w:szCs w:val="32"/>
          <w14:textFill>
            <w14:solidFill>
              <w14:schemeClr w14:val="tx1"/>
            </w14:solidFill>
          </w14:textFill>
        </w:rPr>
        <w:t>全县财政收入过多依赖于一次性税收项目，收支压力大。特别是受国家减税降费政策和疫情的影响，财政收入明显减少，而教育、医疗、养老等民生保障的刚性支出有增无减，财政运转压力进一步加大。</w:t>
      </w:r>
      <w:r>
        <w:rPr>
          <w:rFonts w:hint="eastAsia" w:ascii="Times New Roman" w:hAnsi="Times New Roman" w:eastAsia="仿宋_GB2312"/>
          <w:b/>
          <w:bCs/>
          <w:color w:val="000000" w:themeColor="text1"/>
          <w:sz w:val="32"/>
          <w:szCs w:val="32"/>
          <w14:textFill>
            <w14:solidFill>
              <w14:schemeClr w14:val="tx1"/>
            </w14:solidFill>
          </w14:textFill>
        </w:rPr>
        <w:t>四是</w:t>
      </w:r>
      <w:r>
        <w:rPr>
          <w:rFonts w:hint="eastAsia" w:ascii="Times New Roman" w:hAnsi="Times New Roman" w:eastAsia="仿宋_GB2312"/>
          <w:bCs/>
          <w:color w:val="000000" w:themeColor="text1"/>
          <w:sz w:val="32"/>
          <w:szCs w:val="32"/>
          <w14:textFill>
            <w14:solidFill>
              <w14:schemeClr w14:val="tx1"/>
            </w14:solidFill>
          </w14:textFill>
        </w:rPr>
        <w:t>人才队伍有待提高。</w:t>
      </w:r>
      <w:r>
        <w:rPr>
          <w:rFonts w:hint="eastAsia" w:ascii="Times New Roman" w:hAnsi="Times New Roman" w:eastAsia="仿宋_GB2312"/>
          <w:color w:val="000000" w:themeColor="text1"/>
          <w:sz w:val="32"/>
          <w:szCs w:val="32"/>
          <w14:textFill>
            <w14:solidFill>
              <w14:schemeClr w14:val="tx1"/>
            </w14:solidFill>
          </w14:textFill>
        </w:rPr>
        <w:t>人才外流、人才总量不足、人才结构不合理和干部思想不够解放等问题依然存在，尤其缺乏懂经营管理、又精通专业技术的复合型企业家人才和国际化人才。</w:t>
      </w:r>
    </w:p>
    <w:p>
      <w:pP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sectPr>
          <w:footnotePr>
            <w:numFmt w:val="decimalEnclosedCircleChinese"/>
          </w:footnotePr>
          <w:pgSz w:w="11906" w:h="16838"/>
          <w:pgMar w:top="1587" w:right="1417" w:bottom="1304" w:left="1417" w:header="851" w:footer="850" w:gutter="0"/>
          <w:cols w:space="0" w:num="1"/>
          <w:docGrid w:type="lines" w:linePitch="312" w:charSpace="0"/>
        </w:sectPr>
      </w:pPr>
      <w:r>
        <w:rPr>
          <w:rFonts w:hint="eastAsia" w:ascii="Times New Roman" w:hAnsi="Times New Roman" w:eastAsia="仿宋_GB2312"/>
          <w:color w:val="000000" w:themeColor="text1"/>
          <w:sz w:val="32"/>
          <w:szCs w:val="32"/>
          <w14:textFill>
            <w14:solidFill>
              <w14:schemeClr w14:val="tx1"/>
            </w14:solidFill>
          </w14:textFill>
        </w:rPr>
        <w:t>综合分析判断，未来五年，是龙胜县转型升级、爬坡过坎的攻坚期，是进位赶超的关键期和大有可为的重要战略机遇期。多种潜在风险和挑战增多，必须准确把握新时代内涵的深刻变化，厚植发展优势、补齐明显短板，并直面挑战而不畏艰险，锻造优势长板、破解发展难题，促进经济社会持续健康发展。</w:t>
      </w:r>
    </w:p>
    <w:p>
      <w:pPr>
        <w:pStyle w:val="41"/>
        <w:keepLines w:val="0"/>
        <w:adjustRightInd/>
        <w:snapToGrid/>
        <w:spacing w:before="0" w:beforeLines="0" w:line="640" w:lineRule="exact"/>
        <w:ind w:left="0" w:leftChars="0"/>
        <w:jc w:val="center"/>
        <w:outlineLvl w:val="0"/>
        <w:rPr>
          <w:rFonts w:ascii="Times New Roman" w:hAnsi="Times New Roman" w:eastAsia="方正小标宋_GBK" w:cs="Times New Roman"/>
          <w:color w:val="000000" w:themeColor="text1"/>
          <w:sz w:val="44"/>
          <w:szCs w:val="44"/>
          <w14:textFill>
            <w14:solidFill>
              <w14:schemeClr w14:val="tx1"/>
            </w14:solidFill>
          </w14:textFill>
        </w:rPr>
      </w:pPr>
      <w:bookmarkStart w:id="44" w:name="_Toc29104"/>
      <w:bookmarkStart w:id="45" w:name="_Toc19907"/>
      <w:bookmarkStart w:id="46" w:name="_Toc52201143"/>
      <w:bookmarkStart w:id="47" w:name="_Toc7750"/>
      <w:bookmarkStart w:id="48" w:name="_Toc2095"/>
      <w:bookmarkStart w:id="49" w:name="_Toc61110767"/>
      <w:bookmarkStart w:id="50" w:name="_Toc22268"/>
      <w:r>
        <w:rPr>
          <w:rFonts w:hint="eastAsia" w:ascii="Times New Roman" w:hAnsi="Times New Roman" w:eastAsia="方正小标宋_GBK" w:cs="Times New Roman"/>
          <w:color w:val="000000" w:themeColor="text1"/>
          <w:sz w:val="44"/>
          <w:szCs w:val="44"/>
          <w14:textFill>
            <w14:solidFill>
              <w14:schemeClr w14:val="tx1"/>
            </w14:solidFill>
          </w14:textFill>
        </w:rPr>
        <w:t>第二篇  深入贯彻新发展理念，开启现代化建设新征程</w:t>
      </w:r>
      <w:bookmarkEnd w:id="44"/>
    </w:p>
    <w:p>
      <w:pPr>
        <w:pStyle w:val="41"/>
        <w:keepNext w:val="0"/>
        <w:keepLines w:val="0"/>
        <w:adjustRightInd/>
        <w:snapToGrid/>
        <w:spacing w:before="0" w:beforeLines="0" w:line="560" w:lineRule="exact"/>
        <w:ind w:left="0" w:leftChars="0"/>
        <w:jc w:val="both"/>
        <w:outlineLvl w:val="9"/>
        <w:rPr>
          <w:rFonts w:ascii="Times New Roman" w:hAnsi="Times New Roman" w:cs="Times New Roman"/>
          <w:b/>
          <w:bCs w:val="0"/>
          <w:color w:val="000000" w:themeColor="text1"/>
          <w14:textFill>
            <w14:solidFill>
              <w14:schemeClr w14:val="tx1"/>
            </w14:solidFill>
          </w14:textFill>
        </w:rPr>
      </w:pPr>
    </w:p>
    <w:p>
      <w:pPr>
        <w:pStyle w:val="41"/>
        <w:keepNext w:val="0"/>
        <w:keepLines w:val="0"/>
        <w:adjustRightInd/>
        <w:snapToGrid/>
        <w:spacing w:before="0" w:beforeLines="0" w:line="560" w:lineRule="exact"/>
        <w:ind w:left="0" w:leftChars="0"/>
        <w:jc w:val="center"/>
        <w:rPr>
          <w:rFonts w:ascii="Times New Roman" w:hAnsi="Times New Roman" w:cs="Times New Roman"/>
          <w:color w:val="000000" w:themeColor="text1"/>
          <w14:textFill>
            <w14:solidFill>
              <w14:schemeClr w14:val="tx1"/>
            </w14:solidFill>
          </w14:textFill>
        </w:rPr>
      </w:pPr>
      <w:bookmarkStart w:id="51" w:name="_Toc14358"/>
      <w:r>
        <w:rPr>
          <w:rFonts w:hint="eastAsia" w:ascii="Times New Roman" w:hAnsi="Times New Roman" w:cs="Times New Roman"/>
          <w:color w:val="000000" w:themeColor="text1"/>
          <w14:textFill>
            <w14:solidFill>
              <w14:schemeClr w14:val="tx1"/>
            </w14:solidFill>
          </w14:textFill>
        </w:rPr>
        <w:t>第三章  “十四五”时期发展</w:t>
      </w:r>
      <w:bookmarkEnd w:id="45"/>
      <w:bookmarkEnd w:id="46"/>
      <w:bookmarkEnd w:id="47"/>
      <w:bookmarkEnd w:id="48"/>
      <w:r>
        <w:rPr>
          <w:rFonts w:hint="eastAsia" w:ascii="Times New Roman" w:hAnsi="Times New Roman" w:cs="Times New Roman"/>
          <w:color w:val="000000" w:themeColor="text1"/>
          <w14:textFill>
            <w14:solidFill>
              <w14:schemeClr w14:val="tx1"/>
            </w14:solidFill>
          </w14:textFill>
        </w:rPr>
        <w:t>总体要求</w:t>
      </w:r>
      <w:bookmarkEnd w:id="49"/>
      <w:bookmarkEnd w:id="50"/>
      <w:bookmarkEnd w:id="51"/>
      <w:bookmarkStart w:id="52" w:name="_Toc5297"/>
      <w:bookmarkStart w:id="53" w:name="_Toc13722"/>
      <w:bookmarkStart w:id="54" w:name="_Toc22630"/>
      <w:bookmarkStart w:id="55" w:name="_Toc61110768"/>
      <w:bookmarkStart w:id="56" w:name="_Toc52201144"/>
      <w:bookmarkStart w:id="57" w:name="_Toc19070"/>
    </w:p>
    <w:p>
      <w:pPr>
        <w:spacing w:line="560" w:lineRule="exact"/>
        <w:jc w:val="center"/>
        <w:rPr>
          <w:rFonts w:ascii="Times New Roman" w:hAnsi="Times New Roman" w:eastAsia="黑体"/>
          <w:color w:val="000000" w:themeColor="text1"/>
          <w14:textFill>
            <w14:solidFill>
              <w14:schemeClr w14:val="tx1"/>
            </w14:solidFill>
          </w14:textFill>
        </w:rPr>
      </w:pPr>
    </w:p>
    <w:p>
      <w:pPr>
        <w:pStyle w:val="5"/>
        <w:keepNext w:val="0"/>
        <w:keepLines w:val="0"/>
        <w:spacing w:before="0" w:after="0" w:line="560" w:lineRule="exact"/>
        <w:jc w:val="center"/>
        <w:rPr>
          <w:rFonts w:ascii="Times New Roman" w:hAnsi="Times New Roman" w:eastAsia="黑体"/>
          <w:b w:val="0"/>
          <w:color w:val="000000" w:themeColor="text1"/>
          <w14:textFill>
            <w14:solidFill>
              <w14:schemeClr w14:val="tx1"/>
            </w14:solidFill>
          </w14:textFill>
        </w:rPr>
      </w:pPr>
      <w:bookmarkStart w:id="58" w:name="_Toc10321"/>
      <w:r>
        <w:rPr>
          <w:rFonts w:hint="eastAsia" w:ascii="Times New Roman" w:hAnsi="Times New Roman" w:eastAsia="黑体"/>
          <w:b w:val="0"/>
          <w:color w:val="000000" w:themeColor="text1"/>
          <w14:textFill>
            <w14:solidFill>
              <w14:schemeClr w14:val="tx1"/>
            </w14:solidFill>
          </w14:textFill>
        </w:rPr>
        <w:t>第一节  指导思想</w:t>
      </w:r>
      <w:bookmarkEnd w:id="52"/>
      <w:bookmarkEnd w:id="53"/>
      <w:bookmarkEnd w:id="54"/>
      <w:bookmarkEnd w:id="55"/>
      <w:bookmarkEnd w:id="56"/>
      <w:bookmarkEnd w:id="57"/>
      <w:bookmarkEnd w:id="58"/>
    </w:p>
    <w:p>
      <w:pPr>
        <w:pBdr>
          <w:top w:val="single" w:color="FFFFFF" w:sz="4" w:space="0"/>
          <w:left w:val="single" w:color="FFFFFF" w:sz="4" w:space="31"/>
          <w:bottom w:val="single" w:color="FFFFFF" w:sz="4" w:space="31"/>
          <w:right w:val="single" w:color="FFFFFF" w:sz="4" w:space="2"/>
        </w:pBdr>
        <w:spacing w:line="560" w:lineRule="exact"/>
        <w:rPr>
          <w:rFonts w:ascii="Times New Roman" w:hAnsi="Times New Roman" w:eastAsia="仿宋_GB2312"/>
          <w:color w:val="000000" w:themeColor="text1"/>
          <w:sz w:val="32"/>
          <w:szCs w:val="32"/>
          <w14:textFill>
            <w14:solidFill>
              <w14:schemeClr w14:val="tx1"/>
            </w14:solidFill>
          </w14:textFill>
        </w:rPr>
      </w:pPr>
    </w:p>
    <w:p>
      <w:pPr>
        <w:pBdr>
          <w:top w:val="single" w:color="FFFFFF" w:sz="4" w:space="0"/>
          <w:left w:val="single" w:color="FFFFFF" w:sz="4" w:space="31"/>
          <w:bottom w:val="single" w:color="FFFFFF" w:sz="4" w:space="31"/>
          <w:right w:val="single" w:color="FFFFFF" w:sz="4" w:space="2"/>
        </w:pBd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color w:val="000000" w:themeColor="text1"/>
          <w:sz w:val="32"/>
          <w:szCs w:val="32"/>
          <w14:textFill>
            <w14:solidFill>
              <w14:schemeClr w14:val="tx1"/>
            </w14:solidFill>
          </w14:textFill>
        </w:rPr>
        <w:t>高举中国特色社会主义伟大旗帜，坚持以习近平新时代中国特色社会主义思想为指导，全面贯彻党的十九大和十九届二中、三中、四中、五中全会精神，按照习近平总书记赋予广西的“三大定位”新使命和“五个扎实”新要求，坚持以人民为中心，以深化供给侧结构性改革为主线，以稳中求进为总基调，围绕“生态立县、绿色发展”理念，统筹推进工业振兴、乡村振兴、文旅振兴，巩固生态优势，促进旅游生态文化深度融合，推动城乡融合发展，全面深化改革开放，切实补强基础设施和公共服务短板，构建形成高质量产业发展体系、高品质公共服务体系，推进政府治理能力现代化，加快创建国家全域旅游示范区，努力走好具有龙胜特色的新时代创新发展之路，</w:t>
      </w:r>
      <w:r>
        <w:rPr>
          <w:rFonts w:hint="eastAsia" w:ascii="Times New Roman" w:hAnsi="Times New Roman" w:eastAsia="仿宋_GB2312"/>
          <w:bCs/>
          <w:color w:val="000000" w:themeColor="text1"/>
          <w:sz w:val="32"/>
          <w:szCs w:val="32"/>
          <w14:textFill>
            <w14:solidFill>
              <w14:schemeClr w14:val="tx1"/>
            </w14:solidFill>
          </w14:textFill>
        </w:rPr>
        <w:t>奋力谱写全面建设社会主义现代化国家的龙胜新篇章。</w:t>
      </w:r>
      <w:bookmarkStart w:id="59" w:name="_Toc27680971"/>
      <w:bookmarkStart w:id="60" w:name="_Toc30085481"/>
      <w:bookmarkStart w:id="61" w:name="_Toc21793"/>
      <w:bookmarkStart w:id="62" w:name="_Toc27471862"/>
      <w:bookmarkStart w:id="63" w:name="_Toc24506"/>
      <w:bookmarkStart w:id="64" w:name="_Toc14830"/>
      <w:bookmarkStart w:id="65" w:name="_Toc61110769"/>
      <w:bookmarkStart w:id="66" w:name="_Toc27681127"/>
      <w:bookmarkStart w:id="67" w:name="_Toc21647"/>
      <w:bookmarkStart w:id="68" w:name="_Toc16291"/>
    </w:p>
    <w:p>
      <w:pPr>
        <w:pStyle w:val="5"/>
        <w:keepNext w:val="0"/>
        <w:keepLines w:val="0"/>
        <w:spacing w:before="0" w:after="0" w:line="560" w:lineRule="exact"/>
        <w:jc w:val="center"/>
        <w:rPr>
          <w:rFonts w:ascii="Times New Roman" w:hAnsi="Times New Roman" w:eastAsia="黑体"/>
          <w:b w:val="0"/>
          <w:color w:val="000000" w:themeColor="text1"/>
          <w14:textFill>
            <w14:solidFill>
              <w14:schemeClr w14:val="tx1"/>
            </w14:solidFill>
          </w14:textFill>
        </w:rPr>
      </w:pPr>
      <w:bookmarkStart w:id="69" w:name="_Toc5003"/>
      <w:r>
        <w:rPr>
          <w:rFonts w:hint="eastAsia" w:ascii="Times New Roman" w:hAnsi="Times New Roman" w:eastAsia="黑体"/>
          <w:b w:val="0"/>
          <w:color w:val="000000" w:themeColor="text1"/>
          <w14:textFill>
            <w14:solidFill>
              <w14:schemeClr w14:val="tx1"/>
            </w14:solidFill>
          </w14:textFill>
        </w:rPr>
        <w:t>第二节  基本原则</w:t>
      </w:r>
      <w:bookmarkEnd w:id="59"/>
      <w:bookmarkEnd w:id="60"/>
      <w:bookmarkEnd w:id="61"/>
      <w:bookmarkEnd w:id="62"/>
      <w:bookmarkEnd w:id="63"/>
      <w:bookmarkEnd w:id="64"/>
      <w:bookmarkEnd w:id="65"/>
      <w:bookmarkEnd w:id="66"/>
      <w:bookmarkEnd w:id="67"/>
      <w:bookmarkEnd w:id="68"/>
      <w:bookmarkEnd w:id="69"/>
    </w:p>
    <w:p>
      <w:pPr>
        <w:spacing w:line="560" w:lineRule="exact"/>
        <w:ind w:firstLine="643" w:firstLineChars="200"/>
        <w:rPr>
          <w:rFonts w:ascii="Times New Roman" w:hAnsi="Times New Roman" w:eastAsia="仿宋_GB2312"/>
          <w:b/>
          <w:bCs/>
          <w:color w:val="000000" w:themeColor="text1"/>
          <w:sz w:val="32"/>
          <w:szCs w:val="32"/>
          <w14:textFill>
            <w14:solidFill>
              <w14:schemeClr w14:val="tx1"/>
            </w14:solidFill>
          </w14:textFill>
        </w:rPr>
      </w:pPr>
      <w:bookmarkStart w:id="70" w:name="_Toc15531"/>
      <w:bookmarkStart w:id="71" w:name="_Toc24608"/>
      <w:bookmarkStart w:id="72" w:name="_Toc2649"/>
      <w:bookmarkStart w:id="73" w:name="_Toc52201145"/>
    </w:p>
    <w:p>
      <w:pPr>
        <w:spacing w:line="560" w:lineRule="exact"/>
        <w:ind w:firstLine="643" w:firstLineChars="200"/>
        <w:rPr>
          <w:rFonts w:ascii="Times New Roman" w:hAnsi="Times New Roman" w:eastAsia="仿宋_GB2312"/>
          <w:bCs/>
          <w:color w:val="000000" w:themeColor="text1"/>
          <w:sz w:val="32"/>
          <w:szCs w:val="32"/>
          <w14:textFill>
            <w14:solidFill>
              <w14:schemeClr w14:val="tx1"/>
            </w14:solidFill>
          </w14:textFill>
        </w:rPr>
      </w:pPr>
      <w:r>
        <w:rPr>
          <w:rFonts w:hint="eastAsia" w:ascii="Times New Roman" w:hAnsi="Times New Roman" w:eastAsia="仿宋_GB2312"/>
          <w:b/>
          <w:bCs/>
          <w:color w:val="000000" w:themeColor="text1"/>
          <w:sz w:val="32"/>
          <w:szCs w:val="32"/>
          <w14:textFill>
            <w14:solidFill>
              <w14:schemeClr w14:val="tx1"/>
            </w14:solidFill>
          </w14:textFill>
        </w:rPr>
        <w:t>坚持党的全面领导。</w:t>
      </w:r>
      <w:r>
        <w:rPr>
          <w:rFonts w:hint="eastAsia" w:ascii="Times New Roman" w:hAnsi="Times New Roman" w:eastAsia="仿宋_GB2312"/>
          <w:bCs/>
          <w:color w:val="000000" w:themeColor="text1"/>
          <w:sz w:val="32"/>
          <w:szCs w:val="32"/>
          <w14:textFill>
            <w14:solidFill>
              <w14:schemeClr w14:val="tx1"/>
            </w14:solidFill>
          </w14:textFill>
        </w:rPr>
        <w:t>坚持和完善党领导经济社会发展的体制机制，坚决维护党中央权威和集中统一领导，始终同以习近平同志为核心的党中央保持高度一致，为实现经济社会高质量发展提供根本保证。</w:t>
      </w:r>
    </w:p>
    <w:p>
      <w:pPr>
        <w:spacing w:line="560" w:lineRule="exact"/>
        <w:ind w:firstLine="643" w:firstLineChars="200"/>
        <w:rPr>
          <w:rFonts w:ascii="Times New Roman" w:hAnsi="Times New Roman" w:eastAsia="仿宋_GB2312"/>
          <w:bCs/>
          <w:color w:val="000000" w:themeColor="text1"/>
          <w:sz w:val="32"/>
          <w:szCs w:val="32"/>
          <w14:textFill>
            <w14:solidFill>
              <w14:schemeClr w14:val="tx1"/>
            </w14:solidFill>
          </w14:textFill>
        </w:rPr>
      </w:pPr>
      <w:r>
        <w:rPr>
          <w:rFonts w:hint="eastAsia" w:ascii="Times New Roman" w:hAnsi="Times New Roman" w:eastAsia="仿宋_GB2312"/>
          <w:b/>
          <w:bCs/>
          <w:color w:val="000000" w:themeColor="text1"/>
          <w:sz w:val="32"/>
          <w:szCs w:val="32"/>
          <w14:textFill>
            <w14:solidFill>
              <w14:schemeClr w14:val="tx1"/>
            </w14:solidFill>
          </w14:textFill>
        </w:rPr>
        <w:t>坚持以人民为中心。</w:t>
      </w:r>
      <w:r>
        <w:rPr>
          <w:rFonts w:hint="eastAsia" w:ascii="Times New Roman" w:hAnsi="Times New Roman" w:eastAsia="仿宋_GB2312"/>
          <w:bCs/>
          <w:color w:val="000000" w:themeColor="text1"/>
          <w:sz w:val="32"/>
          <w:szCs w:val="32"/>
          <w14:textFill>
            <w14:solidFill>
              <w14:schemeClr w14:val="tx1"/>
            </w14:solidFill>
          </w14:textFill>
        </w:rPr>
        <w:t>坚持人民主体地位，坚持共同富裕方向，把增进人民福祉、促进人的全面发展作为发展的出发点和落脚点，始终做到发展为了人民、发展依靠人民、发展成果由人民共享，更好实现人民对美好生活的向往。</w:t>
      </w:r>
    </w:p>
    <w:p>
      <w:pPr>
        <w:spacing w:line="560" w:lineRule="exact"/>
        <w:ind w:firstLine="643"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b/>
          <w:bCs/>
          <w:color w:val="000000" w:themeColor="text1"/>
          <w:sz w:val="32"/>
          <w:szCs w:val="32"/>
          <w14:textFill>
            <w14:solidFill>
              <w14:schemeClr w14:val="tx1"/>
            </w14:solidFill>
          </w14:textFill>
        </w:rPr>
        <w:t>坚持新发展理念。</w:t>
      </w:r>
      <w:r>
        <w:rPr>
          <w:rFonts w:hint="eastAsia" w:ascii="Times New Roman" w:hAnsi="Times New Roman" w:eastAsia="仿宋_GB2312"/>
          <w:color w:val="000000" w:themeColor="text1"/>
          <w:sz w:val="32"/>
          <w:szCs w:val="32"/>
          <w14:textFill>
            <w14:solidFill>
              <w14:schemeClr w14:val="tx1"/>
            </w14:solidFill>
          </w14:textFill>
        </w:rPr>
        <w:t>坚持质量第一、效益优先，把新发展理念贯穿发展全过程和各领域，积极融入新发展格局，切实转变发展方式，推动质量变革、效率变革、动力变革，实现更高质量、更有效率、更加公平、更可持续、更为安全的发展，不断增强经济创新力和竞争力。</w:t>
      </w:r>
    </w:p>
    <w:p>
      <w:pPr>
        <w:spacing w:line="560" w:lineRule="exact"/>
        <w:ind w:firstLine="643"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b/>
          <w:bCs/>
          <w:color w:val="000000" w:themeColor="text1"/>
          <w:sz w:val="32"/>
          <w:szCs w:val="32"/>
          <w14:textFill>
            <w14:solidFill>
              <w14:schemeClr w14:val="tx1"/>
            </w14:solidFill>
          </w14:textFill>
        </w:rPr>
        <w:t>坚持深化改革开放。</w:t>
      </w:r>
      <w:r>
        <w:rPr>
          <w:rFonts w:hint="eastAsia" w:ascii="Times New Roman" w:hAnsi="Times New Roman" w:eastAsia="仿宋_GB2312"/>
          <w:color w:val="000000" w:themeColor="text1"/>
          <w:sz w:val="32"/>
          <w:szCs w:val="32"/>
          <w14:textFill>
            <w14:solidFill>
              <w14:schemeClr w14:val="tx1"/>
            </w14:solidFill>
          </w14:textFill>
        </w:rPr>
        <w:t>主动融入国家、广西和桂林市改革开放新格局，在重点领域和关键环节实现实质性改革突破，充分释放市场活力和改革红利，全面提升对外开放合作水平，持续增强发展动力活力。</w:t>
      </w:r>
    </w:p>
    <w:p>
      <w:pPr>
        <w:spacing w:line="560" w:lineRule="exact"/>
        <w:ind w:firstLine="643"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b/>
          <w:bCs/>
          <w:color w:val="000000" w:themeColor="text1"/>
          <w:sz w:val="32"/>
          <w:szCs w:val="32"/>
          <w14:textFill>
            <w14:solidFill>
              <w14:schemeClr w14:val="tx1"/>
            </w14:solidFill>
          </w14:textFill>
        </w:rPr>
        <w:t>坚持协调融合发展。</w:t>
      </w:r>
      <w:r>
        <w:rPr>
          <w:rFonts w:hint="eastAsia" w:ascii="Times New Roman" w:hAnsi="Times New Roman" w:eastAsia="仿宋_GB2312"/>
          <w:color w:val="000000" w:themeColor="text1"/>
          <w:sz w:val="32"/>
          <w:szCs w:val="32"/>
          <w14:textFill>
            <w14:solidFill>
              <w14:schemeClr w14:val="tx1"/>
            </w14:solidFill>
          </w14:textFill>
        </w:rPr>
        <w:t>正确处理好工业、农业、旅游及其他产业在发展中的关系，促进三次产业协调发展；推动城乡融合发展，逐步提升城乡基本公共服务均等化水平。坚持绿水青山就是金山银山的理念，严守生态红线，推广绿色发展方式和生活方式，为人民创造良好生产生活环境。</w:t>
      </w:r>
    </w:p>
    <w:p>
      <w:pPr>
        <w:pStyle w:val="31"/>
        <w:autoSpaceDE/>
        <w:autoSpaceDN/>
        <w:adjustRightInd/>
        <w:spacing w:line="560" w:lineRule="exact"/>
        <w:ind w:firstLine="643" w:firstLineChars="200"/>
        <w:jc w:val="both"/>
        <w:rPr>
          <w:rFonts w:ascii="Times New Roman" w:hAnsi="Times New Roman" w:eastAsia="仿宋_GB2312"/>
          <w:color w:val="000000" w:themeColor="text1"/>
          <w:kern w:val="2"/>
          <w:sz w:val="32"/>
          <w:szCs w:val="32"/>
          <w14:textFill>
            <w14:solidFill>
              <w14:schemeClr w14:val="tx1"/>
            </w14:solidFill>
          </w14:textFill>
        </w:rPr>
      </w:pPr>
      <w:r>
        <w:rPr>
          <w:rFonts w:hint="eastAsia" w:ascii="Times New Roman" w:hAnsi="Times New Roman" w:eastAsia="仿宋_GB2312"/>
          <w:b/>
          <w:bCs/>
          <w:color w:val="000000" w:themeColor="text1"/>
          <w:kern w:val="2"/>
          <w:sz w:val="32"/>
          <w:szCs w:val="32"/>
          <w14:textFill>
            <w14:solidFill>
              <w14:schemeClr w14:val="tx1"/>
            </w14:solidFill>
          </w14:textFill>
        </w:rPr>
        <w:t>坚持保障改善民生。</w:t>
      </w:r>
      <w:r>
        <w:rPr>
          <w:rFonts w:hint="eastAsia" w:ascii="Times New Roman" w:hAnsi="Times New Roman" w:eastAsia="仿宋_GB2312"/>
          <w:color w:val="000000" w:themeColor="text1"/>
          <w:kern w:val="2"/>
          <w:sz w:val="32"/>
          <w:szCs w:val="32"/>
          <w14:textFill>
            <w14:solidFill>
              <w14:schemeClr w14:val="tx1"/>
            </w14:solidFill>
          </w14:textFill>
        </w:rPr>
        <w:t>注重补强民生短板、促进社会公平正义，</w:t>
      </w:r>
      <w:r>
        <w:rPr>
          <w:rFonts w:hint="eastAsia" w:ascii="Times New Roman" w:hAnsi="Times New Roman" w:eastAsia="仿宋_GB2312"/>
          <w:color w:val="000000" w:themeColor="text1"/>
          <w:sz w:val="32"/>
          <w:szCs w:val="32"/>
          <w14:textFill>
            <w14:solidFill>
              <w14:schemeClr w14:val="tx1"/>
            </w14:solidFill>
          </w14:textFill>
        </w:rPr>
        <w:t>积极</w:t>
      </w:r>
      <w:r>
        <w:rPr>
          <w:rFonts w:hint="eastAsia" w:ascii="Times New Roman" w:hAnsi="Times New Roman" w:eastAsia="仿宋_GB2312"/>
          <w:bCs/>
          <w:color w:val="000000" w:themeColor="text1"/>
          <w:sz w:val="32"/>
          <w:szCs w:val="32"/>
          <w14:textFill>
            <w14:solidFill>
              <w14:schemeClr w14:val="tx1"/>
            </w14:solidFill>
          </w14:textFill>
        </w:rPr>
        <w:t>推进健康中国行动，</w:t>
      </w:r>
      <w:r>
        <w:rPr>
          <w:rFonts w:hint="eastAsia" w:ascii="Times New Roman" w:hAnsi="Times New Roman" w:eastAsia="仿宋_GB2312"/>
          <w:color w:val="000000" w:themeColor="text1"/>
          <w:kern w:val="2"/>
          <w:sz w:val="32"/>
          <w:szCs w:val="32"/>
          <w14:textFill>
            <w14:solidFill>
              <w14:schemeClr w14:val="tx1"/>
            </w14:solidFill>
          </w14:textFill>
        </w:rPr>
        <w:t>切实巩固全面建成小康社会成果，加强和创新社会治理，保证人民群众在共建共享发展中有更多获得感。</w:t>
      </w:r>
    </w:p>
    <w:p>
      <w:pPr>
        <w:pStyle w:val="31"/>
        <w:autoSpaceDE/>
        <w:autoSpaceDN/>
        <w:adjustRightInd/>
        <w:spacing w:line="560" w:lineRule="exact"/>
        <w:ind w:firstLine="640" w:firstLineChars="200"/>
        <w:jc w:val="both"/>
        <w:rPr>
          <w:rFonts w:ascii="Times New Roman" w:hAnsi="Times New Roman" w:eastAsia="仿宋_GB2312"/>
          <w:color w:val="000000" w:themeColor="text1"/>
          <w:kern w:val="2"/>
          <w:sz w:val="32"/>
          <w:szCs w:val="32"/>
          <w14:textFill>
            <w14:solidFill>
              <w14:schemeClr w14:val="tx1"/>
            </w14:solidFill>
          </w14:textFill>
        </w:rPr>
      </w:pPr>
    </w:p>
    <w:p>
      <w:pPr>
        <w:pStyle w:val="5"/>
        <w:keepNext w:val="0"/>
        <w:keepLines w:val="0"/>
        <w:spacing w:before="0" w:after="0" w:line="560" w:lineRule="exact"/>
        <w:jc w:val="center"/>
        <w:rPr>
          <w:rFonts w:ascii="Times New Roman" w:hAnsi="Times New Roman" w:eastAsia="黑体"/>
          <w:b w:val="0"/>
          <w:color w:val="000000" w:themeColor="text1"/>
          <w14:textFill>
            <w14:solidFill>
              <w14:schemeClr w14:val="tx1"/>
            </w14:solidFill>
          </w14:textFill>
        </w:rPr>
      </w:pPr>
      <w:bookmarkStart w:id="74" w:name="_Toc61110770"/>
      <w:bookmarkStart w:id="75" w:name="_Toc6516"/>
      <w:bookmarkStart w:id="76" w:name="_Toc19335"/>
      <w:r>
        <w:rPr>
          <w:rFonts w:hint="eastAsia" w:ascii="Times New Roman" w:hAnsi="Times New Roman" w:eastAsia="黑体"/>
          <w:b w:val="0"/>
          <w:color w:val="000000" w:themeColor="text1"/>
          <w14:textFill>
            <w14:solidFill>
              <w14:schemeClr w14:val="tx1"/>
            </w14:solidFill>
          </w14:textFill>
        </w:rPr>
        <w:t xml:space="preserve">第三节  </w:t>
      </w:r>
      <w:bookmarkEnd w:id="74"/>
      <w:bookmarkEnd w:id="75"/>
      <w:bookmarkStart w:id="77" w:name="_Toc12011"/>
      <w:bookmarkStart w:id="78" w:name="_Toc61110771"/>
      <w:r>
        <w:rPr>
          <w:rFonts w:hint="eastAsia" w:ascii="Times New Roman" w:hAnsi="Times New Roman" w:eastAsia="黑体"/>
          <w:b w:val="0"/>
          <w:color w:val="000000" w:themeColor="text1"/>
          <w14:textFill>
            <w14:solidFill>
              <w14:schemeClr w14:val="tx1"/>
            </w14:solidFill>
          </w14:textFill>
        </w:rPr>
        <w:t>发展目标</w:t>
      </w:r>
      <w:bookmarkEnd w:id="70"/>
      <w:bookmarkEnd w:id="71"/>
      <w:bookmarkEnd w:id="72"/>
      <w:bookmarkEnd w:id="73"/>
      <w:bookmarkEnd w:id="76"/>
      <w:bookmarkEnd w:id="77"/>
      <w:bookmarkEnd w:id="78"/>
    </w:p>
    <w:p>
      <w:pPr>
        <w:pStyle w:val="31"/>
        <w:autoSpaceDE/>
        <w:autoSpaceDN/>
        <w:adjustRightInd/>
        <w:spacing w:line="560" w:lineRule="exact"/>
        <w:jc w:val="both"/>
        <w:rPr>
          <w:rFonts w:ascii="Times New Roman" w:hAnsi="Times New Roman" w:eastAsia="楷体_GB2312"/>
          <w:b/>
          <w:color w:val="000000" w:themeColor="text1"/>
          <w:sz w:val="32"/>
          <w:szCs w:val="32"/>
          <w14:textFill>
            <w14:solidFill>
              <w14:schemeClr w14:val="tx1"/>
            </w14:solidFill>
          </w14:textFill>
        </w:rPr>
      </w:pPr>
    </w:p>
    <w:p>
      <w:pPr>
        <w:pStyle w:val="31"/>
        <w:autoSpaceDE/>
        <w:autoSpaceDN/>
        <w:adjustRightInd/>
        <w:spacing w:line="560" w:lineRule="exact"/>
        <w:ind w:firstLine="643" w:firstLineChars="200"/>
        <w:jc w:val="both"/>
        <w:rPr>
          <w:rFonts w:ascii="Times New Roman" w:hAnsi="Times New Roman" w:eastAsia="楷体_GB2312"/>
          <w:color w:val="000000" w:themeColor="text1"/>
          <w:sz w:val="32"/>
          <w:szCs w:val="32"/>
          <w14:textFill>
            <w14:solidFill>
              <w14:schemeClr w14:val="tx1"/>
            </w14:solidFill>
          </w14:textFill>
        </w:rPr>
      </w:pPr>
      <w:r>
        <w:rPr>
          <w:rFonts w:hint="eastAsia" w:ascii="Times New Roman" w:hAnsi="Times New Roman" w:eastAsia="仿宋_GB2312"/>
          <w:b/>
          <w:bCs/>
          <w:color w:val="000000" w:themeColor="text1"/>
          <w:kern w:val="2"/>
          <w:sz w:val="32"/>
          <w:szCs w:val="32"/>
          <w14:textFill>
            <w14:solidFill>
              <w14:schemeClr w14:val="tx1"/>
            </w14:solidFill>
          </w14:textFill>
        </w:rPr>
        <w:t>2035年发展远景目标：</w:t>
      </w:r>
      <w:r>
        <w:rPr>
          <w:rFonts w:hint="eastAsia" w:ascii="Times New Roman" w:hAnsi="Times New Roman" w:eastAsia="仿宋_GB2312"/>
          <w:color w:val="000000" w:themeColor="text1"/>
          <w:sz w:val="32"/>
          <w:szCs w:val="32"/>
          <w14:textFill>
            <w14:solidFill>
              <w14:schemeClr w14:val="tx1"/>
            </w14:solidFill>
          </w14:textFill>
        </w:rPr>
        <w:t>展望2035年，龙胜县将构建高速、高铁等现代化互联互通大交通网络格局，建成全国一流的全域旅游示范区、旅游康养示范基地和“绿水青山就是金山银山”实践基地，打造国际旅游目的地，并拥有更加优美的山水环境，更富魅力的人文空间，更趋开放的新经济载体，更具品质的宜居生活，与全国同步基本实现社会主义现代化。形成创新驱动发展新优势，综合实力显著提升，基本实现新型工业化、信息化、城镇化、农业产业化，打造以“世界梯田原乡、世界滑石之都、中国红玉之乡、多民族生态博物馆、康寿养生胜地、有机产业大园区”为主的龙胜县特色品牌；经济社会发展绿色转型，谱写生态优先绿色发展新篇章，广泛形成绿色生产生活方式，建成人与自然和谐共生的美丽新龙胜；全面深化改革和发展深度融合、高效联动，形成全方位开放发展新格局；平安龙胜建设达到更高水平，基本建成法治龙胜、法治政府、法治社会，县域治理体系和治理能力现代化基本实现；建成生态强县、旅游强县、文化强县、健康龙胜，城乡居民素质和社会文明程度达到新境界；基本公共服务实现均等化，城乡区域发展差距和城乡居民生活水平差距显著缩小；民族团结巩固提升，人民生活更加美好，人的全面发展、各族人民共同富裕取得更为明显的实质性进展。</w:t>
      </w:r>
    </w:p>
    <w:p>
      <w:pPr>
        <w:pStyle w:val="31"/>
        <w:autoSpaceDE/>
        <w:autoSpaceDN/>
        <w:adjustRightInd/>
        <w:spacing w:line="560" w:lineRule="exact"/>
        <w:ind w:firstLine="643" w:firstLineChars="200"/>
        <w:jc w:val="both"/>
        <w:rPr>
          <w:rFonts w:ascii="Times New Roman" w:hAnsi="Times New Roman" w:eastAsia="仿宋_GB2312"/>
          <w:color w:val="000000" w:themeColor="text1"/>
          <w:kern w:val="2"/>
          <w:sz w:val="32"/>
          <w:szCs w:val="32"/>
          <w14:textFill>
            <w14:solidFill>
              <w14:schemeClr w14:val="tx1"/>
            </w14:solidFill>
          </w14:textFill>
        </w:rPr>
      </w:pPr>
      <w:r>
        <w:rPr>
          <w:rFonts w:hint="eastAsia" w:ascii="Times New Roman" w:hAnsi="Times New Roman" w:eastAsia="仿宋_GB2312"/>
          <w:b/>
          <w:bCs/>
          <w:color w:val="000000" w:themeColor="text1"/>
          <w:kern w:val="2"/>
          <w:sz w:val="32"/>
          <w:szCs w:val="32"/>
          <w14:textFill>
            <w14:solidFill>
              <w14:schemeClr w14:val="tx1"/>
            </w14:solidFill>
          </w14:textFill>
        </w:rPr>
        <w:t>“十四五”时期发展目标：</w:t>
      </w:r>
      <w:r>
        <w:rPr>
          <w:rFonts w:hint="eastAsia" w:ascii="Times New Roman" w:hAnsi="Times New Roman" w:eastAsia="仿宋_GB2312"/>
          <w:color w:val="000000" w:themeColor="text1"/>
          <w:kern w:val="2"/>
          <w:sz w:val="32"/>
          <w:szCs w:val="32"/>
          <w14:textFill>
            <w14:solidFill>
              <w14:schemeClr w14:val="tx1"/>
            </w14:solidFill>
          </w14:textFill>
        </w:rPr>
        <w:t>综合考虑国内外发展趋势和龙胜县发展条件、优势、潜力，坚持目标导向和问题导向，今后五年全县经济社会发展要努力实现以下目标。</w:t>
      </w:r>
      <w:bookmarkStart w:id="79" w:name="_Toc9669"/>
    </w:p>
    <w:p>
      <w:pPr>
        <w:pStyle w:val="31"/>
        <w:autoSpaceDE/>
        <w:autoSpaceDN/>
        <w:adjustRightInd/>
        <w:spacing w:line="560" w:lineRule="exact"/>
        <w:ind w:firstLine="643" w:firstLineChars="200"/>
        <w:jc w:val="both"/>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b/>
          <w:bCs/>
          <w:color w:val="000000" w:themeColor="text1"/>
          <w:kern w:val="2"/>
          <w:sz w:val="32"/>
          <w:szCs w:val="32"/>
          <w14:textFill>
            <w14:solidFill>
              <w14:schemeClr w14:val="tx1"/>
            </w14:solidFill>
          </w14:textFill>
        </w:rPr>
        <w:t>总体目标</w:t>
      </w:r>
      <w:bookmarkEnd w:id="79"/>
      <w:r>
        <w:rPr>
          <w:rFonts w:hint="eastAsia" w:ascii="Times New Roman" w:hAnsi="Times New Roman" w:eastAsia="仿宋_GB2312"/>
          <w:b/>
          <w:bCs/>
          <w:color w:val="000000" w:themeColor="text1"/>
          <w:kern w:val="2"/>
          <w:sz w:val="32"/>
          <w:szCs w:val="32"/>
          <w14:textFill>
            <w14:solidFill>
              <w14:schemeClr w14:val="tx1"/>
            </w14:solidFill>
          </w14:textFill>
        </w:rPr>
        <w:t>：</w:t>
      </w:r>
      <w:r>
        <w:rPr>
          <w:rFonts w:hint="eastAsia" w:ascii="Times New Roman" w:hAnsi="Times New Roman" w:eastAsia="仿宋_GB2312"/>
          <w:color w:val="000000" w:themeColor="text1"/>
          <w:sz w:val="32"/>
          <w:szCs w:val="32"/>
          <w14:textFill>
            <w14:solidFill>
              <w14:schemeClr w14:val="tx1"/>
            </w14:solidFill>
          </w14:textFill>
        </w:rPr>
        <w:t>坚持“生态立县，绿色发展”理念和“生态、旅游、健康”发展思路，强化“</w:t>
      </w:r>
      <w:r>
        <w:rPr>
          <w:rFonts w:hint="eastAsia" w:ascii="Times New Roman" w:hAnsi="Times New Roman" w:eastAsia="仿宋_GB2312"/>
          <w:bCs/>
          <w:color w:val="000000" w:themeColor="text1"/>
          <w:sz w:val="32"/>
          <w:szCs w:val="32"/>
          <w14:textFill>
            <w14:solidFill>
              <w14:schemeClr w14:val="tx1"/>
            </w14:solidFill>
          </w14:textFill>
        </w:rPr>
        <w:t>工业振兴、乡村振兴、文旅振兴”三大振兴</w:t>
      </w:r>
      <w:r>
        <w:rPr>
          <w:rFonts w:hint="eastAsia" w:ascii="Times New Roman" w:hAnsi="Times New Roman" w:eastAsia="仿宋_GB2312"/>
          <w:color w:val="000000" w:themeColor="text1"/>
          <w:sz w:val="32"/>
          <w:szCs w:val="32"/>
          <w14:textFill>
            <w14:solidFill>
              <w14:schemeClr w14:val="tx1"/>
            </w14:solidFill>
          </w14:textFill>
        </w:rPr>
        <w:t>，传承红色基因，建设红色旅游强县，以打造“世界梯田原乡、多民族生态博物馆、中国红玉之乡、康寿养生胜地、有机产业大园区”等特色品牌为目标，推进</w:t>
      </w:r>
      <w:r>
        <w:rPr>
          <w:rFonts w:hint="eastAsia" w:ascii="Times New Roman" w:hAnsi="Times New Roman" w:eastAsia="仿宋_GB2312"/>
          <w:color w:val="000000" w:themeColor="text1"/>
          <w:sz w:val="32"/>
          <w:szCs w:val="32"/>
          <w:lang w:eastAsia="zh-CN"/>
          <w14:textFill>
            <w14:solidFill>
              <w14:schemeClr w14:val="tx1"/>
            </w14:solidFill>
          </w14:textFill>
        </w:rPr>
        <w:t>一、二、三产业</w:t>
      </w:r>
      <w:r>
        <w:rPr>
          <w:rFonts w:hint="eastAsia" w:ascii="Times New Roman" w:hAnsi="Times New Roman" w:eastAsia="仿宋_GB2312"/>
          <w:color w:val="000000" w:themeColor="text1"/>
          <w:sz w:val="32"/>
          <w:szCs w:val="32"/>
          <w14:textFill>
            <w14:solidFill>
              <w14:schemeClr w14:val="tx1"/>
            </w14:solidFill>
          </w14:textFill>
        </w:rPr>
        <w:t>高质量可持续发展，以服务业为主体、新型工业和特色农业协调融合发展的现代产业体系基本形成。生态环境质量保持全区前列，探索和推进“两山”</w:t>
      </w:r>
      <w:r>
        <w:rPr>
          <w:rFonts w:hint="eastAsia" w:ascii="Times New Roman" w:hAnsi="Times New Roman"/>
          <w:color w:val="000000" w:themeColor="text1"/>
          <w:sz w:val="32"/>
          <w:szCs w:val="32"/>
          <w:vertAlign w:val="superscript"/>
          <w14:textFill>
            <w14:solidFill>
              <w14:schemeClr w14:val="tx1"/>
            </w14:solidFill>
          </w14:textFill>
        </w:rPr>
        <w:footnoteReference w:id="3"/>
      </w:r>
      <w:r>
        <w:rPr>
          <w:rFonts w:hint="eastAsia" w:ascii="Times New Roman" w:hAnsi="Times New Roman" w:eastAsia="仿宋_GB2312"/>
          <w:color w:val="000000" w:themeColor="text1"/>
          <w:sz w:val="32"/>
          <w:szCs w:val="32"/>
          <w14:textFill>
            <w14:solidFill>
              <w14:schemeClr w14:val="tx1"/>
            </w14:solidFill>
          </w14:textFill>
        </w:rPr>
        <w:t>发展新模式，生态资源的保护、利用和开发能力明显提升；加快基础设施建设，推进城乡融合发展；完善要素配置的供给，营商环境进一步优化，政府治理能力水平不断提升，人民生活水平和质量显著提高。国家级全域旅游示范区、国际旅游目的地和康养示范基地、全国滑石精细加工基地、国家有机产品认证示范县、多元民族融合的特色生态宜居城镇、桂林清洁能源基地等基本建成，到2025年，走出一条产业兴、人民富、生态美的可持续发展龙胜之路。</w:t>
      </w:r>
    </w:p>
    <w:p>
      <w:pPr>
        <w:spacing w:line="560" w:lineRule="exact"/>
        <w:ind w:firstLine="643" w:firstLineChars="200"/>
        <w:textAlignment w:val="baseline"/>
        <w:rPr>
          <w:rFonts w:ascii="Times New Roman" w:hAnsi="Times New Roman" w:eastAsia="仿宋_GB2312"/>
          <w:b/>
          <w:bCs/>
          <w:color w:val="000000" w:themeColor="text1"/>
          <w:sz w:val="32"/>
          <w:szCs w:val="32"/>
          <w14:textFill>
            <w14:solidFill>
              <w14:schemeClr w14:val="tx1"/>
            </w14:solidFill>
          </w14:textFill>
        </w:rPr>
      </w:pPr>
      <w:r>
        <w:rPr>
          <w:rFonts w:hint="eastAsia" w:ascii="Times New Roman" w:hAnsi="Times New Roman" w:eastAsia="仿宋_GB2312"/>
          <w:b/>
          <w:bCs/>
          <w:color w:val="000000" w:themeColor="text1"/>
          <w:sz w:val="32"/>
          <w:szCs w:val="32"/>
          <w14:textFill>
            <w14:solidFill>
              <w14:schemeClr w14:val="tx1"/>
            </w14:solidFill>
          </w14:textFill>
        </w:rPr>
        <w:t>主要目标：</w:t>
      </w:r>
    </w:p>
    <w:p>
      <w:pPr>
        <w:pBdr>
          <w:top w:val="single" w:color="FFFFFF" w:sz="4" w:space="0"/>
          <w:left w:val="single" w:color="FFFFFF" w:sz="4" w:space="31"/>
          <w:bottom w:val="single" w:color="FFFFFF" w:sz="4" w:space="31"/>
          <w:right w:val="single" w:color="FFFFFF" w:sz="4" w:space="2"/>
        </w:pBdr>
        <w:spacing w:line="560" w:lineRule="exact"/>
        <w:ind w:firstLine="643"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b/>
          <w:bCs/>
          <w:color w:val="000000" w:themeColor="text1"/>
          <w:sz w:val="32"/>
          <w:szCs w:val="32"/>
          <w14:textFill>
            <w14:solidFill>
              <w14:schemeClr w14:val="tx1"/>
            </w14:solidFill>
          </w14:textFill>
        </w:rPr>
        <w:t>——综合实力增强。</w:t>
      </w:r>
      <w:r>
        <w:rPr>
          <w:rFonts w:hint="eastAsia" w:ascii="Times New Roman" w:hAnsi="Times New Roman" w:eastAsia="仿宋_GB2312"/>
          <w:bCs/>
          <w:color w:val="000000" w:themeColor="text1"/>
          <w:sz w:val="32"/>
          <w:szCs w:val="32"/>
          <w14:textFill>
            <w14:solidFill>
              <w14:schemeClr w14:val="tx1"/>
            </w14:solidFill>
          </w14:textFill>
        </w:rPr>
        <w:t>经济持续健康发展，力争地区生产总值年均增长6.0%以上。其中第一产业增加值年均增长5.0%以上，继续保持全市中上等水平；第二产业增加值年均增长10.0%以上，工业增加值年均增长10.0%以上，工业振兴取得明显成效；第三产业增加值年均增长6.0%以上。财政收入年均增长5.0%；社会消费品零售总额年均增长8.0%；居民人均可支配收入年均增长 7.0%以上；城镇登记失业率控制在4.5%以内，详见表2。</w:t>
      </w:r>
    </w:p>
    <w:p>
      <w:pPr>
        <w:pBdr>
          <w:top w:val="single" w:color="FFFFFF" w:sz="4" w:space="0"/>
          <w:left w:val="single" w:color="FFFFFF" w:sz="4" w:space="31"/>
          <w:bottom w:val="single" w:color="FFFFFF" w:sz="4" w:space="31"/>
          <w:right w:val="single" w:color="FFFFFF" w:sz="4" w:space="2"/>
        </w:pBdr>
        <w:spacing w:line="560" w:lineRule="exact"/>
        <w:ind w:firstLine="643"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b/>
          <w:bCs/>
          <w:color w:val="000000" w:themeColor="text1"/>
          <w:sz w:val="32"/>
          <w:szCs w:val="32"/>
          <w14:textFill>
            <w14:solidFill>
              <w14:schemeClr w14:val="tx1"/>
            </w14:solidFill>
          </w14:textFill>
        </w:rPr>
        <w:t>——产业结构优化。</w:t>
      </w:r>
      <w:r>
        <w:rPr>
          <w:rFonts w:hint="eastAsia" w:ascii="Times New Roman" w:hAnsi="Times New Roman" w:eastAsia="仿宋_GB2312"/>
          <w:bCs/>
          <w:color w:val="000000" w:themeColor="text1"/>
          <w:sz w:val="32"/>
          <w:szCs w:val="32"/>
          <w14:textFill>
            <w14:solidFill>
              <w14:schemeClr w14:val="tx1"/>
            </w14:solidFill>
          </w14:textFill>
        </w:rPr>
        <w:t>大力推进产业融合，</w:t>
      </w:r>
      <w:r>
        <w:rPr>
          <w:rFonts w:hint="eastAsia" w:ascii="Times New Roman" w:hAnsi="Times New Roman" w:eastAsia="仿宋_GB2312"/>
          <w:color w:val="000000" w:themeColor="text1"/>
          <w:sz w:val="32"/>
          <w:szCs w:val="32"/>
          <w14:textFill>
            <w14:solidFill>
              <w14:schemeClr w14:val="tx1"/>
            </w14:solidFill>
          </w14:textFill>
        </w:rPr>
        <w:t>优化产业结构，</w:t>
      </w:r>
      <w:r>
        <w:rPr>
          <w:rFonts w:hint="eastAsia" w:ascii="Times New Roman" w:hAnsi="Times New Roman" w:eastAsia="仿宋_GB2312"/>
          <w:bCs/>
          <w:color w:val="000000" w:themeColor="text1"/>
          <w:sz w:val="32"/>
          <w:szCs w:val="32"/>
          <w14:textFill>
            <w14:solidFill>
              <w14:schemeClr w14:val="tx1"/>
            </w14:solidFill>
          </w14:textFill>
        </w:rPr>
        <w:t>力争</w:t>
      </w:r>
      <w:r>
        <w:rPr>
          <w:rFonts w:hint="eastAsia" w:ascii="Times New Roman" w:hAnsi="Times New Roman" w:eastAsia="仿宋_GB2312"/>
          <w:color w:val="000000" w:themeColor="text1"/>
          <w:sz w:val="32"/>
          <w:szCs w:val="32"/>
          <w14:textFill>
            <w14:solidFill>
              <w14:schemeClr w14:val="tx1"/>
            </w14:solidFill>
          </w14:textFill>
        </w:rPr>
        <w:t>三次产业结构调整为19:28:53</w:t>
      </w:r>
      <w:r>
        <w:rPr>
          <w:rFonts w:hint="eastAsia" w:ascii="Times New Roman" w:hAnsi="Times New Roman" w:eastAsia="仿宋_GB2312"/>
          <w:bCs/>
          <w:color w:val="000000" w:themeColor="text1"/>
          <w:sz w:val="32"/>
          <w:szCs w:val="32"/>
          <w14:textFill>
            <w14:solidFill>
              <w14:schemeClr w14:val="tx1"/>
            </w14:solidFill>
          </w14:textFill>
        </w:rPr>
        <w:t>，</w:t>
      </w:r>
      <w:r>
        <w:rPr>
          <w:rFonts w:hint="eastAsia" w:ascii="Times New Roman" w:hAnsi="Times New Roman" w:eastAsia="仿宋_GB2312"/>
          <w:color w:val="000000" w:themeColor="text1"/>
          <w:sz w:val="32"/>
          <w:szCs w:val="32"/>
          <w14:textFill>
            <w14:solidFill>
              <w14:schemeClr w14:val="tx1"/>
            </w14:solidFill>
          </w14:textFill>
        </w:rPr>
        <w:t>基本实现特色工业县、有机精品特色农业县和全域旅游示范区。</w:t>
      </w:r>
      <w:r>
        <w:rPr>
          <w:rFonts w:hint="eastAsia" w:ascii="Times New Roman" w:hAnsi="Times New Roman" w:eastAsia="仿宋_GB2312"/>
          <w:b/>
          <w:bCs/>
          <w:color w:val="000000" w:themeColor="text1"/>
          <w:sz w:val="32"/>
          <w:szCs w:val="32"/>
          <w14:textFill>
            <w14:solidFill>
              <w14:schemeClr w14:val="tx1"/>
            </w14:solidFill>
          </w14:textFill>
        </w:rPr>
        <w:t>做优第一产业。</w:t>
      </w:r>
      <w:r>
        <w:rPr>
          <w:rFonts w:hint="eastAsia" w:ascii="Times New Roman" w:hAnsi="Times New Roman" w:eastAsia="仿宋_GB2312"/>
          <w:bCs/>
          <w:color w:val="000000" w:themeColor="text1"/>
          <w:sz w:val="32"/>
          <w:szCs w:val="32"/>
          <w14:textFill>
            <w14:solidFill>
              <w14:schemeClr w14:val="tx1"/>
            </w14:solidFill>
          </w14:textFill>
        </w:rPr>
        <w:t>推进农业现代化，</w:t>
      </w:r>
      <w:r>
        <w:rPr>
          <w:rFonts w:hint="eastAsia" w:ascii="Times New Roman" w:hAnsi="Times New Roman" w:eastAsia="仿宋_GB2312"/>
          <w:color w:val="000000" w:themeColor="text1"/>
          <w:sz w:val="32"/>
          <w:szCs w:val="32"/>
          <w14:textFill>
            <w14:solidFill>
              <w14:schemeClr w14:val="tx1"/>
            </w14:solidFill>
          </w14:textFill>
        </w:rPr>
        <w:t>在保障粮食生产安全的前提下，</w:t>
      </w:r>
      <w:r>
        <w:rPr>
          <w:rFonts w:hint="eastAsia" w:ascii="Times New Roman" w:hAnsi="Times New Roman" w:eastAsia="仿宋_GB2312"/>
          <w:bCs/>
          <w:color w:val="000000" w:themeColor="text1"/>
          <w:sz w:val="32"/>
          <w:szCs w:val="32"/>
          <w14:textFill>
            <w14:solidFill>
              <w14:schemeClr w14:val="tx1"/>
            </w14:solidFill>
          </w14:textFill>
        </w:rPr>
        <w:t>做大做强罗汉果、油茶优势农业，做精做特水产、畜牧、茶叶、水果、蔬菜、中药材等特色产业，</w:t>
      </w:r>
      <w:r>
        <w:rPr>
          <w:rFonts w:hint="eastAsia" w:ascii="Times New Roman" w:hAnsi="Times New Roman" w:eastAsia="仿宋_GB2312"/>
          <w:color w:val="000000" w:themeColor="text1"/>
          <w:sz w:val="32"/>
          <w:szCs w:val="32"/>
          <w14:textFill>
            <w14:solidFill>
              <w14:schemeClr w14:val="tx1"/>
            </w14:solidFill>
          </w14:textFill>
        </w:rPr>
        <w:t>创建“中国特优罗汉果核心示范区，</w:t>
      </w:r>
      <w:r>
        <w:rPr>
          <w:rFonts w:hint="eastAsia" w:ascii="Times New Roman" w:hAnsi="Times New Roman" w:eastAsia="仿宋_GB2312"/>
          <w:bCs/>
          <w:color w:val="000000" w:themeColor="text1"/>
          <w:sz w:val="32"/>
          <w:szCs w:val="32"/>
          <w14:textFill>
            <w14:solidFill>
              <w14:schemeClr w14:val="tx1"/>
            </w14:solidFill>
          </w14:textFill>
        </w:rPr>
        <w:t>全面提升“两茶两果+特色养殖”产业水平</w:t>
      </w:r>
      <w:r>
        <w:rPr>
          <w:rFonts w:hint="eastAsia" w:ascii="Times New Roman" w:hAnsi="Times New Roman" w:eastAsia="仿宋_GB2312"/>
          <w:color w:val="000000" w:themeColor="text1"/>
          <w:sz w:val="32"/>
          <w:szCs w:val="32"/>
          <w14:textFill>
            <w14:solidFill>
              <w14:schemeClr w14:val="tx1"/>
            </w14:solidFill>
          </w14:textFill>
        </w:rPr>
        <w:t>。</w:t>
      </w:r>
      <w:r>
        <w:rPr>
          <w:rFonts w:hint="eastAsia" w:ascii="Times New Roman" w:hAnsi="Times New Roman" w:eastAsia="仿宋_GB2312"/>
          <w:b/>
          <w:bCs/>
          <w:color w:val="000000" w:themeColor="text1"/>
          <w:sz w:val="32"/>
          <w:szCs w:val="32"/>
          <w14:textFill>
            <w14:solidFill>
              <w14:schemeClr w14:val="tx1"/>
            </w14:solidFill>
          </w14:textFill>
        </w:rPr>
        <w:t>做强第二产业。</w:t>
      </w:r>
      <w:r>
        <w:rPr>
          <w:rFonts w:hint="eastAsia" w:ascii="Times New Roman" w:hAnsi="Times New Roman" w:eastAsia="仿宋_GB2312"/>
          <w:color w:val="000000" w:themeColor="text1"/>
          <w:sz w:val="32"/>
          <w:szCs w:val="32"/>
          <w14:textFill>
            <w14:solidFill>
              <w14:schemeClr w14:val="tx1"/>
            </w14:solidFill>
          </w14:textFill>
        </w:rPr>
        <w:t>按照“强龙头、补链条、聚集群”的发展要求，着力打造一批上规模特色产业集群和产业带，</w:t>
      </w:r>
      <w:r>
        <w:rPr>
          <w:rFonts w:hint="eastAsia" w:ascii="Times New Roman" w:hAnsi="Times New Roman" w:eastAsia="仿宋_GB2312"/>
          <w:bCs/>
          <w:color w:val="000000" w:themeColor="text1"/>
          <w:sz w:val="32"/>
          <w:szCs w:val="32"/>
          <w14:textFill>
            <w14:solidFill>
              <w14:schemeClr w14:val="tx1"/>
            </w14:solidFill>
          </w14:textFill>
        </w:rPr>
        <w:t>发展滑石、鸡血玉、辉绿岩、花岗岩等矿石产业，优化水电产业，积极推进竹木加工业、饮用水产业、风电产业、生态食品加工业发展，积极打造世界滑石之都、中国红玉之乡、桂林清洁能源基地</w:t>
      </w:r>
      <w:r>
        <w:rPr>
          <w:rFonts w:hint="eastAsia" w:ascii="Times New Roman" w:hAnsi="Times New Roman" w:eastAsia="仿宋_GB2312"/>
          <w:color w:val="000000" w:themeColor="text1"/>
          <w:sz w:val="32"/>
          <w:szCs w:val="32"/>
          <w14:textFill>
            <w14:solidFill>
              <w14:schemeClr w14:val="tx1"/>
            </w14:solidFill>
          </w14:textFill>
        </w:rPr>
        <w:t>。推进建筑业健康发展，推动制造业与服务业及信息化、智能化深度融合，推进信息化信息基础设施建设，大力发展数字经济，推动龙胜工业振兴发展。</w:t>
      </w:r>
      <w:r>
        <w:rPr>
          <w:rFonts w:hint="eastAsia" w:ascii="Times New Roman" w:hAnsi="Times New Roman" w:eastAsia="仿宋_GB2312"/>
          <w:b/>
          <w:bCs/>
          <w:color w:val="000000" w:themeColor="text1"/>
          <w:sz w:val="32"/>
          <w:szCs w:val="32"/>
          <w14:textFill>
            <w14:solidFill>
              <w14:schemeClr w14:val="tx1"/>
            </w14:solidFill>
          </w14:textFill>
        </w:rPr>
        <w:t>做大第三产业。</w:t>
      </w:r>
      <w:r>
        <w:rPr>
          <w:rFonts w:hint="eastAsia" w:ascii="Times New Roman" w:hAnsi="Times New Roman" w:eastAsia="仿宋_GB2312"/>
          <w:bCs/>
          <w:color w:val="000000" w:themeColor="text1"/>
          <w:sz w:val="32"/>
          <w:szCs w:val="32"/>
          <w14:textFill>
            <w14:solidFill>
              <w14:schemeClr w14:val="tx1"/>
            </w14:solidFill>
          </w14:textFill>
        </w:rPr>
        <w:t>加快发展全域旅游、现代物流、现代金融、电子商务、大型商贸、健康养老、文化创意等生产生活性服务业，提升服务业比重，打造全域旅游示范区、国际旅游目的地和旅游康养示范基地、物流集散地。</w:t>
      </w:r>
    </w:p>
    <w:p>
      <w:pPr>
        <w:pBdr>
          <w:top w:val="single" w:color="FFFFFF" w:sz="4" w:space="0"/>
          <w:left w:val="single" w:color="FFFFFF" w:sz="4" w:space="31"/>
          <w:bottom w:val="single" w:color="FFFFFF" w:sz="4" w:space="31"/>
          <w:right w:val="single" w:color="FFFFFF" w:sz="4" w:space="2"/>
        </w:pBdr>
        <w:spacing w:line="560" w:lineRule="exact"/>
        <w:ind w:firstLine="643" w:firstLineChars="200"/>
        <w:rPr>
          <w:rFonts w:ascii="Times New Roman" w:hAnsi="Times New Roman" w:eastAsia="仿宋_GB2312"/>
          <w:b/>
          <w:bCs/>
          <w:color w:val="000000" w:themeColor="text1"/>
          <w:sz w:val="32"/>
          <w:szCs w:val="32"/>
          <w14:textFill>
            <w14:solidFill>
              <w14:schemeClr w14:val="tx1"/>
            </w14:solidFill>
          </w14:textFill>
        </w:rPr>
      </w:pPr>
      <w:r>
        <w:rPr>
          <w:rFonts w:hint="eastAsia" w:ascii="Times New Roman" w:hAnsi="Times New Roman" w:eastAsia="仿宋_GB2312"/>
          <w:b/>
          <w:bCs/>
          <w:color w:val="000000" w:themeColor="text1"/>
          <w:sz w:val="32"/>
          <w:szCs w:val="32"/>
          <w14:textFill>
            <w14:solidFill>
              <w14:schemeClr w14:val="tx1"/>
            </w14:solidFill>
          </w14:textFill>
        </w:rPr>
        <w:t>——城乡融合发展。</w:t>
      </w:r>
      <w:r>
        <w:rPr>
          <w:rFonts w:hint="eastAsia" w:ascii="Times New Roman" w:hAnsi="Times New Roman" w:eastAsia="仿宋_GB2312"/>
          <w:bCs/>
          <w:color w:val="000000" w:themeColor="text1"/>
          <w:sz w:val="32"/>
          <w:szCs w:val="32"/>
          <w14:textFill>
            <w14:solidFill>
              <w14:schemeClr w14:val="tx1"/>
            </w14:solidFill>
          </w14:textFill>
        </w:rPr>
        <w:t>大力推进乡村振兴，全面提升乡村风貌，切实改善人居环境，谋划推进一批“两新一重”建设项目，全面提升城乡公共设施和服务能力。推进以人为本的新型城镇化示范乡镇建设，打造县城4A景区，接续推进新型城镇化建设，支持乡镇走特色差异化发展道路，培育形成特色鲜明的工业重镇、农业强镇、文旅名镇、生态美镇、红色亮镇。力争到2025年，城乡一体发展格局基本形成，全县城镇化率达到40%以上。</w:t>
      </w:r>
    </w:p>
    <w:p>
      <w:pPr>
        <w:pBdr>
          <w:top w:val="single" w:color="FFFFFF" w:sz="4" w:space="0"/>
          <w:left w:val="single" w:color="FFFFFF" w:sz="4" w:space="31"/>
          <w:bottom w:val="single" w:color="FFFFFF" w:sz="4" w:space="31"/>
          <w:right w:val="single" w:color="FFFFFF" w:sz="4" w:space="2"/>
        </w:pBdr>
        <w:spacing w:line="560" w:lineRule="exact"/>
        <w:ind w:firstLine="643"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b/>
          <w:bCs/>
          <w:color w:val="000000" w:themeColor="text1"/>
          <w:sz w:val="32"/>
          <w:szCs w:val="32"/>
          <w14:textFill>
            <w14:solidFill>
              <w14:schemeClr w14:val="tx1"/>
            </w14:solidFill>
          </w14:textFill>
        </w:rPr>
        <w:t>——基础设施完善。</w:t>
      </w:r>
      <w:r>
        <w:rPr>
          <w:rFonts w:hint="eastAsia" w:ascii="Times New Roman" w:hAnsi="Times New Roman" w:eastAsia="仿宋_GB2312"/>
          <w:color w:val="000000" w:themeColor="text1"/>
          <w:sz w:val="32"/>
          <w:szCs w:val="32"/>
          <w14:textFill>
            <w14:solidFill>
              <w14:schemeClr w14:val="tx1"/>
            </w14:solidFill>
          </w14:textFill>
        </w:rPr>
        <w:t>力争张吉怀高铁南延至桂林（桂怀高铁）经龙胜县过境并设站，重点抓好龙胜—峒中口岸高速公路（马堤芙蓉至县城段）、龙胜—峒中口岸高速公路（龙胜至融安段）、灌阳—湖南通道高速公路（江底至平等段）等重大交通项目建设；发展城市公共交通事业，提升城乡干线通达能力；推进“四好农村路”建设。做好水源地保护、水土流失综合治理、农村饮水安全、中小河流治理等建设，补齐水利设施短板。推进人工智能、物联网、大数据中心、新能源汽车充电桩等新型基础设施建设。加快环境卫生、市政、公共服务、产业配套等生活基础设施提质增效。</w:t>
      </w:r>
    </w:p>
    <w:p>
      <w:pPr>
        <w:pBdr>
          <w:top w:val="single" w:color="FFFFFF" w:sz="4" w:space="0"/>
          <w:left w:val="single" w:color="FFFFFF" w:sz="4" w:space="31"/>
          <w:bottom w:val="single" w:color="FFFFFF" w:sz="4" w:space="31"/>
          <w:right w:val="single" w:color="FFFFFF" w:sz="4" w:space="2"/>
        </w:pBdr>
        <w:spacing w:line="560" w:lineRule="exact"/>
        <w:ind w:firstLine="643"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b/>
          <w:bCs/>
          <w:color w:val="000000" w:themeColor="text1"/>
          <w:sz w:val="32"/>
          <w:szCs w:val="32"/>
          <w14:textFill>
            <w14:solidFill>
              <w14:schemeClr w14:val="tx1"/>
            </w14:solidFill>
          </w14:textFill>
        </w:rPr>
        <w:t>——改革开放深入。</w:t>
      </w:r>
      <w:r>
        <w:rPr>
          <w:rFonts w:hint="eastAsia" w:ascii="Times New Roman" w:hAnsi="Times New Roman" w:eastAsia="仿宋_GB2312"/>
          <w:color w:val="000000" w:themeColor="text1"/>
          <w:sz w:val="32"/>
          <w:szCs w:val="32"/>
          <w14:textFill>
            <w14:solidFill>
              <w14:schemeClr w14:val="tx1"/>
            </w14:solidFill>
          </w14:textFill>
        </w:rPr>
        <w:t>以深化改革为动力，打造良好的营商环境。持续推进农业农村、金融体制、国有企业等系列改革。积极参与国内大循环，深度融入国内国际双循环，主动对接中国—东盟自由贸易区和粤港澳大湾区，深化与台港澳、长三角、珠三角等区域经贸互动合作，在建链、延链、补链上找机遇促发展，加快搭建对外经贸合作平台，构建开放合作新格局。</w:t>
      </w:r>
    </w:p>
    <w:p>
      <w:pPr>
        <w:pBdr>
          <w:top w:val="single" w:color="FFFFFF" w:sz="4" w:space="0"/>
          <w:left w:val="single" w:color="FFFFFF" w:sz="4" w:space="31"/>
          <w:bottom w:val="single" w:color="FFFFFF" w:sz="4" w:space="31"/>
          <w:right w:val="single" w:color="FFFFFF" w:sz="4" w:space="2"/>
        </w:pBdr>
        <w:spacing w:line="560" w:lineRule="exact"/>
        <w:ind w:firstLine="643"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b/>
          <w:bCs/>
          <w:color w:val="000000" w:themeColor="text1"/>
          <w:sz w:val="32"/>
          <w:szCs w:val="32"/>
          <w14:textFill>
            <w14:solidFill>
              <w14:schemeClr w14:val="tx1"/>
            </w14:solidFill>
          </w14:textFill>
        </w:rPr>
        <w:t>——生态环境优美。</w:t>
      </w:r>
      <w:r>
        <w:rPr>
          <w:rFonts w:hint="eastAsia" w:ascii="Times New Roman" w:hAnsi="Times New Roman" w:eastAsia="仿宋_GB2312"/>
          <w:color w:val="000000" w:themeColor="text1"/>
          <w:sz w:val="32"/>
          <w:szCs w:val="32"/>
          <w14:textFill>
            <w14:solidFill>
              <w14:schemeClr w14:val="tx1"/>
            </w14:solidFill>
          </w14:textFill>
        </w:rPr>
        <w:t>坚持“绿水青山就是金山银山”理念，强化国土空间规划和用途管控，严格落实“三线一单”限制形成可复制推广的“两山”发展新模式。持续推动大气、水、土壤污染防治，突出工业源、农业源、生活源等污染治理，森林覆盖率达到82%以上，空气质量优良天数比率达标，Ⅲ类水体比例保持100%，土壤环境质量总体稳定。加快生产生活方式绿色转型，建成生态宜居宜业宜游宜养胜地。</w:t>
      </w:r>
    </w:p>
    <w:p>
      <w:pPr>
        <w:pBdr>
          <w:top w:val="single" w:color="FFFFFF" w:sz="4" w:space="0"/>
          <w:left w:val="single" w:color="FFFFFF" w:sz="4" w:space="31"/>
          <w:bottom w:val="single" w:color="FFFFFF" w:sz="4" w:space="31"/>
          <w:right w:val="single" w:color="FFFFFF" w:sz="4" w:space="2"/>
        </w:pBdr>
        <w:spacing w:line="560" w:lineRule="exact"/>
        <w:ind w:firstLine="643" w:firstLineChars="200"/>
        <w:rPr>
          <w:rFonts w:ascii="Times New Roman" w:hAnsi="Times New Roman" w:eastAsia="仿宋_GB2312"/>
          <w:bCs/>
          <w:color w:val="000000" w:themeColor="text1"/>
          <w:sz w:val="32"/>
          <w:szCs w:val="32"/>
          <w14:textFill>
            <w14:solidFill>
              <w14:schemeClr w14:val="tx1"/>
            </w14:solidFill>
          </w14:textFill>
        </w:rPr>
      </w:pPr>
      <w:r>
        <w:rPr>
          <w:rFonts w:hint="eastAsia" w:ascii="Times New Roman" w:hAnsi="Times New Roman" w:eastAsia="仿宋_GB2312"/>
          <w:b/>
          <w:bCs/>
          <w:color w:val="000000" w:themeColor="text1"/>
          <w:sz w:val="32"/>
          <w:szCs w:val="32"/>
          <w14:textFill>
            <w14:solidFill>
              <w14:schemeClr w14:val="tx1"/>
            </w14:solidFill>
          </w14:textFill>
        </w:rPr>
        <w:t>——社会治理健全。</w:t>
      </w:r>
      <w:r>
        <w:rPr>
          <w:rFonts w:hint="eastAsia" w:ascii="Times New Roman" w:hAnsi="Times New Roman" w:eastAsia="仿宋_GB2312"/>
          <w:bCs/>
          <w:color w:val="000000" w:themeColor="text1"/>
          <w:sz w:val="32"/>
          <w:szCs w:val="32"/>
          <w14:textFill>
            <w14:solidFill>
              <w14:schemeClr w14:val="tx1"/>
            </w14:solidFill>
          </w14:textFill>
        </w:rPr>
        <w:t>法治龙胜</w:t>
      </w:r>
      <w:r>
        <w:rPr>
          <w:rFonts w:hint="eastAsia" w:ascii="Times New Roman" w:hAnsi="Times New Roman" w:eastAsia="仿宋_GB2312"/>
          <w:bCs/>
          <w:color w:val="000000" w:themeColor="text1"/>
          <w:kern w:val="0"/>
          <w:sz w:val="32"/>
          <w:szCs w:val="32"/>
          <w14:textFill>
            <w14:solidFill>
              <w14:schemeClr w14:val="tx1"/>
            </w14:solidFill>
          </w14:textFill>
        </w:rPr>
        <w:t>建设深入推进，民主法治更加健全，社会公平正义更加彰显，政府职能转变成效明显，行政效率和公信力显著提升，基层社会治理水平明显提高，突发公共事件应急能力显著增强。</w:t>
      </w:r>
      <w:r>
        <w:rPr>
          <w:rFonts w:hint="eastAsia" w:ascii="Times New Roman" w:hAnsi="Times New Roman" w:eastAsia="仿宋_GB2312"/>
          <w:bCs/>
          <w:color w:val="000000" w:themeColor="text1"/>
          <w:sz w:val="32"/>
          <w:szCs w:val="32"/>
          <w14:textFill>
            <w14:solidFill>
              <w14:schemeClr w14:val="tx1"/>
            </w14:solidFill>
          </w14:textFill>
        </w:rPr>
        <w:t>加快推动县域社会治理现代化，提升公共安全保障能力，建成更高水平的平安龙胜。</w:t>
      </w:r>
    </w:p>
    <w:p>
      <w:pPr>
        <w:pBdr>
          <w:top w:val="single" w:color="FFFFFF" w:sz="4" w:space="0"/>
          <w:left w:val="single" w:color="FFFFFF" w:sz="4" w:space="31"/>
          <w:bottom w:val="single" w:color="FFFFFF" w:sz="4" w:space="31"/>
          <w:right w:val="single" w:color="FFFFFF" w:sz="4" w:space="2"/>
        </w:pBdr>
        <w:spacing w:line="560" w:lineRule="exact"/>
        <w:ind w:firstLine="643" w:firstLineChars="200"/>
        <w:rPr>
          <w:rFonts w:ascii="Times New Roman" w:hAnsi="Times New Roman" w:eastAsia="仿宋_GB2312"/>
          <w:bCs/>
          <w:color w:val="000000" w:themeColor="text1"/>
          <w:sz w:val="32"/>
          <w:szCs w:val="32"/>
          <w14:textFill>
            <w14:solidFill>
              <w14:schemeClr w14:val="tx1"/>
            </w14:solidFill>
          </w14:textFill>
        </w:rPr>
      </w:pPr>
      <w:r>
        <w:rPr>
          <w:rFonts w:hint="eastAsia" w:ascii="Times New Roman" w:hAnsi="Times New Roman" w:eastAsia="仿宋_GB2312"/>
          <w:b/>
          <w:bCs/>
          <w:color w:val="000000" w:themeColor="text1"/>
          <w:sz w:val="32"/>
          <w:szCs w:val="32"/>
          <w14:textFill>
            <w14:solidFill>
              <w14:schemeClr w14:val="tx1"/>
            </w14:solidFill>
          </w14:textFill>
        </w:rPr>
        <w:t>——人民生活幸福。</w:t>
      </w:r>
      <w:r>
        <w:rPr>
          <w:rFonts w:hint="eastAsia" w:ascii="Times New Roman" w:hAnsi="Times New Roman" w:eastAsia="仿宋_GB2312"/>
          <w:bCs/>
          <w:color w:val="000000" w:themeColor="text1"/>
          <w:sz w:val="32"/>
          <w:szCs w:val="32"/>
          <w14:textFill>
            <w14:solidFill>
              <w14:schemeClr w14:val="tx1"/>
            </w14:solidFill>
          </w14:textFill>
        </w:rPr>
        <w:t>以人民对美好生活的向往为目标，将更多的人力、物力、财力投向民生领域。加快补齐教育、养老、卫生健康、城乡基础设施等领域民生短板，实现城乡基本公共服务均等化。实施新一轮居民增收行动计划，</w:t>
      </w:r>
      <w:r>
        <w:rPr>
          <w:rFonts w:hint="eastAsia" w:ascii="Times New Roman" w:hAnsi="Times New Roman" w:eastAsia="仿宋_GB2312"/>
          <w:color w:val="000000" w:themeColor="text1"/>
          <w:sz w:val="32"/>
          <w:szCs w:val="32"/>
          <w14:textFill>
            <w14:solidFill>
              <w14:schemeClr w14:val="tx1"/>
            </w14:solidFill>
          </w14:textFill>
        </w:rPr>
        <w:t>居民人均可支配收入年均增长7.0%以上，城乡居民收入差距进一步缩小。教育现代化取得重要进展，九年义务教育巩固率达到98%以上。</w:t>
      </w:r>
      <w:r>
        <w:rPr>
          <w:rFonts w:hint="eastAsia" w:ascii="Times New Roman" w:hAnsi="Times New Roman" w:eastAsia="仿宋_GB2312"/>
          <w:bCs/>
          <w:color w:val="000000" w:themeColor="text1"/>
          <w:sz w:val="32"/>
          <w:szCs w:val="32"/>
          <w14:textFill>
            <w14:solidFill>
              <w14:schemeClr w14:val="tx1"/>
            </w14:solidFill>
          </w14:textFill>
        </w:rPr>
        <w:t>推动文化繁荣兴盛，打造独具魅力的文化强县。</w:t>
      </w:r>
      <w:r>
        <w:rPr>
          <w:rFonts w:hint="eastAsia" w:ascii="Times New Roman" w:hAnsi="Times New Roman" w:eastAsia="仿宋_GB2312"/>
          <w:color w:val="000000" w:themeColor="text1"/>
          <w:sz w:val="32"/>
          <w:szCs w:val="32"/>
          <w14:textFill>
            <w14:solidFill>
              <w14:schemeClr w14:val="tx1"/>
            </w14:solidFill>
          </w14:textFill>
        </w:rPr>
        <w:t>医疗卫生健康服务供给能力和服务质量增强，人均预期寿命提高到79.5岁。全力</w:t>
      </w:r>
      <w:r>
        <w:rPr>
          <w:rFonts w:hint="eastAsia" w:ascii="Times New Roman" w:hAnsi="Times New Roman" w:eastAsia="仿宋_GB2312"/>
          <w:bCs/>
          <w:color w:val="000000" w:themeColor="text1"/>
          <w:sz w:val="32"/>
          <w:szCs w:val="32"/>
          <w14:textFill>
            <w14:solidFill>
              <w14:schemeClr w14:val="tx1"/>
            </w14:solidFill>
          </w14:textFill>
        </w:rPr>
        <w:t>做好稳就业工作，</w:t>
      </w:r>
      <w:r>
        <w:rPr>
          <w:rFonts w:hint="eastAsia" w:ascii="Times New Roman" w:hAnsi="Times New Roman" w:eastAsia="仿宋_GB2312"/>
          <w:color w:val="000000" w:themeColor="text1"/>
          <w:sz w:val="32"/>
          <w:szCs w:val="32"/>
          <w14:textFill>
            <w14:solidFill>
              <w14:schemeClr w14:val="tx1"/>
            </w14:solidFill>
          </w14:textFill>
        </w:rPr>
        <w:t>社会保障体系不断完善，人民群众获得感、幸福感显著提升。</w:t>
      </w:r>
    </w:p>
    <w:p>
      <w:pPr>
        <w:rPr>
          <w:rFonts w:ascii="Times New Roman" w:hAnsi="Times New Roman" w:eastAsia="方正黑体_GBK"/>
          <w:bCs/>
          <w:color w:val="000000" w:themeColor="text1"/>
          <w:sz w:val="28"/>
          <w:szCs w:val="28"/>
          <w14:textFill>
            <w14:solidFill>
              <w14:schemeClr w14:val="tx1"/>
            </w14:solidFill>
          </w14:textFill>
        </w:rPr>
      </w:pPr>
      <w:bookmarkStart w:id="80" w:name="_Toc23309"/>
      <w:bookmarkStart w:id="81" w:name="_Toc6501"/>
      <w:bookmarkStart w:id="82" w:name="_Toc20599"/>
      <w:bookmarkStart w:id="83" w:name="_Toc11504"/>
      <w:bookmarkStart w:id="84" w:name="_Toc10851"/>
      <w:r>
        <w:rPr>
          <w:rFonts w:hint="eastAsia" w:ascii="Times New Roman" w:hAnsi="Times New Roman" w:eastAsia="方正黑体_GBK"/>
          <w:bCs/>
          <w:color w:val="000000" w:themeColor="text1"/>
          <w:sz w:val="28"/>
          <w:szCs w:val="28"/>
          <w14:textFill>
            <w14:solidFill>
              <w14:schemeClr w14:val="tx1"/>
            </w14:solidFill>
          </w14:textFill>
        </w:rPr>
        <w:br w:type="page"/>
      </w:r>
    </w:p>
    <w:p>
      <w:pPr>
        <w:spacing w:after="156" w:afterLines="50" w:line="560" w:lineRule="exact"/>
        <w:jc w:val="center"/>
        <w:rPr>
          <w:rFonts w:ascii="Times New Roman" w:hAnsi="Times New Roman" w:eastAsia="黑体"/>
          <w:bCs/>
          <w:color w:val="000000" w:themeColor="text1"/>
          <w:sz w:val="32"/>
          <w:szCs w:val="32"/>
          <w14:textFill>
            <w14:solidFill>
              <w14:schemeClr w14:val="tx1"/>
            </w14:solidFill>
          </w14:textFill>
        </w:rPr>
      </w:pPr>
      <w:r>
        <w:rPr>
          <w:rFonts w:hint="eastAsia" w:ascii="Times New Roman" w:hAnsi="Times New Roman" w:eastAsia="黑体"/>
          <w:bCs/>
          <w:color w:val="000000" w:themeColor="text1"/>
          <w:sz w:val="32"/>
          <w:szCs w:val="32"/>
          <w14:textFill>
            <w14:solidFill>
              <w14:schemeClr w14:val="tx1"/>
            </w14:solidFill>
          </w14:textFill>
        </w:rPr>
        <w:t>表2  “十四五”经济社会发展主要指标表</w:t>
      </w:r>
    </w:p>
    <w:tbl>
      <w:tblPr>
        <w:tblStyle w:val="22"/>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3"/>
        <w:gridCol w:w="728"/>
        <w:gridCol w:w="3644"/>
        <w:gridCol w:w="1001"/>
        <w:gridCol w:w="1111"/>
        <w:gridCol w:w="1341"/>
        <w:gridCol w:w="10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blHeader/>
          <w:jc w:val="center"/>
        </w:trPr>
        <w:tc>
          <w:tcPr>
            <w:tcW w:w="483" w:type="dxa"/>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序号</w:t>
            </w:r>
          </w:p>
        </w:tc>
        <w:tc>
          <w:tcPr>
            <w:tcW w:w="4372" w:type="dxa"/>
            <w:gridSpan w:val="2"/>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指标</w:t>
            </w:r>
          </w:p>
        </w:tc>
        <w:tc>
          <w:tcPr>
            <w:tcW w:w="1001" w:type="dxa"/>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2020年</w:t>
            </w:r>
          </w:p>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完成情况</w:t>
            </w:r>
          </w:p>
        </w:tc>
        <w:tc>
          <w:tcPr>
            <w:tcW w:w="1111" w:type="dxa"/>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2025年目标</w:t>
            </w:r>
          </w:p>
        </w:tc>
        <w:tc>
          <w:tcPr>
            <w:tcW w:w="1341" w:type="dxa"/>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年均增长/五年累计（%）</w:t>
            </w:r>
          </w:p>
        </w:tc>
        <w:tc>
          <w:tcPr>
            <w:tcW w:w="1048" w:type="dxa"/>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9356" w:type="dxa"/>
            <w:gridSpan w:val="7"/>
            <w:vAlign w:val="center"/>
          </w:tcPr>
          <w:p>
            <w:pPr>
              <w:adjustRightInd w:val="0"/>
              <w:snapToGrid w:val="0"/>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
                <w:color w:val="000000" w:themeColor="text1"/>
                <w:sz w:val="24"/>
                <w14:textFill>
                  <w14:solidFill>
                    <w14:schemeClr w14:val="tx1"/>
                  </w14:solidFill>
                </w14:textFill>
              </w:rPr>
              <w:t>一、经济发展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483" w:type="dxa"/>
            <w:vAlign w:val="center"/>
          </w:tcPr>
          <w:p>
            <w:pPr>
              <w:adjustRightInd w:val="0"/>
              <w:snapToGrid w:val="0"/>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1</w:t>
            </w:r>
          </w:p>
        </w:tc>
        <w:tc>
          <w:tcPr>
            <w:tcW w:w="4372" w:type="dxa"/>
            <w:gridSpan w:val="2"/>
            <w:vAlign w:val="center"/>
          </w:tcPr>
          <w:p>
            <w:pPr>
              <w:adjustRightInd w:val="0"/>
              <w:snapToGrid w:val="0"/>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地区生产总值（%）</w:t>
            </w:r>
          </w:p>
        </w:tc>
        <w:tc>
          <w:tcPr>
            <w:tcW w:w="1001" w:type="dxa"/>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2.5</w:t>
            </w:r>
          </w:p>
        </w:tc>
        <w:tc>
          <w:tcPr>
            <w:tcW w:w="1111" w:type="dxa"/>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w:t>
            </w:r>
          </w:p>
        </w:tc>
        <w:tc>
          <w:tcPr>
            <w:tcW w:w="1341" w:type="dxa"/>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6.0</w:t>
            </w:r>
          </w:p>
        </w:tc>
        <w:tc>
          <w:tcPr>
            <w:tcW w:w="1048" w:type="dxa"/>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483" w:type="dxa"/>
            <w:vAlign w:val="center"/>
          </w:tcPr>
          <w:p>
            <w:pPr>
              <w:adjustRightInd w:val="0"/>
              <w:snapToGrid w:val="0"/>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2</w:t>
            </w:r>
          </w:p>
        </w:tc>
        <w:tc>
          <w:tcPr>
            <w:tcW w:w="4372" w:type="dxa"/>
            <w:gridSpan w:val="2"/>
            <w:vAlign w:val="center"/>
          </w:tcPr>
          <w:p>
            <w:pPr>
              <w:adjustRightInd w:val="0"/>
              <w:snapToGrid w:val="0"/>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人均地区生产总值（%）</w:t>
            </w:r>
          </w:p>
        </w:tc>
        <w:tc>
          <w:tcPr>
            <w:tcW w:w="1001" w:type="dxa"/>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2.6</w:t>
            </w:r>
          </w:p>
        </w:tc>
        <w:tc>
          <w:tcPr>
            <w:tcW w:w="1111" w:type="dxa"/>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w:t>
            </w:r>
          </w:p>
        </w:tc>
        <w:tc>
          <w:tcPr>
            <w:tcW w:w="1341" w:type="dxa"/>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5.3</w:t>
            </w:r>
          </w:p>
        </w:tc>
        <w:tc>
          <w:tcPr>
            <w:tcW w:w="1048" w:type="dxa"/>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83" w:type="dxa"/>
            <w:vAlign w:val="center"/>
          </w:tcPr>
          <w:p>
            <w:pPr>
              <w:adjustRightInd w:val="0"/>
              <w:snapToGrid w:val="0"/>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3</w:t>
            </w:r>
          </w:p>
        </w:tc>
        <w:tc>
          <w:tcPr>
            <w:tcW w:w="4372" w:type="dxa"/>
            <w:gridSpan w:val="2"/>
            <w:vAlign w:val="center"/>
          </w:tcPr>
          <w:p>
            <w:pPr>
              <w:adjustRightInd w:val="0"/>
              <w:snapToGrid w:val="0"/>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财政收入（亿元）</w:t>
            </w:r>
          </w:p>
        </w:tc>
        <w:tc>
          <w:tcPr>
            <w:tcW w:w="1001" w:type="dxa"/>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3.93</w:t>
            </w:r>
          </w:p>
        </w:tc>
        <w:tc>
          <w:tcPr>
            <w:tcW w:w="1111" w:type="dxa"/>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5.02</w:t>
            </w:r>
          </w:p>
        </w:tc>
        <w:tc>
          <w:tcPr>
            <w:tcW w:w="1341" w:type="dxa"/>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5.0</w:t>
            </w:r>
          </w:p>
        </w:tc>
        <w:tc>
          <w:tcPr>
            <w:tcW w:w="1048" w:type="dxa"/>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483" w:type="dxa"/>
            <w:vAlign w:val="center"/>
          </w:tcPr>
          <w:p>
            <w:pPr>
              <w:adjustRightInd w:val="0"/>
              <w:snapToGrid w:val="0"/>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4</w:t>
            </w:r>
          </w:p>
        </w:tc>
        <w:tc>
          <w:tcPr>
            <w:tcW w:w="4372" w:type="dxa"/>
            <w:gridSpan w:val="2"/>
            <w:vAlign w:val="center"/>
          </w:tcPr>
          <w:p>
            <w:pPr>
              <w:adjustRightInd w:val="0"/>
              <w:snapToGrid w:val="0"/>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社会消费品零售总额（亿元）</w:t>
            </w:r>
          </w:p>
        </w:tc>
        <w:tc>
          <w:tcPr>
            <w:tcW w:w="1001" w:type="dxa"/>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12.59</w:t>
            </w:r>
          </w:p>
        </w:tc>
        <w:tc>
          <w:tcPr>
            <w:tcW w:w="1111" w:type="dxa"/>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18.5</w:t>
            </w:r>
          </w:p>
        </w:tc>
        <w:tc>
          <w:tcPr>
            <w:tcW w:w="1341" w:type="dxa"/>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8.0</w:t>
            </w:r>
          </w:p>
        </w:tc>
        <w:tc>
          <w:tcPr>
            <w:tcW w:w="1048" w:type="dxa"/>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483" w:type="dxa"/>
            <w:vAlign w:val="center"/>
          </w:tcPr>
          <w:p>
            <w:pPr>
              <w:adjustRightInd w:val="0"/>
              <w:snapToGrid w:val="0"/>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5</w:t>
            </w:r>
          </w:p>
        </w:tc>
        <w:tc>
          <w:tcPr>
            <w:tcW w:w="4372" w:type="dxa"/>
            <w:gridSpan w:val="2"/>
            <w:vAlign w:val="center"/>
          </w:tcPr>
          <w:p>
            <w:pPr>
              <w:adjustRightInd w:val="0"/>
              <w:snapToGrid w:val="0"/>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工业增加值（亿元）</w:t>
            </w:r>
          </w:p>
        </w:tc>
        <w:tc>
          <w:tcPr>
            <w:tcW w:w="1001" w:type="dxa"/>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8.10</w:t>
            </w:r>
          </w:p>
        </w:tc>
        <w:tc>
          <w:tcPr>
            <w:tcW w:w="1111" w:type="dxa"/>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13.05</w:t>
            </w:r>
          </w:p>
        </w:tc>
        <w:tc>
          <w:tcPr>
            <w:tcW w:w="1341" w:type="dxa"/>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10.0</w:t>
            </w:r>
          </w:p>
        </w:tc>
        <w:tc>
          <w:tcPr>
            <w:tcW w:w="1048" w:type="dxa"/>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483" w:type="dxa"/>
            <w:vAlign w:val="center"/>
          </w:tcPr>
          <w:p>
            <w:pPr>
              <w:adjustRightInd w:val="0"/>
              <w:snapToGrid w:val="0"/>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6</w:t>
            </w:r>
          </w:p>
        </w:tc>
        <w:tc>
          <w:tcPr>
            <w:tcW w:w="4372" w:type="dxa"/>
            <w:gridSpan w:val="2"/>
            <w:vAlign w:val="center"/>
          </w:tcPr>
          <w:p>
            <w:pPr>
              <w:adjustRightInd w:val="0"/>
              <w:snapToGrid w:val="0"/>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旅游总消费（亿元）</w:t>
            </w:r>
          </w:p>
        </w:tc>
        <w:tc>
          <w:tcPr>
            <w:tcW w:w="1001" w:type="dxa"/>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83.52</w:t>
            </w:r>
          </w:p>
        </w:tc>
        <w:tc>
          <w:tcPr>
            <w:tcW w:w="1111" w:type="dxa"/>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134.51</w:t>
            </w:r>
          </w:p>
        </w:tc>
        <w:tc>
          <w:tcPr>
            <w:tcW w:w="1341" w:type="dxa"/>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10.0</w:t>
            </w:r>
          </w:p>
        </w:tc>
        <w:tc>
          <w:tcPr>
            <w:tcW w:w="1048" w:type="dxa"/>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483" w:type="dxa"/>
            <w:vAlign w:val="center"/>
          </w:tcPr>
          <w:p>
            <w:pPr>
              <w:adjustRightInd w:val="0"/>
              <w:snapToGrid w:val="0"/>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7</w:t>
            </w:r>
          </w:p>
        </w:tc>
        <w:tc>
          <w:tcPr>
            <w:tcW w:w="4372" w:type="dxa"/>
            <w:gridSpan w:val="2"/>
            <w:vAlign w:val="center"/>
          </w:tcPr>
          <w:p>
            <w:pPr>
              <w:adjustRightInd w:val="0"/>
              <w:snapToGrid w:val="0"/>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全员劳动生产率（万元/人）</w:t>
            </w:r>
          </w:p>
        </w:tc>
        <w:tc>
          <w:tcPr>
            <w:tcW w:w="1001" w:type="dxa"/>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w:t>
            </w:r>
          </w:p>
        </w:tc>
        <w:tc>
          <w:tcPr>
            <w:tcW w:w="1111" w:type="dxa"/>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w:t>
            </w:r>
          </w:p>
        </w:tc>
        <w:tc>
          <w:tcPr>
            <w:tcW w:w="1341" w:type="dxa"/>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5.0</w:t>
            </w:r>
          </w:p>
        </w:tc>
        <w:tc>
          <w:tcPr>
            <w:tcW w:w="1048" w:type="dxa"/>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483" w:type="dxa"/>
            <w:vAlign w:val="center"/>
          </w:tcPr>
          <w:p>
            <w:pPr>
              <w:adjustRightInd w:val="0"/>
              <w:snapToGrid w:val="0"/>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8</w:t>
            </w:r>
          </w:p>
        </w:tc>
        <w:tc>
          <w:tcPr>
            <w:tcW w:w="4372" w:type="dxa"/>
            <w:gridSpan w:val="2"/>
            <w:vAlign w:val="center"/>
          </w:tcPr>
          <w:p>
            <w:pPr>
              <w:adjustRightInd w:val="0"/>
              <w:snapToGrid w:val="0"/>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常住人口城镇化率（%）</w:t>
            </w:r>
          </w:p>
        </w:tc>
        <w:tc>
          <w:tcPr>
            <w:tcW w:w="1001" w:type="dxa"/>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35.4</w:t>
            </w:r>
          </w:p>
        </w:tc>
        <w:tc>
          <w:tcPr>
            <w:tcW w:w="1111" w:type="dxa"/>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40.0</w:t>
            </w:r>
          </w:p>
        </w:tc>
        <w:tc>
          <w:tcPr>
            <w:tcW w:w="1341" w:type="dxa"/>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[ 4.6 ]</w:t>
            </w:r>
          </w:p>
        </w:tc>
        <w:tc>
          <w:tcPr>
            <w:tcW w:w="1048" w:type="dxa"/>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9356" w:type="dxa"/>
            <w:gridSpan w:val="7"/>
            <w:vAlign w:val="center"/>
          </w:tcPr>
          <w:p>
            <w:pPr>
              <w:adjustRightInd w:val="0"/>
              <w:snapToGrid w:val="0"/>
              <w:rPr>
                <w:rFonts w:ascii="Times New Roman" w:hAnsi="Times New Roman" w:eastAsia="仿宋_GB2312"/>
                <w:b/>
                <w:bCs/>
                <w:color w:val="000000" w:themeColor="text1"/>
                <w:sz w:val="24"/>
                <w14:textFill>
                  <w14:solidFill>
                    <w14:schemeClr w14:val="tx1"/>
                  </w14:solidFill>
                </w14:textFill>
              </w:rPr>
            </w:pPr>
            <w:r>
              <w:rPr>
                <w:rFonts w:hint="eastAsia" w:ascii="Times New Roman" w:hAnsi="Times New Roman" w:eastAsia="仿宋_GB2312"/>
                <w:b/>
                <w:bCs/>
                <w:color w:val="000000" w:themeColor="text1"/>
                <w:sz w:val="24"/>
                <w14:textFill>
                  <w14:solidFill>
                    <w14:schemeClr w14:val="tx1"/>
                  </w14:solidFill>
                </w14:textFill>
              </w:rPr>
              <w:t>二、创新驱动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483" w:type="dxa"/>
            <w:vAlign w:val="center"/>
          </w:tcPr>
          <w:p>
            <w:pPr>
              <w:adjustRightInd w:val="0"/>
              <w:snapToGrid w:val="0"/>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9</w:t>
            </w:r>
          </w:p>
        </w:tc>
        <w:tc>
          <w:tcPr>
            <w:tcW w:w="4372" w:type="dxa"/>
            <w:gridSpan w:val="2"/>
            <w:vAlign w:val="center"/>
          </w:tcPr>
          <w:p>
            <w:pPr>
              <w:adjustRightInd w:val="0"/>
              <w:snapToGrid w:val="0"/>
              <w:ind w:right="-65" w:rightChars="-31"/>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研究与试验发展经费投入情况（万元）</w:t>
            </w:r>
          </w:p>
        </w:tc>
        <w:tc>
          <w:tcPr>
            <w:tcW w:w="1001" w:type="dxa"/>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100</w:t>
            </w:r>
          </w:p>
        </w:tc>
        <w:tc>
          <w:tcPr>
            <w:tcW w:w="1111" w:type="dxa"/>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300</w:t>
            </w:r>
          </w:p>
        </w:tc>
        <w:tc>
          <w:tcPr>
            <w:tcW w:w="1341" w:type="dxa"/>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12.5</w:t>
            </w:r>
          </w:p>
        </w:tc>
        <w:tc>
          <w:tcPr>
            <w:tcW w:w="1048" w:type="dxa"/>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483" w:type="dxa"/>
            <w:vAlign w:val="center"/>
          </w:tcPr>
          <w:p>
            <w:pPr>
              <w:adjustRightInd w:val="0"/>
              <w:snapToGrid w:val="0"/>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10</w:t>
            </w:r>
          </w:p>
        </w:tc>
        <w:tc>
          <w:tcPr>
            <w:tcW w:w="4372" w:type="dxa"/>
            <w:gridSpan w:val="2"/>
            <w:vAlign w:val="center"/>
          </w:tcPr>
          <w:p>
            <w:pPr>
              <w:adjustRightInd w:val="0"/>
              <w:snapToGrid w:val="0"/>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每万人发明专利拥有量（件）</w:t>
            </w:r>
          </w:p>
        </w:tc>
        <w:tc>
          <w:tcPr>
            <w:tcW w:w="1001" w:type="dxa"/>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1.05</w:t>
            </w:r>
          </w:p>
        </w:tc>
        <w:tc>
          <w:tcPr>
            <w:tcW w:w="1111" w:type="dxa"/>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w:t>
            </w:r>
          </w:p>
        </w:tc>
        <w:tc>
          <w:tcPr>
            <w:tcW w:w="1341" w:type="dxa"/>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color w:val="000000" w:themeColor="text1"/>
                <w:sz w:val="18"/>
                <w:szCs w:val="18"/>
                <w14:textFill>
                  <w14:solidFill>
                    <w14:schemeClr w14:val="tx1"/>
                  </w14:solidFill>
                </w14:textFill>
              </w:rPr>
              <w:t>完成桂林市 下达目标</w:t>
            </w:r>
          </w:p>
        </w:tc>
        <w:tc>
          <w:tcPr>
            <w:tcW w:w="1048" w:type="dxa"/>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483" w:type="dxa"/>
            <w:vAlign w:val="center"/>
          </w:tcPr>
          <w:p>
            <w:pPr>
              <w:adjustRightInd w:val="0"/>
              <w:snapToGrid w:val="0"/>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11</w:t>
            </w:r>
          </w:p>
        </w:tc>
        <w:tc>
          <w:tcPr>
            <w:tcW w:w="4372" w:type="dxa"/>
            <w:gridSpan w:val="2"/>
            <w:vAlign w:val="center"/>
          </w:tcPr>
          <w:p>
            <w:pPr>
              <w:adjustRightInd w:val="0"/>
              <w:snapToGrid w:val="0"/>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科技进步贡献率（%）</w:t>
            </w:r>
          </w:p>
        </w:tc>
        <w:tc>
          <w:tcPr>
            <w:tcW w:w="1001" w:type="dxa"/>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5</w:t>
            </w:r>
          </w:p>
        </w:tc>
        <w:tc>
          <w:tcPr>
            <w:tcW w:w="1111" w:type="dxa"/>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15</w:t>
            </w:r>
          </w:p>
        </w:tc>
        <w:tc>
          <w:tcPr>
            <w:tcW w:w="1341" w:type="dxa"/>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[ 10 ]</w:t>
            </w:r>
          </w:p>
        </w:tc>
        <w:tc>
          <w:tcPr>
            <w:tcW w:w="1048" w:type="dxa"/>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9356" w:type="dxa"/>
            <w:gridSpan w:val="7"/>
            <w:vAlign w:val="center"/>
          </w:tcPr>
          <w:p>
            <w:pPr>
              <w:adjustRightInd w:val="0"/>
              <w:snapToGrid w:val="0"/>
              <w:rPr>
                <w:rFonts w:ascii="Times New Roman" w:hAnsi="Times New Roman" w:eastAsia="仿宋_GB2312"/>
                <w:b/>
                <w:bCs/>
                <w:color w:val="000000" w:themeColor="text1"/>
                <w:sz w:val="24"/>
                <w14:textFill>
                  <w14:solidFill>
                    <w14:schemeClr w14:val="tx1"/>
                  </w14:solidFill>
                </w14:textFill>
              </w:rPr>
            </w:pPr>
            <w:r>
              <w:rPr>
                <w:rFonts w:hint="eastAsia" w:ascii="Times New Roman" w:hAnsi="Times New Roman" w:eastAsia="仿宋_GB2312"/>
                <w:b/>
                <w:bCs/>
                <w:color w:val="000000" w:themeColor="text1"/>
                <w:sz w:val="24"/>
                <w14:textFill>
                  <w14:solidFill>
                    <w14:schemeClr w14:val="tx1"/>
                  </w14:solidFill>
                </w14:textFill>
              </w:rPr>
              <w:t>三、民生福祉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483" w:type="dxa"/>
            <w:vAlign w:val="center"/>
          </w:tcPr>
          <w:p>
            <w:pPr>
              <w:adjustRightInd w:val="0"/>
              <w:snapToGrid w:val="0"/>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14</w:t>
            </w:r>
          </w:p>
        </w:tc>
        <w:tc>
          <w:tcPr>
            <w:tcW w:w="4372" w:type="dxa"/>
            <w:gridSpan w:val="2"/>
            <w:vAlign w:val="center"/>
          </w:tcPr>
          <w:p>
            <w:pPr>
              <w:adjustRightInd w:val="0"/>
              <w:snapToGrid w:val="0"/>
              <w:ind w:right="-84" w:rightChars="-40"/>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居民人均可支配收入（元）</w:t>
            </w:r>
          </w:p>
        </w:tc>
        <w:tc>
          <w:tcPr>
            <w:tcW w:w="1001" w:type="dxa"/>
            <w:vAlign w:val="center"/>
          </w:tcPr>
          <w:p>
            <w:pPr>
              <w:widowControl/>
              <w:jc w:val="center"/>
              <w:textAlignment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color w:val="000000" w:themeColor="text1"/>
                <w:kern w:val="0"/>
                <w:sz w:val="22"/>
                <w:szCs w:val="22"/>
                <w:lang w:bidi="ar"/>
                <w14:textFill>
                  <w14:solidFill>
                    <w14:schemeClr w14:val="tx1"/>
                  </w14:solidFill>
                </w14:textFill>
              </w:rPr>
              <w:t>21412</w:t>
            </w:r>
          </w:p>
        </w:tc>
        <w:tc>
          <w:tcPr>
            <w:tcW w:w="1111" w:type="dxa"/>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30031</w:t>
            </w:r>
          </w:p>
        </w:tc>
        <w:tc>
          <w:tcPr>
            <w:tcW w:w="1341" w:type="dxa"/>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7.0</w:t>
            </w:r>
          </w:p>
        </w:tc>
        <w:tc>
          <w:tcPr>
            <w:tcW w:w="1048" w:type="dxa"/>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483" w:type="dxa"/>
            <w:vAlign w:val="center"/>
          </w:tcPr>
          <w:p>
            <w:pPr>
              <w:adjustRightInd w:val="0"/>
              <w:snapToGrid w:val="0"/>
              <w:rPr>
                <w:rFonts w:ascii="Times New Roman" w:hAnsi="Times New Roman" w:eastAsia="仿宋_GB2312"/>
                <w:color w:val="000000" w:themeColor="text1"/>
                <w:sz w:val="24"/>
                <w14:textFill>
                  <w14:solidFill>
                    <w14:schemeClr w14:val="tx1"/>
                  </w14:solidFill>
                </w14:textFill>
              </w:rPr>
            </w:pPr>
          </w:p>
        </w:tc>
        <w:tc>
          <w:tcPr>
            <w:tcW w:w="4372" w:type="dxa"/>
            <w:gridSpan w:val="2"/>
            <w:vAlign w:val="center"/>
          </w:tcPr>
          <w:p>
            <w:pPr>
              <w:adjustRightInd w:val="0"/>
              <w:snapToGrid w:val="0"/>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城镇登记失业率（%）</w:t>
            </w:r>
          </w:p>
        </w:tc>
        <w:tc>
          <w:tcPr>
            <w:tcW w:w="1001" w:type="dxa"/>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≤4.5</w:t>
            </w:r>
          </w:p>
        </w:tc>
        <w:tc>
          <w:tcPr>
            <w:tcW w:w="1111" w:type="dxa"/>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≤4.5</w:t>
            </w:r>
          </w:p>
        </w:tc>
        <w:tc>
          <w:tcPr>
            <w:tcW w:w="1341" w:type="dxa"/>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w:t>
            </w:r>
          </w:p>
        </w:tc>
        <w:tc>
          <w:tcPr>
            <w:tcW w:w="1048" w:type="dxa"/>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483" w:type="dxa"/>
            <w:vAlign w:val="center"/>
          </w:tcPr>
          <w:p>
            <w:pPr>
              <w:adjustRightInd w:val="0"/>
              <w:snapToGrid w:val="0"/>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15</w:t>
            </w:r>
          </w:p>
        </w:tc>
        <w:tc>
          <w:tcPr>
            <w:tcW w:w="4372" w:type="dxa"/>
            <w:gridSpan w:val="2"/>
            <w:vAlign w:val="center"/>
          </w:tcPr>
          <w:p>
            <w:pPr>
              <w:adjustRightInd w:val="0"/>
              <w:snapToGrid w:val="0"/>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城镇新增就业人数（万人）</w:t>
            </w:r>
          </w:p>
        </w:tc>
        <w:tc>
          <w:tcPr>
            <w:tcW w:w="1001" w:type="dxa"/>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0.14</w:t>
            </w:r>
          </w:p>
        </w:tc>
        <w:tc>
          <w:tcPr>
            <w:tcW w:w="1111" w:type="dxa"/>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0.25</w:t>
            </w:r>
          </w:p>
        </w:tc>
        <w:tc>
          <w:tcPr>
            <w:tcW w:w="1341" w:type="dxa"/>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10.0</w:t>
            </w:r>
          </w:p>
        </w:tc>
        <w:tc>
          <w:tcPr>
            <w:tcW w:w="1048" w:type="dxa"/>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483" w:type="dxa"/>
            <w:vAlign w:val="center"/>
          </w:tcPr>
          <w:p>
            <w:pPr>
              <w:adjustRightInd w:val="0"/>
              <w:snapToGrid w:val="0"/>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16</w:t>
            </w:r>
          </w:p>
        </w:tc>
        <w:tc>
          <w:tcPr>
            <w:tcW w:w="4372" w:type="dxa"/>
            <w:gridSpan w:val="2"/>
            <w:vAlign w:val="center"/>
          </w:tcPr>
          <w:p>
            <w:pPr>
              <w:adjustRightInd w:val="0"/>
              <w:snapToGrid w:val="0"/>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劳动年龄人口平均受教育年限（年）</w:t>
            </w:r>
          </w:p>
        </w:tc>
        <w:tc>
          <w:tcPr>
            <w:tcW w:w="1001" w:type="dxa"/>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w:t>
            </w:r>
          </w:p>
        </w:tc>
        <w:tc>
          <w:tcPr>
            <w:tcW w:w="1111" w:type="dxa"/>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10</w:t>
            </w:r>
          </w:p>
        </w:tc>
        <w:tc>
          <w:tcPr>
            <w:tcW w:w="1341" w:type="dxa"/>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w:t>
            </w:r>
          </w:p>
        </w:tc>
        <w:tc>
          <w:tcPr>
            <w:tcW w:w="1048" w:type="dxa"/>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483" w:type="dxa"/>
            <w:vAlign w:val="center"/>
          </w:tcPr>
          <w:p>
            <w:pPr>
              <w:adjustRightInd w:val="0"/>
              <w:snapToGrid w:val="0"/>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17</w:t>
            </w:r>
          </w:p>
        </w:tc>
        <w:tc>
          <w:tcPr>
            <w:tcW w:w="4372" w:type="dxa"/>
            <w:gridSpan w:val="2"/>
            <w:vAlign w:val="center"/>
          </w:tcPr>
          <w:p>
            <w:pPr>
              <w:adjustRightInd w:val="0"/>
              <w:snapToGrid w:val="0"/>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基本养老保险参保率（%）</w:t>
            </w:r>
          </w:p>
        </w:tc>
        <w:tc>
          <w:tcPr>
            <w:tcW w:w="1001" w:type="dxa"/>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92</w:t>
            </w:r>
          </w:p>
        </w:tc>
        <w:tc>
          <w:tcPr>
            <w:tcW w:w="1111" w:type="dxa"/>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≥95</w:t>
            </w:r>
          </w:p>
        </w:tc>
        <w:tc>
          <w:tcPr>
            <w:tcW w:w="1341" w:type="dxa"/>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w:t>
            </w:r>
          </w:p>
        </w:tc>
        <w:tc>
          <w:tcPr>
            <w:tcW w:w="1048" w:type="dxa"/>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483" w:type="dxa"/>
            <w:vAlign w:val="center"/>
          </w:tcPr>
          <w:p>
            <w:pPr>
              <w:adjustRightInd w:val="0"/>
              <w:snapToGrid w:val="0"/>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18</w:t>
            </w:r>
          </w:p>
        </w:tc>
        <w:tc>
          <w:tcPr>
            <w:tcW w:w="4372" w:type="dxa"/>
            <w:gridSpan w:val="2"/>
            <w:vAlign w:val="center"/>
          </w:tcPr>
          <w:p>
            <w:pPr>
              <w:adjustRightInd w:val="0"/>
              <w:snapToGrid w:val="0"/>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人均预期寿命（岁）</w:t>
            </w:r>
          </w:p>
        </w:tc>
        <w:tc>
          <w:tcPr>
            <w:tcW w:w="1001" w:type="dxa"/>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79.35</w:t>
            </w:r>
          </w:p>
        </w:tc>
        <w:tc>
          <w:tcPr>
            <w:tcW w:w="1111" w:type="dxa"/>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79.5</w:t>
            </w:r>
          </w:p>
        </w:tc>
        <w:tc>
          <w:tcPr>
            <w:tcW w:w="1341" w:type="dxa"/>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[ 3 ]</w:t>
            </w:r>
          </w:p>
        </w:tc>
        <w:tc>
          <w:tcPr>
            <w:tcW w:w="1048" w:type="dxa"/>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483" w:type="dxa"/>
            <w:vAlign w:val="center"/>
          </w:tcPr>
          <w:p>
            <w:pPr>
              <w:adjustRightInd w:val="0"/>
              <w:snapToGrid w:val="0"/>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19</w:t>
            </w:r>
          </w:p>
        </w:tc>
        <w:tc>
          <w:tcPr>
            <w:tcW w:w="4372" w:type="dxa"/>
            <w:gridSpan w:val="2"/>
            <w:vAlign w:val="center"/>
          </w:tcPr>
          <w:p>
            <w:pPr>
              <w:adjustRightInd w:val="0"/>
              <w:snapToGrid w:val="0"/>
              <w:ind w:right="-65" w:rightChars="-31"/>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每千常住人口执业（助理）医师数（人）</w:t>
            </w:r>
          </w:p>
        </w:tc>
        <w:tc>
          <w:tcPr>
            <w:tcW w:w="1001" w:type="dxa"/>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2.03</w:t>
            </w:r>
          </w:p>
        </w:tc>
        <w:tc>
          <w:tcPr>
            <w:tcW w:w="1111" w:type="dxa"/>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2.5</w:t>
            </w:r>
          </w:p>
        </w:tc>
        <w:tc>
          <w:tcPr>
            <w:tcW w:w="1341" w:type="dxa"/>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[ 9 ]</w:t>
            </w:r>
          </w:p>
        </w:tc>
        <w:tc>
          <w:tcPr>
            <w:tcW w:w="1048" w:type="dxa"/>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483" w:type="dxa"/>
            <w:vAlign w:val="center"/>
          </w:tcPr>
          <w:p>
            <w:pPr>
              <w:adjustRightInd w:val="0"/>
              <w:snapToGrid w:val="0"/>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20</w:t>
            </w:r>
          </w:p>
        </w:tc>
        <w:tc>
          <w:tcPr>
            <w:tcW w:w="4372" w:type="dxa"/>
            <w:gridSpan w:val="2"/>
            <w:vAlign w:val="center"/>
          </w:tcPr>
          <w:p>
            <w:pPr>
              <w:adjustRightInd w:val="0"/>
              <w:snapToGrid w:val="0"/>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每千名老人养老床位数（张）</w:t>
            </w:r>
          </w:p>
        </w:tc>
        <w:tc>
          <w:tcPr>
            <w:tcW w:w="1001" w:type="dxa"/>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25</w:t>
            </w:r>
          </w:p>
        </w:tc>
        <w:tc>
          <w:tcPr>
            <w:tcW w:w="1111" w:type="dxa"/>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37.5</w:t>
            </w:r>
          </w:p>
        </w:tc>
        <w:tc>
          <w:tcPr>
            <w:tcW w:w="1341" w:type="dxa"/>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[ 12.5 ]</w:t>
            </w:r>
          </w:p>
        </w:tc>
        <w:tc>
          <w:tcPr>
            <w:tcW w:w="1048" w:type="dxa"/>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483" w:type="dxa"/>
            <w:vAlign w:val="center"/>
          </w:tcPr>
          <w:p>
            <w:pPr>
              <w:adjustRightInd w:val="0"/>
              <w:snapToGrid w:val="0"/>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21</w:t>
            </w:r>
          </w:p>
        </w:tc>
        <w:tc>
          <w:tcPr>
            <w:tcW w:w="4372" w:type="dxa"/>
            <w:gridSpan w:val="2"/>
            <w:vAlign w:val="center"/>
          </w:tcPr>
          <w:p>
            <w:pPr>
              <w:adjustRightInd w:val="0"/>
              <w:snapToGrid w:val="0"/>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每千人拥有3岁以下婴幼儿托位（个）</w:t>
            </w:r>
          </w:p>
        </w:tc>
        <w:tc>
          <w:tcPr>
            <w:tcW w:w="1001" w:type="dxa"/>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w:t>
            </w:r>
          </w:p>
        </w:tc>
        <w:tc>
          <w:tcPr>
            <w:tcW w:w="1111" w:type="dxa"/>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w:t>
            </w:r>
          </w:p>
        </w:tc>
        <w:tc>
          <w:tcPr>
            <w:tcW w:w="1341" w:type="dxa"/>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color w:val="000000" w:themeColor="text1"/>
                <w:sz w:val="18"/>
                <w:szCs w:val="18"/>
                <w14:textFill>
                  <w14:solidFill>
                    <w14:schemeClr w14:val="tx1"/>
                  </w14:solidFill>
                </w14:textFill>
              </w:rPr>
              <w:t>完成桂林市 下达目标</w:t>
            </w:r>
          </w:p>
        </w:tc>
        <w:tc>
          <w:tcPr>
            <w:tcW w:w="1048" w:type="dxa"/>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483" w:type="dxa"/>
            <w:vAlign w:val="center"/>
          </w:tcPr>
          <w:p>
            <w:pPr>
              <w:adjustRightInd w:val="0"/>
              <w:snapToGrid w:val="0"/>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22</w:t>
            </w:r>
          </w:p>
        </w:tc>
        <w:tc>
          <w:tcPr>
            <w:tcW w:w="4372" w:type="dxa"/>
            <w:gridSpan w:val="2"/>
            <w:vAlign w:val="center"/>
          </w:tcPr>
          <w:p>
            <w:pPr>
              <w:adjustRightInd w:val="0"/>
              <w:snapToGrid w:val="0"/>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单位GDP能源消耗降低（%）</w:t>
            </w:r>
          </w:p>
        </w:tc>
        <w:tc>
          <w:tcPr>
            <w:tcW w:w="1001" w:type="dxa"/>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w:t>
            </w:r>
          </w:p>
        </w:tc>
        <w:tc>
          <w:tcPr>
            <w:tcW w:w="1111" w:type="dxa"/>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w:t>
            </w:r>
          </w:p>
        </w:tc>
        <w:tc>
          <w:tcPr>
            <w:tcW w:w="1341" w:type="dxa"/>
            <w:vAlign w:val="center"/>
          </w:tcPr>
          <w:p>
            <w:pPr>
              <w:adjustRightInd w:val="0"/>
              <w:snapToGrid w:val="0"/>
              <w:jc w:val="center"/>
              <w:rPr>
                <w:rFonts w:ascii="Times New Roman" w:hAnsi="Times New Roman" w:eastAsia="仿宋_GB2312"/>
                <w:color w:val="000000" w:themeColor="text1"/>
                <w:sz w:val="18"/>
                <w:szCs w:val="18"/>
                <w14:textFill>
                  <w14:solidFill>
                    <w14:schemeClr w14:val="tx1"/>
                  </w14:solidFill>
                </w14:textFill>
              </w:rPr>
            </w:pPr>
            <w:r>
              <w:rPr>
                <w:rFonts w:hint="eastAsia" w:ascii="Times New Roman" w:hAnsi="Times New Roman" w:eastAsia="仿宋_GB2312"/>
                <w:color w:val="000000" w:themeColor="text1"/>
                <w:sz w:val="18"/>
                <w:szCs w:val="18"/>
                <w14:textFill>
                  <w14:solidFill>
                    <w14:schemeClr w14:val="tx1"/>
                  </w14:solidFill>
                </w14:textFill>
              </w:rPr>
              <w:t>完成桂林市 下达目标</w:t>
            </w:r>
          </w:p>
        </w:tc>
        <w:tc>
          <w:tcPr>
            <w:tcW w:w="1048" w:type="dxa"/>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483" w:type="dxa"/>
            <w:vAlign w:val="center"/>
          </w:tcPr>
          <w:p>
            <w:pPr>
              <w:adjustRightInd w:val="0"/>
              <w:snapToGrid w:val="0"/>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23</w:t>
            </w:r>
          </w:p>
        </w:tc>
        <w:tc>
          <w:tcPr>
            <w:tcW w:w="4372" w:type="dxa"/>
            <w:gridSpan w:val="2"/>
            <w:vAlign w:val="center"/>
          </w:tcPr>
          <w:p>
            <w:pPr>
              <w:adjustRightInd w:val="0"/>
              <w:snapToGrid w:val="0"/>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单位GDP二氧化碳排放量降低（%）</w:t>
            </w:r>
          </w:p>
        </w:tc>
        <w:tc>
          <w:tcPr>
            <w:tcW w:w="1001" w:type="dxa"/>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w:t>
            </w:r>
          </w:p>
        </w:tc>
        <w:tc>
          <w:tcPr>
            <w:tcW w:w="1111" w:type="dxa"/>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w:t>
            </w:r>
          </w:p>
        </w:tc>
        <w:tc>
          <w:tcPr>
            <w:tcW w:w="1341" w:type="dxa"/>
            <w:vAlign w:val="center"/>
          </w:tcPr>
          <w:p>
            <w:pPr>
              <w:adjustRightInd w:val="0"/>
              <w:snapToGrid w:val="0"/>
              <w:jc w:val="center"/>
              <w:rPr>
                <w:rFonts w:ascii="Times New Roman" w:hAnsi="Times New Roman" w:eastAsia="仿宋_GB2312"/>
                <w:color w:val="000000" w:themeColor="text1"/>
                <w:sz w:val="18"/>
                <w:szCs w:val="18"/>
                <w14:textFill>
                  <w14:solidFill>
                    <w14:schemeClr w14:val="tx1"/>
                  </w14:solidFill>
                </w14:textFill>
              </w:rPr>
            </w:pPr>
            <w:r>
              <w:rPr>
                <w:rFonts w:hint="eastAsia" w:ascii="Times New Roman" w:hAnsi="Times New Roman" w:eastAsia="仿宋_GB2312"/>
                <w:color w:val="000000" w:themeColor="text1"/>
                <w:sz w:val="18"/>
                <w:szCs w:val="18"/>
                <w14:textFill>
                  <w14:solidFill>
                    <w14:schemeClr w14:val="tx1"/>
                  </w14:solidFill>
                </w14:textFill>
              </w:rPr>
              <w:t>完成桂林市 下达目标</w:t>
            </w:r>
          </w:p>
        </w:tc>
        <w:tc>
          <w:tcPr>
            <w:tcW w:w="1048" w:type="dxa"/>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483" w:type="dxa"/>
            <w:vAlign w:val="center"/>
          </w:tcPr>
          <w:p>
            <w:pPr>
              <w:adjustRightInd w:val="0"/>
              <w:snapToGrid w:val="0"/>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24</w:t>
            </w:r>
          </w:p>
        </w:tc>
        <w:tc>
          <w:tcPr>
            <w:tcW w:w="728" w:type="dxa"/>
            <w:vMerge w:val="restart"/>
            <w:vAlign w:val="center"/>
          </w:tcPr>
          <w:p>
            <w:pPr>
              <w:adjustRightInd w:val="0"/>
              <w:snapToGrid w:val="0"/>
              <w:ind w:right="-57" w:rightChars="-27"/>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森林发展</w:t>
            </w:r>
          </w:p>
        </w:tc>
        <w:tc>
          <w:tcPr>
            <w:tcW w:w="3644" w:type="dxa"/>
            <w:vAlign w:val="center"/>
          </w:tcPr>
          <w:p>
            <w:pPr>
              <w:adjustRightInd w:val="0"/>
              <w:snapToGrid w:val="0"/>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森林覆盖率（%）</w:t>
            </w:r>
          </w:p>
        </w:tc>
        <w:tc>
          <w:tcPr>
            <w:tcW w:w="1001" w:type="dxa"/>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81.76</w:t>
            </w:r>
          </w:p>
        </w:tc>
        <w:tc>
          <w:tcPr>
            <w:tcW w:w="1111" w:type="dxa"/>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82.0</w:t>
            </w:r>
          </w:p>
        </w:tc>
        <w:tc>
          <w:tcPr>
            <w:tcW w:w="1341" w:type="dxa"/>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w:t>
            </w:r>
          </w:p>
        </w:tc>
        <w:tc>
          <w:tcPr>
            <w:tcW w:w="1048" w:type="dxa"/>
            <w:vMerge w:val="restart"/>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483" w:type="dxa"/>
            <w:vAlign w:val="center"/>
          </w:tcPr>
          <w:p>
            <w:pPr>
              <w:adjustRightInd w:val="0"/>
              <w:snapToGrid w:val="0"/>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25</w:t>
            </w:r>
          </w:p>
        </w:tc>
        <w:tc>
          <w:tcPr>
            <w:tcW w:w="728" w:type="dxa"/>
            <w:vMerge w:val="continue"/>
            <w:vAlign w:val="center"/>
          </w:tcPr>
          <w:p>
            <w:pPr>
              <w:adjustRightInd w:val="0"/>
              <w:snapToGrid w:val="0"/>
              <w:ind w:right="-57" w:rightChars="-27"/>
              <w:rPr>
                <w:rFonts w:ascii="Times New Roman" w:hAnsi="Times New Roman" w:eastAsia="仿宋_GB2312"/>
                <w:color w:val="000000" w:themeColor="text1"/>
                <w:sz w:val="24"/>
                <w14:textFill>
                  <w14:solidFill>
                    <w14:schemeClr w14:val="tx1"/>
                  </w14:solidFill>
                </w14:textFill>
              </w:rPr>
            </w:pPr>
          </w:p>
        </w:tc>
        <w:tc>
          <w:tcPr>
            <w:tcW w:w="3644" w:type="dxa"/>
            <w:vAlign w:val="center"/>
          </w:tcPr>
          <w:p>
            <w:pPr>
              <w:adjustRightInd w:val="0"/>
              <w:snapToGrid w:val="0"/>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森林蓄积量（亿立方米）</w:t>
            </w:r>
          </w:p>
        </w:tc>
        <w:tc>
          <w:tcPr>
            <w:tcW w:w="1001" w:type="dxa"/>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0.19</w:t>
            </w:r>
          </w:p>
        </w:tc>
        <w:tc>
          <w:tcPr>
            <w:tcW w:w="1111" w:type="dxa"/>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0.20</w:t>
            </w:r>
          </w:p>
        </w:tc>
        <w:tc>
          <w:tcPr>
            <w:tcW w:w="1341" w:type="dxa"/>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w:t>
            </w:r>
          </w:p>
        </w:tc>
        <w:tc>
          <w:tcPr>
            <w:tcW w:w="1048" w:type="dxa"/>
            <w:vMerge w:val="continue"/>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483" w:type="dxa"/>
            <w:vAlign w:val="center"/>
          </w:tcPr>
          <w:p>
            <w:pPr>
              <w:adjustRightInd w:val="0"/>
              <w:snapToGrid w:val="0"/>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26</w:t>
            </w:r>
          </w:p>
        </w:tc>
        <w:tc>
          <w:tcPr>
            <w:tcW w:w="728" w:type="dxa"/>
            <w:vMerge w:val="restart"/>
            <w:vAlign w:val="center"/>
          </w:tcPr>
          <w:p>
            <w:pPr>
              <w:adjustRightInd w:val="0"/>
              <w:snapToGrid w:val="0"/>
              <w:ind w:right="-57" w:rightChars="-27"/>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空气质量</w:t>
            </w:r>
          </w:p>
        </w:tc>
        <w:tc>
          <w:tcPr>
            <w:tcW w:w="3644" w:type="dxa"/>
            <w:vAlign w:val="center"/>
          </w:tcPr>
          <w:p>
            <w:pPr>
              <w:adjustRightInd w:val="0"/>
              <w:snapToGrid w:val="0"/>
              <w:ind w:right="-65" w:rightChars="-31"/>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城市空气质量优良天数比例（%）</w:t>
            </w:r>
          </w:p>
        </w:tc>
        <w:tc>
          <w:tcPr>
            <w:tcW w:w="1001" w:type="dxa"/>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98.1</w:t>
            </w:r>
          </w:p>
        </w:tc>
        <w:tc>
          <w:tcPr>
            <w:tcW w:w="1111" w:type="dxa"/>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w:t>
            </w:r>
          </w:p>
        </w:tc>
        <w:tc>
          <w:tcPr>
            <w:tcW w:w="1341" w:type="dxa"/>
            <w:vAlign w:val="center"/>
          </w:tcPr>
          <w:p>
            <w:pPr>
              <w:adjustRightInd w:val="0"/>
              <w:snapToGrid w:val="0"/>
              <w:jc w:val="center"/>
              <w:rPr>
                <w:rFonts w:ascii="Times New Roman" w:hAnsi="Times New Roman" w:eastAsia="仿宋_GB2312"/>
                <w:color w:val="000000" w:themeColor="text1"/>
                <w:sz w:val="18"/>
                <w:szCs w:val="18"/>
                <w14:textFill>
                  <w14:solidFill>
                    <w14:schemeClr w14:val="tx1"/>
                  </w14:solidFill>
                </w14:textFill>
              </w:rPr>
            </w:pPr>
            <w:r>
              <w:rPr>
                <w:rFonts w:hint="eastAsia" w:ascii="Times New Roman" w:hAnsi="Times New Roman" w:eastAsia="仿宋_GB2312"/>
                <w:color w:val="000000" w:themeColor="text1"/>
                <w:sz w:val="18"/>
                <w:szCs w:val="18"/>
                <w14:textFill>
                  <w14:solidFill>
                    <w14:schemeClr w14:val="tx1"/>
                  </w14:solidFill>
                </w14:textFill>
              </w:rPr>
              <w:t>完成桂林市 下达目标</w:t>
            </w:r>
          </w:p>
        </w:tc>
        <w:tc>
          <w:tcPr>
            <w:tcW w:w="1048" w:type="dxa"/>
            <w:vMerge w:val="restart"/>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483" w:type="dxa"/>
            <w:vAlign w:val="center"/>
          </w:tcPr>
          <w:p>
            <w:pPr>
              <w:adjustRightInd w:val="0"/>
              <w:snapToGrid w:val="0"/>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27</w:t>
            </w:r>
          </w:p>
        </w:tc>
        <w:tc>
          <w:tcPr>
            <w:tcW w:w="728" w:type="dxa"/>
            <w:vMerge w:val="continue"/>
            <w:vAlign w:val="center"/>
          </w:tcPr>
          <w:p>
            <w:pPr>
              <w:adjustRightInd w:val="0"/>
              <w:snapToGrid w:val="0"/>
              <w:ind w:right="-57" w:rightChars="-27"/>
              <w:rPr>
                <w:rFonts w:ascii="Times New Roman" w:hAnsi="Times New Roman" w:eastAsia="仿宋_GB2312"/>
                <w:color w:val="000000" w:themeColor="text1"/>
                <w:sz w:val="24"/>
                <w14:textFill>
                  <w14:solidFill>
                    <w14:schemeClr w14:val="tx1"/>
                  </w14:solidFill>
                </w14:textFill>
              </w:rPr>
            </w:pPr>
          </w:p>
        </w:tc>
        <w:tc>
          <w:tcPr>
            <w:tcW w:w="3644" w:type="dxa"/>
            <w:vAlign w:val="center"/>
          </w:tcPr>
          <w:p>
            <w:pPr>
              <w:adjustRightInd w:val="0"/>
              <w:snapToGrid w:val="0"/>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PM2.5浓度下降（%）</w:t>
            </w:r>
          </w:p>
        </w:tc>
        <w:tc>
          <w:tcPr>
            <w:tcW w:w="1001" w:type="dxa"/>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23</w:t>
            </w:r>
          </w:p>
        </w:tc>
        <w:tc>
          <w:tcPr>
            <w:tcW w:w="1111" w:type="dxa"/>
            <w:vAlign w:val="center"/>
          </w:tcPr>
          <w:p>
            <w:pPr>
              <w:adjustRightInd w:val="0"/>
              <w:snapToGrid w:val="0"/>
              <w:jc w:val="center"/>
              <w:rPr>
                <w:rFonts w:ascii="Times New Roman" w:hAnsi="Times New Roman" w:eastAsia="仿宋_GB2312"/>
                <w:color w:val="000000" w:themeColor="text1"/>
                <w14:textFill>
                  <w14:solidFill>
                    <w14:schemeClr w14:val="tx1"/>
                  </w14:solidFill>
                </w14:textFill>
              </w:rPr>
            </w:pPr>
            <w:r>
              <w:rPr>
                <w:rFonts w:hint="eastAsia" w:ascii="Times New Roman" w:hAnsi="Times New Roman" w:eastAsia="仿宋_GB2312"/>
                <w:color w:val="000000" w:themeColor="text1"/>
                <w14:textFill>
                  <w14:solidFill>
                    <w14:schemeClr w14:val="tx1"/>
                  </w14:solidFill>
                </w14:textFill>
              </w:rPr>
              <w:t>—</w:t>
            </w:r>
          </w:p>
        </w:tc>
        <w:tc>
          <w:tcPr>
            <w:tcW w:w="1341" w:type="dxa"/>
            <w:vAlign w:val="center"/>
          </w:tcPr>
          <w:p>
            <w:pPr>
              <w:adjustRightInd w:val="0"/>
              <w:snapToGrid w:val="0"/>
              <w:jc w:val="center"/>
              <w:rPr>
                <w:rFonts w:ascii="Times New Roman" w:hAnsi="Times New Roman" w:eastAsia="仿宋_GB2312"/>
                <w:color w:val="000000" w:themeColor="text1"/>
                <w:sz w:val="18"/>
                <w:szCs w:val="18"/>
                <w14:textFill>
                  <w14:solidFill>
                    <w14:schemeClr w14:val="tx1"/>
                  </w14:solidFill>
                </w14:textFill>
              </w:rPr>
            </w:pPr>
            <w:r>
              <w:rPr>
                <w:rFonts w:hint="eastAsia" w:ascii="Times New Roman" w:hAnsi="Times New Roman" w:eastAsia="仿宋_GB2312"/>
                <w:color w:val="000000" w:themeColor="text1"/>
                <w:sz w:val="18"/>
                <w:szCs w:val="18"/>
                <w14:textFill>
                  <w14:solidFill>
                    <w14:schemeClr w14:val="tx1"/>
                  </w14:solidFill>
                </w14:textFill>
              </w:rPr>
              <w:t>完成桂林市 下达目标</w:t>
            </w:r>
          </w:p>
        </w:tc>
        <w:tc>
          <w:tcPr>
            <w:tcW w:w="1048" w:type="dxa"/>
            <w:vMerge w:val="continue"/>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483" w:type="dxa"/>
            <w:vAlign w:val="center"/>
          </w:tcPr>
          <w:p>
            <w:pPr>
              <w:adjustRightInd w:val="0"/>
              <w:snapToGrid w:val="0"/>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28</w:t>
            </w:r>
          </w:p>
        </w:tc>
        <w:tc>
          <w:tcPr>
            <w:tcW w:w="4372" w:type="dxa"/>
            <w:gridSpan w:val="2"/>
            <w:vAlign w:val="center"/>
          </w:tcPr>
          <w:p>
            <w:pPr>
              <w:adjustRightInd w:val="0"/>
              <w:snapToGrid w:val="0"/>
              <w:ind w:right="-57" w:rightChars="-27"/>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Cs w:val="21"/>
                <w14:textFill>
                  <w14:solidFill>
                    <w14:schemeClr w14:val="tx1"/>
                  </w14:solidFill>
                </w14:textFill>
              </w:rPr>
              <w:t>地表水质量达到或好于III类水体比例（%）</w:t>
            </w:r>
          </w:p>
        </w:tc>
        <w:tc>
          <w:tcPr>
            <w:tcW w:w="1001" w:type="dxa"/>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100</w:t>
            </w:r>
          </w:p>
        </w:tc>
        <w:tc>
          <w:tcPr>
            <w:tcW w:w="1111" w:type="dxa"/>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100</w:t>
            </w:r>
          </w:p>
        </w:tc>
        <w:tc>
          <w:tcPr>
            <w:tcW w:w="1341" w:type="dxa"/>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w:t>
            </w:r>
          </w:p>
        </w:tc>
        <w:tc>
          <w:tcPr>
            <w:tcW w:w="1048" w:type="dxa"/>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483" w:type="dxa"/>
            <w:vAlign w:val="center"/>
          </w:tcPr>
          <w:p>
            <w:pPr>
              <w:adjustRightInd w:val="0"/>
              <w:snapToGrid w:val="0"/>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29</w:t>
            </w:r>
          </w:p>
        </w:tc>
        <w:tc>
          <w:tcPr>
            <w:tcW w:w="728" w:type="dxa"/>
            <w:vAlign w:val="center"/>
          </w:tcPr>
          <w:p>
            <w:pPr>
              <w:adjustRightInd w:val="0"/>
              <w:snapToGrid w:val="0"/>
              <w:ind w:right="-57" w:rightChars="-27"/>
              <w:jc w:val="center"/>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安全保障</w:t>
            </w:r>
          </w:p>
        </w:tc>
        <w:tc>
          <w:tcPr>
            <w:tcW w:w="3644" w:type="dxa"/>
            <w:vAlign w:val="center"/>
          </w:tcPr>
          <w:p>
            <w:pPr>
              <w:adjustRightInd w:val="0"/>
              <w:snapToGrid w:val="0"/>
              <w:ind w:right="-65" w:rightChars="-31"/>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color w:val="000000" w:themeColor="text1"/>
                <w:sz w:val="24"/>
                <w14:textFill>
                  <w14:solidFill>
                    <w14:schemeClr w14:val="tx1"/>
                  </w14:solidFill>
                </w14:textFill>
              </w:rPr>
              <w:t>粮食综合生产能力（万吨）</w:t>
            </w:r>
          </w:p>
        </w:tc>
        <w:tc>
          <w:tcPr>
            <w:tcW w:w="1001" w:type="dxa"/>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6.2</w:t>
            </w:r>
          </w:p>
        </w:tc>
        <w:tc>
          <w:tcPr>
            <w:tcW w:w="1111" w:type="dxa"/>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≥6.2</w:t>
            </w:r>
          </w:p>
        </w:tc>
        <w:tc>
          <w:tcPr>
            <w:tcW w:w="1341" w:type="dxa"/>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w:t>
            </w:r>
          </w:p>
        </w:tc>
        <w:tc>
          <w:tcPr>
            <w:tcW w:w="1048" w:type="dxa"/>
            <w:vAlign w:val="center"/>
          </w:tcPr>
          <w:p>
            <w:pPr>
              <w:adjustRightInd w:val="0"/>
              <w:snapToGrid w:val="0"/>
              <w:jc w:val="center"/>
              <w:rPr>
                <w:rFonts w:ascii="Times New Roman" w:hAnsi="Times New Roman" w:eastAsia="仿宋_GB2312"/>
                <w:bCs/>
                <w:color w:val="000000" w:themeColor="text1"/>
                <w:sz w:val="24"/>
                <w14:textFill>
                  <w14:solidFill>
                    <w14:schemeClr w14:val="tx1"/>
                  </w14:solidFill>
                </w14:textFill>
              </w:rPr>
            </w:pPr>
            <w:r>
              <w:rPr>
                <w:rFonts w:hint="eastAsia" w:ascii="Times New Roman" w:hAnsi="Times New Roman" w:eastAsia="仿宋_GB2312"/>
                <w:bCs/>
                <w:color w:val="000000" w:themeColor="text1"/>
                <w:sz w:val="24"/>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356" w:type="dxa"/>
            <w:gridSpan w:val="7"/>
            <w:vAlign w:val="center"/>
          </w:tcPr>
          <w:p>
            <w:pPr>
              <w:adjustRightInd w:val="0"/>
              <w:snapToGrid w:val="0"/>
              <w:ind w:left="961" w:leftChars="228" w:hanging="482" w:hangingChars="200"/>
              <w:jc w:val="left"/>
              <w:rPr>
                <w:rFonts w:ascii="Times New Roman" w:hAnsi="Times New Roman" w:eastAsia="仿宋_GB2312"/>
                <w:b/>
                <w:bCs/>
                <w:color w:val="000000" w:themeColor="text1"/>
                <w:sz w:val="24"/>
                <w14:textFill>
                  <w14:solidFill>
                    <w14:schemeClr w14:val="tx1"/>
                  </w14:solidFill>
                </w14:textFill>
              </w:rPr>
            </w:pPr>
            <w:r>
              <w:rPr>
                <w:rFonts w:hint="eastAsia" w:ascii="Times New Roman" w:hAnsi="Times New Roman" w:eastAsia="仿宋_GB2312"/>
                <w:b/>
                <w:bCs/>
                <w:color w:val="000000" w:themeColor="text1"/>
                <w:sz w:val="24"/>
                <w14:textFill>
                  <w14:solidFill>
                    <w14:schemeClr w14:val="tx1"/>
                  </w14:solidFill>
                </w14:textFill>
              </w:rPr>
              <w:t>注：1.地区生产总值、人均地区生产总值、全员劳动生产率增速按不变价计算；    2.[ ]内为五年累计数。</w:t>
            </w:r>
          </w:p>
        </w:tc>
      </w:tr>
    </w:tbl>
    <w:p>
      <w:pPr>
        <w:pStyle w:val="41"/>
        <w:spacing w:before="0" w:beforeLines="0" w:line="240" w:lineRule="auto"/>
        <w:ind w:left="0" w:leftChars="0"/>
        <w:jc w:val="center"/>
        <w:rPr>
          <w:rFonts w:ascii="Times New Roman" w:hAnsi="Times New Roman" w:cs="Times New Roman"/>
          <w:bCs w:val="0"/>
          <w:color w:val="000000" w:themeColor="text1"/>
          <w14:textFill>
            <w14:solidFill>
              <w14:schemeClr w14:val="tx1"/>
            </w14:solidFill>
          </w14:textFill>
        </w:rPr>
        <w:sectPr>
          <w:footnotePr>
            <w:numFmt w:val="decimalEnclosedCircleChinese"/>
          </w:footnotePr>
          <w:pgSz w:w="11906" w:h="16838"/>
          <w:pgMar w:top="1587" w:right="1304" w:bottom="1304" w:left="1588" w:header="851" w:footer="850" w:gutter="0"/>
          <w:cols w:space="0" w:num="1"/>
          <w:docGrid w:type="lines" w:linePitch="312" w:charSpace="0"/>
        </w:sectPr>
      </w:pPr>
    </w:p>
    <w:bookmarkEnd w:id="80"/>
    <w:bookmarkEnd w:id="81"/>
    <w:bookmarkEnd w:id="82"/>
    <w:bookmarkEnd w:id="83"/>
    <w:bookmarkEnd w:id="84"/>
    <w:p>
      <w:pPr>
        <w:pStyle w:val="41"/>
        <w:keepNext w:val="0"/>
        <w:keepLines w:val="0"/>
        <w:spacing w:before="0" w:beforeLines="0" w:line="640" w:lineRule="exact"/>
        <w:ind w:left="0" w:leftChars="0"/>
        <w:jc w:val="center"/>
        <w:outlineLvl w:val="0"/>
        <w:rPr>
          <w:rFonts w:ascii="Times New Roman" w:hAnsi="Times New Roman" w:eastAsia="方正小标宋_GBK" w:cs="Times New Roman"/>
          <w:color w:val="000000" w:themeColor="text1"/>
          <w:sz w:val="44"/>
          <w:szCs w:val="44"/>
          <w14:textFill>
            <w14:solidFill>
              <w14:schemeClr w14:val="tx1"/>
            </w14:solidFill>
          </w14:textFill>
        </w:rPr>
      </w:pPr>
      <w:bookmarkStart w:id="85" w:name="_Toc28230"/>
      <w:bookmarkStart w:id="86" w:name="_Toc61110776"/>
      <w:bookmarkStart w:id="87" w:name="_Toc20341"/>
      <w:bookmarkStart w:id="88" w:name="_Toc30330"/>
      <w:bookmarkStart w:id="89" w:name="_Toc27366"/>
      <w:bookmarkStart w:id="90" w:name="_Toc16260"/>
      <w:bookmarkStart w:id="91" w:name="_Toc52201149"/>
      <w:r>
        <w:rPr>
          <w:rFonts w:hint="eastAsia" w:ascii="Times New Roman" w:hAnsi="Times New Roman" w:eastAsia="方正小标宋_GBK" w:cs="Times New Roman"/>
          <w:color w:val="000000" w:themeColor="text1"/>
          <w:sz w:val="44"/>
          <w:szCs w:val="44"/>
          <w14:textFill>
            <w14:solidFill>
              <w14:schemeClr w14:val="tx1"/>
            </w14:solidFill>
          </w14:textFill>
        </w:rPr>
        <w:t>第三篇   实施三大振兴，坚持两大战略，绘就         富裕和谐美丽龙胜新篇章</w:t>
      </w:r>
      <w:bookmarkEnd w:id="85"/>
    </w:p>
    <w:p>
      <w:pPr>
        <w:spacing w:line="560" w:lineRule="exact"/>
        <w:ind w:firstLine="422" w:firstLineChars="200"/>
        <w:rPr>
          <w:rFonts w:ascii="Times New Roman" w:hAnsi="Times New Roman"/>
          <w:b/>
          <w:color w:val="000000" w:themeColor="text1"/>
          <w14:textFill>
            <w14:solidFill>
              <w14:schemeClr w14:val="tx1"/>
            </w14:solidFill>
          </w14:textFill>
        </w:rPr>
      </w:pPr>
    </w:p>
    <w:p>
      <w:pPr>
        <w:pStyle w:val="4"/>
        <w:keepNext w:val="0"/>
        <w:keepLines w:val="0"/>
        <w:spacing w:before="0" w:after="0" w:line="560" w:lineRule="exact"/>
        <w:jc w:val="center"/>
        <w:rPr>
          <w:rFonts w:ascii="Times New Roman" w:hAnsi="Times New Roman" w:eastAsia="黑体" w:cs="Times New Roman"/>
          <w:b w:val="0"/>
          <w:color w:val="000000" w:themeColor="text1"/>
          <w14:textFill>
            <w14:solidFill>
              <w14:schemeClr w14:val="tx1"/>
            </w14:solidFill>
          </w14:textFill>
        </w:rPr>
      </w:pPr>
      <w:bookmarkStart w:id="92" w:name="_Toc16102"/>
      <w:r>
        <w:rPr>
          <w:rFonts w:hint="eastAsia" w:ascii="Times New Roman" w:hAnsi="Times New Roman" w:eastAsia="黑体" w:cs="Times New Roman"/>
          <w:b w:val="0"/>
          <w:color w:val="000000" w:themeColor="text1"/>
          <w14:textFill>
            <w14:solidFill>
              <w14:schemeClr w14:val="tx1"/>
            </w14:solidFill>
          </w14:textFill>
        </w:rPr>
        <w:t>第四章  着力工业振兴，确保规模企业提质增效</w:t>
      </w:r>
      <w:bookmarkEnd w:id="86"/>
      <w:bookmarkEnd w:id="92"/>
    </w:p>
    <w:p>
      <w:pPr>
        <w:spacing w:line="560" w:lineRule="exact"/>
        <w:ind w:firstLine="422" w:firstLineChars="200"/>
        <w:rPr>
          <w:rFonts w:ascii="Times New Roman" w:hAnsi="Times New Roman"/>
          <w:b/>
          <w:color w:val="000000" w:themeColor="text1"/>
          <w14:textFill>
            <w14:solidFill>
              <w14:schemeClr w14:val="tx1"/>
            </w14:solidFill>
          </w14:textFill>
        </w:rPr>
      </w:pPr>
    </w:p>
    <w:bookmarkEnd w:id="87"/>
    <w:p>
      <w:pP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bookmarkStart w:id="93" w:name="_Toc43278103"/>
      <w:bookmarkStart w:id="94" w:name="_Toc17570"/>
      <w:r>
        <w:rPr>
          <w:rFonts w:hint="eastAsia" w:ascii="Times New Roman" w:hAnsi="Times New Roman" w:eastAsia="仿宋_GB2312"/>
          <w:color w:val="000000" w:themeColor="text1"/>
          <w:sz w:val="32"/>
          <w:szCs w:val="32"/>
          <w14:textFill>
            <w14:solidFill>
              <w14:schemeClr w14:val="tx1"/>
            </w14:solidFill>
          </w14:textFill>
        </w:rPr>
        <w:t>把工业振兴放在优先地位，着力“强龙头、补链条、聚集群”，着力“抓创新、创品牌、拓市场”，以深度融合为发展主线，以提升产业链水平为战略重点，以扩大开放合作为根本出路，以科技创新为第一动力，以增强企业活力为改革重心，以绿色低碳发展为必然要求，推动工业总量扩张、结构优化和效益提升，围绕建设“特色工业产业带”、“特色产业园区”，加大工业招商力度，注重新兴产业培育与传统产业改造升级，协同产业链、创业链、政策链并举，突出国有与民营经济并重，大力推进先进制造业建设，促进产业结构转型升级，完善现代工业特色产业体系，做大经济总量，推动龙胜县工业高质量发展。到2025年，全县实现工业总产值突破30亿元。全县规模工业总产值年均增长12%以上；实现工业增加值达13亿元以上，工业增加值年均增长10%以上。</w:t>
      </w:r>
    </w:p>
    <w:bookmarkEnd w:id="88"/>
    <w:bookmarkEnd w:id="89"/>
    <w:bookmarkEnd w:id="90"/>
    <w:bookmarkEnd w:id="91"/>
    <w:bookmarkEnd w:id="93"/>
    <w:bookmarkEnd w:id="94"/>
    <w:p>
      <w:pPr>
        <w:spacing w:line="560" w:lineRule="exact"/>
        <w:ind w:firstLine="420" w:firstLineChars="200"/>
        <w:rPr>
          <w:rFonts w:ascii="Times New Roman" w:hAnsi="Times New Roman" w:eastAsia="黑体"/>
          <w:color w:val="000000" w:themeColor="text1"/>
          <w14:textFill>
            <w14:solidFill>
              <w14:schemeClr w14:val="tx1"/>
            </w14:solidFill>
          </w14:textFill>
        </w:rPr>
      </w:pPr>
      <w:bookmarkStart w:id="95" w:name="_Toc12561"/>
      <w:bookmarkStart w:id="96" w:name="_Toc9923"/>
      <w:bookmarkStart w:id="97" w:name="_Toc3427"/>
      <w:bookmarkStart w:id="98" w:name="_Toc21441"/>
      <w:bookmarkStart w:id="99" w:name="_Toc61110777"/>
      <w:bookmarkStart w:id="100" w:name="_Toc19469"/>
      <w:bookmarkStart w:id="101" w:name="_Hlk27428372"/>
      <w:bookmarkStart w:id="102" w:name="_Hlk27428087"/>
      <w:bookmarkStart w:id="103" w:name="_Toc26464"/>
      <w:bookmarkStart w:id="104" w:name="_Toc19142"/>
      <w:bookmarkStart w:id="105" w:name="_Toc18400"/>
      <w:bookmarkStart w:id="106" w:name="_Toc2316"/>
    </w:p>
    <w:p>
      <w:pPr>
        <w:pStyle w:val="5"/>
        <w:keepNext w:val="0"/>
        <w:keepLines w:val="0"/>
        <w:spacing w:before="0" w:after="0" w:line="560" w:lineRule="exact"/>
        <w:jc w:val="center"/>
        <w:rPr>
          <w:rFonts w:ascii="Times New Roman" w:hAnsi="Times New Roman" w:eastAsia="黑体"/>
          <w:b w:val="0"/>
          <w:color w:val="000000" w:themeColor="text1"/>
          <w14:textFill>
            <w14:solidFill>
              <w14:schemeClr w14:val="tx1"/>
            </w14:solidFill>
          </w14:textFill>
        </w:rPr>
      </w:pPr>
      <w:bookmarkStart w:id="107" w:name="_Toc6051"/>
      <w:r>
        <w:rPr>
          <w:rFonts w:hint="eastAsia" w:ascii="Times New Roman" w:hAnsi="Times New Roman" w:eastAsia="黑体"/>
          <w:b w:val="0"/>
          <w:color w:val="000000" w:themeColor="text1"/>
          <w14:textFill>
            <w14:solidFill>
              <w14:schemeClr w14:val="tx1"/>
            </w14:solidFill>
          </w14:textFill>
        </w:rPr>
        <w:t>第一节  优化工业发展</w:t>
      </w:r>
      <w:bookmarkEnd w:id="95"/>
      <w:bookmarkEnd w:id="96"/>
      <w:bookmarkEnd w:id="97"/>
      <w:bookmarkEnd w:id="98"/>
      <w:r>
        <w:rPr>
          <w:rFonts w:hint="eastAsia" w:ascii="Times New Roman" w:hAnsi="Times New Roman" w:eastAsia="黑体"/>
          <w:b w:val="0"/>
          <w:color w:val="000000" w:themeColor="text1"/>
          <w14:textFill>
            <w14:solidFill>
              <w14:schemeClr w14:val="tx1"/>
            </w14:solidFill>
          </w14:textFill>
        </w:rPr>
        <w:t>园区</w:t>
      </w:r>
      <w:bookmarkEnd w:id="99"/>
      <w:bookmarkEnd w:id="100"/>
      <w:bookmarkEnd w:id="107"/>
    </w:p>
    <w:p>
      <w:pPr>
        <w:spacing w:line="560" w:lineRule="exact"/>
        <w:ind w:firstLine="640" w:firstLineChars="200"/>
        <w:rPr>
          <w:rFonts w:ascii="Times New Roman" w:hAnsi="Times New Roman" w:eastAsia="仿宋_GB2312"/>
          <w:color w:val="000000" w:themeColor="text1"/>
          <w:kern w:val="0"/>
          <w:sz w:val="32"/>
          <w:szCs w:val="32"/>
          <w14:textFill>
            <w14:solidFill>
              <w14:schemeClr w14:val="tx1"/>
            </w14:solidFill>
          </w14:textFill>
        </w:rPr>
      </w:pPr>
    </w:p>
    <w:p>
      <w:pP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color w:val="000000" w:themeColor="text1"/>
          <w:sz w:val="32"/>
          <w:szCs w:val="32"/>
          <w14:textFill>
            <w14:solidFill>
              <w14:schemeClr w14:val="tx1"/>
            </w14:solidFill>
          </w14:textFill>
        </w:rPr>
        <w:t>在“多规合一”总体框架下，以市场为导向，以提高土地利用效率和提升产业竞争力为目标，立足现有产业发展基础和未来发展趋势，对原有布局进行有效整合，优化产业空间布局，完善园区设施配套，引导产业企业集聚集群发展，力争打造1—2个主导产业，实现产城融合发展。建强滑石特色加工产业园、鸡血玉加工产业园、拉麻扶贫产业园、马堤民合扶贫产业园、瓢里上塘扶贫产业园、瓢里小寨产业园、乐江镇磨坊湾产业园等园区，构建布局合理、多点支撑的工业发展新格局</w:t>
      </w:r>
      <w:bookmarkEnd w:id="101"/>
      <w:r>
        <w:rPr>
          <w:rFonts w:hint="eastAsia" w:ascii="Times New Roman" w:hAnsi="Times New Roman" w:eastAsia="仿宋_GB2312"/>
          <w:color w:val="000000" w:themeColor="text1"/>
          <w:sz w:val="32"/>
          <w:szCs w:val="32"/>
          <w14:textFill>
            <w14:solidFill>
              <w14:schemeClr w14:val="tx1"/>
            </w14:solidFill>
          </w14:textFill>
        </w:rPr>
        <w:t>。到2025年，特色产业园土地开发达到3000亩，工业投资规模50亿以上。抓好园区标准厂房、基础设施、综合服务配套设施等建设；抓住国内国际产业链重构的机遇，积极承接优质产业项目转移，承接以粤港澳大湾区等为重点的产业转移。参与“三企入桂”</w:t>
      </w:r>
      <w:r>
        <w:rPr>
          <w:rFonts w:hint="eastAsia" w:ascii="Times New Roman" w:hAnsi="Times New Roman" w:eastAsia="仿宋_GB2312"/>
          <w:color w:val="000000" w:themeColor="text1"/>
          <w:sz w:val="32"/>
          <w:szCs w:val="32"/>
          <w:vertAlign w:val="superscript"/>
          <w14:textFill>
            <w14:solidFill>
              <w14:schemeClr w14:val="tx1"/>
            </w14:solidFill>
          </w14:textFill>
        </w:rPr>
        <w:footnoteReference w:id="4"/>
      </w:r>
      <w:r>
        <w:rPr>
          <w:rFonts w:hint="eastAsia" w:ascii="Times New Roman" w:hAnsi="Times New Roman" w:eastAsia="仿宋_GB2312"/>
          <w:color w:val="000000" w:themeColor="text1"/>
          <w:sz w:val="32"/>
          <w:szCs w:val="32"/>
          <w14:textFill>
            <w14:solidFill>
              <w14:schemeClr w14:val="tx1"/>
            </w14:solidFill>
          </w14:textFill>
        </w:rPr>
        <w:t>活动，争取更多好企业、好项目落户龙胜县，提升园区承载能力。</w:t>
      </w:r>
      <w:bookmarkStart w:id="108" w:name="baidusnap1"/>
      <w:bookmarkEnd w:id="108"/>
      <w:bookmarkStart w:id="109" w:name="_Toc1151"/>
      <w:bookmarkStart w:id="110" w:name="_Toc5118"/>
      <w:bookmarkStart w:id="111" w:name="_Toc24206"/>
      <w:bookmarkStart w:id="112" w:name="_Toc24643"/>
    </w:p>
    <w:bookmarkEnd w:id="102"/>
    <w:bookmarkEnd w:id="109"/>
    <w:bookmarkEnd w:id="110"/>
    <w:bookmarkEnd w:id="111"/>
    <w:bookmarkEnd w:id="112"/>
    <w:p>
      <w:pPr>
        <w:spacing w:line="560" w:lineRule="exact"/>
        <w:ind w:firstLine="420" w:firstLineChars="200"/>
        <w:rPr>
          <w:rFonts w:ascii="Times New Roman" w:hAnsi="Times New Roman" w:eastAsia="黑体"/>
          <w:color w:val="000000" w:themeColor="text1"/>
          <w14:textFill>
            <w14:solidFill>
              <w14:schemeClr w14:val="tx1"/>
            </w14:solidFill>
          </w14:textFill>
        </w:rPr>
      </w:pPr>
      <w:bookmarkStart w:id="113" w:name="_Toc28527"/>
      <w:bookmarkStart w:id="114" w:name="_Toc8401"/>
      <w:bookmarkStart w:id="115" w:name="_Toc61110778"/>
      <w:bookmarkStart w:id="116" w:name="_Toc11404"/>
      <w:bookmarkStart w:id="117" w:name="_Toc25921"/>
      <w:bookmarkStart w:id="118" w:name="_Toc29828"/>
    </w:p>
    <w:p>
      <w:pPr>
        <w:pStyle w:val="5"/>
        <w:keepNext w:val="0"/>
        <w:keepLines w:val="0"/>
        <w:spacing w:before="0" w:after="0" w:line="560" w:lineRule="exact"/>
        <w:jc w:val="center"/>
        <w:rPr>
          <w:rFonts w:ascii="Times New Roman" w:hAnsi="Times New Roman" w:eastAsia="黑体"/>
          <w:b w:val="0"/>
          <w:color w:val="000000" w:themeColor="text1"/>
          <w14:textFill>
            <w14:solidFill>
              <w14:schemeClr w14:val="tx1"/>
            </w14:solidFill>
          </w14:textFill>
        </w:rPr>
      </w:pPr>
      <w:bookmarkStart w:id="119" w:name="_Toc3586"/>
      <w:r>
        <w:rPr>
          <w:rFonts w:hint="eastAsia" w:ascii="Times New Roman" w:hAnsi="Times New Roman" w:eastAsia="黑体"/>
          <w:b w:val="0"/>
          <w:color w:val="000000" w:themeColor="text1"/>
          <w14:textFill>
            <w14:solidFill>
              <w14:schemeClr w14:val="tx1"/>
            </w14:solidFill>
          </w14:textFill>
        </w:rPr>
        <w:t>第二节  实施特色产业项目</w:t>
      </w:r>
      <w:bookmarkEnd w:id="113"/>
      <w:bookmarkEnd w:id="114"/>
      <w:bookmarkEnd w:id="115"/>
      <w:bookmarkEnd w:id="116"/>
      <w:bookmarkEnd w:id="117"/>
      <w:bookmarkEnd w:id="118"/>
      <w:bookmarkEnd w:id="119"/>
    </w:p>
    <w:p>
      <w:pP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p>
    <w:p>
      <w:pP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color w:val="000000" w:themeColor="text1"/>
          <w:sz w:val="32"/>
          <w:szCs w:val="32"/>
          <w14:textFill>
            <w14:solidFill>
              <w14:schemeClr w14:val="tx1"/>
            </w14:solidFill>
          </w14:textFill>
        </w:rPr>
        <w:t>统筹推进智能化改造、绿色制造推广、关键技术产业化、重大产业基地建设等项目，着力打造一批上规模特色产业集群，培育壮大滑石产业、鸡血玉产业、辉绿岩、花岗岩产业、饮用水产业、竹木加工业、风电产业、农产品加工产业，新培育亿元企业2家以上。</w:t>
      </w:r>
    </w:p>
    <w:p>
      <w:pP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color w:val="000000" w:themeColor="text1"/>
          <w:sz w:val="32"/>
          <w:szCs w:val="32"/>
          <w14:textFill>
            <w14:solidFill>
              <w14:schemeClr w14:val="tx1"/>
            </w14:solidFill>
          </w14:textFill>
        </w:rPr>
        <w:t>一、滑石产业。围绕高端滑石需求，以转型升级为主线、以科技创新为动力，促进矿山绿色化智能化发展。做优做强医药级、化妆品级滑石加工，大力发展滑石母料等以滑石为主要原料的精深加工。积极培育引进高端研发人才，建设自治区级工程研究中心、技术研发中心。推进龙头企业建设，加快产业用地、交通等要素配套完善，创造良好的产业发展环境。通过延伸产业链和提高产品附加值，加快构建高端滑石产业发展模式，将“世界滑石之都”打造成品种丰富、品质优良、技术领先、产业竞争力强的“高端滑石世界工厂”，滑石优势产业综合竞争力处于国内领先水平。到2025年，全县滑石产业总产值达20亿元以上。</w:t>
      </w:r>
    </w:p>
    <w:p>
      <w:pP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color w:val="000000" w:themeColor="text1"/>
          <w:sz w:val="32"/>
          <w:szCs w:val="32"/>
          <w14:textFill>
            <w14:solidFill>
              <w14:schemeClr w14:val="tx1"/>
            </w14:solidFill>
          </w14:textFill>
        </w:rPr>
        <w:t>二、鸡血玉产业。拓展鸡血玉产业链，培育龙头企业和商品市场，在龙胜镇双洞村或龙脊大道建立集精品区、地摊区、原石区、加工雕刻区、博物馆为一体的中心市场。借鉴外地开发新玉种的经验，培养一批玉石雕刻师，将鸡血玉加工成精美旅游产品，融合龙脊旅游宣传，打造具有龙胜县特色的鸡血玉品牌效应。完善公盘交易市场体系，壮大赏玩、收藏、经营者的力量，打造5家以上具有一定规模的鸡血玉深加工企业。</w:t>
      </w:r>
    </w:p>
    <w:p>
      <w:pP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color w:val="000000" w:themeColor="text1"/>
          <w:sz w:val="32"/>
          <w:szCs w:val="32"/>
          <w14:textFill>
            <w14:solidFill>
              <w14:schemeClr w14:val="tx1"/>
            </w14:solidFill>
          </w14:textFill>
        </w:rPr>
        <w:t>三、辉绿岩、花岗岩产业。龙胜县辉绿岩储量大、品质好，主要用作建筑、道路等工程原料，市场前景好。目前，全县有辉绿岩企业3家。到2025年，做好吊竹山石材有限公司、金车光明桥石材有限公司、</w:t>
      </w:r>
      <w:r>
        <w:rPr>
          <w:rStyle w:val="27"/>
          <w:rFonts w:hint="eastAsia" w:ascii="Times New Roman" w:hAnsi="Times New Roman" w:eastAsia="仿宋_GB2312"/>
          <w:i w:val="0"/>
          <w:color w:val="000000" w:themeColor="text1"/>
          <w:sz w:val="32"/>
          <w:szCs w:val="32"/>
          <w:shd w:val="clear" w:color="auto" w:fill="FFFFFF"/>
          <w14:textFill>
            <w14:solidFill>
              <w14:schemeClr w14:val="tx1"/>
            </w14:solidFill>
          </w14:textFill>
        </w:rPr>
        <w:t>鑫辉</w:t>
      </w:r>
      <w:r>
        <w:rPr>
          <w:rFonts w:hint="eastAsia" w:ascii="Times New Roman" w:hAnsi="Times New Roman" w:eastAsia="仿宋_GB2312"/>
          <w:color w:val="000000" w:themeColor="text1"/>
          <w:sz w:val="32"/>
          <w:szCs w:val="32"/>
          <w:shd w:val="clear" w:color="auto" w:fill="FFFFFF"/>
          <w14:textFill>
            <w14:solidFill>
              <w14:schemeClr w14:val="tx1"/>
            </w14:solidFill>
          </w14:textFill>
        </w:rPr>
        <w:t>石业有限责任公司、</w:t>
      </w:r>
      <w:r>
        <w:rPr>
          <w:rFonts w:hint="eastAsia" w:ascii="Times New Roman" w:hAnsi="Times New Roman" w:eastAsia="仿宋_GB2312"/>
          <w:color w:val="000000" w:themeColor="text1"/>
          <w:sz w:val="32"/>
          <w:szCs w:val="32"/>
          <w14:textFill>
            <w14:solidFill>
              <w14:schemeClr w14:val="tx1"/>
            </w14:solidFill>
          </w14:textFill>
        </w:rPr>
        <w:t>瓢里六才山片石场等技术改造，壮大乐江</w:t>
      </w:r>
      <w:r>
        <w:rPr>
          <w:rFonts w:hint="eastAsia" w:ascii="Times New Roman" w:hAnsi="Times New Roman" w:eastAsia="仿宋_GB2312"/>
          <w:bCs/>
          <w:color w:val="000000" w:themeColor="text1"/>
          <w:sz w:val="32"/>
          <w:szCs w:val="32"/>
          <w14:textFill>
            <w14:solidFill>
              <w14:schemeClr w14:val="tx1"/>
            </w14:solidFill>
          </w14:textFill>
        </w:rPr>
        <w:t>辉绿岩、伟江花岗岩等</w:t>
      </w:r>
      <w:r>
        <w:rPr>
          <w:rFonts w:hint="eastAsia" w:ascii="Times New Roman" w:hAnsi="Times New Roman" w:eastAsia="仿宋_GB2312"/>
          <w:color w:val="000000" w:themeColor="text1"/>
          <w:sz w:val="32"/>
          <w:szCs w:val="32"/>
          <w14:textFill>
            <w14:solidFill>
              <w14:schemeClr w14:val="tx1"/>
            </w14:solidFill>
          </w14:textFill>
        </w:rPr>
        <w:t>石材加工产业，重点培育吊竹山石材有限公司进入规模工业企业统计序列。</w:t>
      </w:r>
    </w:p>
    <w:p>
      <w:pP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color w:val="000000" w:themeColor="text1"/>
          <w:sz w:val="32"/>
          <w:szCs w:val="32"/>
          <w14:textFill>
            <w14:solidFill>
              <w14:schemeClr w14:val="tx1"/>
            </w14:solidFill>
          </w14:textFill>
        </w:rPr>
        <w:t>四、饮用水产业。龙胜境内有丰富的天然山泉水，泉水永流不息并无污染，具有含</w:t>
      </w:r>
      <w:r>
        <w:rPr>
          <w:rFonts w:hint="eastAsia" w:ascii="Times New Roman" w:hAnsi="Times New Roman" w:eastAsia="仿宋_GB2312"/>
          <w:bCs/>
          <w:color w:val="000000" w:themeColor="text1"/>
          <w:sz w:val="32"/>
          <w:szCs w:val="32"/>
          <w14:textFill>
            <w14:solidFill>
              <w14:schemeClr w14:val="tx1"/>
            </w14:solidFill>
          </w14:textFill>
        </w:rPr>
        <w:t>晒低钠、低矿化度及天然弱碱等特点，是优质养生山泉水。着力引进国内知名饮用水生产加工企业，培育2家饮用水企业进入规模工业企业统计序列，实现饮用水年销售额2亿元以</w:t>
      </w:r>
      <w:r>
        <w:rPr>
          <w:rFonts w:hint="eastAsia" w:ascii="Times New Roman" w:hAnsi="Times New Roman" w:eastAsia="仿宋_GB2312"/>
          <w:color w:val="000000" w:themeColor="text1"/>
          <w:sz w:val="32"/>
          <w:szCs w:val="32"/>
          <w14:textFill>
            <w14:solidFill>
              <w14:schemeClr w14:val="tx1"/>
            </w14:solidFill>
          </w14:textFill>
        </w:rPr>
        <w:t>上。</w:t>
      </w:r>
    </w:p>
    <w:p>
      <w:pP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color w:val="000000" w:themeColor="text1"/>
          <w:sz w:val="32"/>
          <w:szCs w:val="32"/>
          <w14:textFill>
            <w14:solidFill>
              <w14:schemeClr w14:val="tx1"/>
            </w14:solidFill>
          </w14:textFill>
        </w:rPr>
        <w:t>五、竹木加工产业。利用全县竹木资源丰富的优势，</w:t>
      </w:r>
      <w:bookmarkStart w:id="120" w:name="OLE_LINK22"/>
      <w:r>
        <w:rPr>
          <w:rFonts w:hint="eastAsia" w:ascii="Times New Roman" w:hAnsi="Times New Roman" w:eastAsia="仿宋_GB2312"/>
          <w:color w:val="000000" w:themeColor="text1"/>
          <w:sz w:val="32"/>
          <w:szCs w:val="32"/>
          <w14:textFill>
            <w14:solidFill>
              <w14:schemeClr w14:val="tx1"/>
            </w14:solidFill>
          </w14:textFill>
        </w:rPr>
        <w:t>发展实木家具等高端消费品，开发实木板、实木复合板和竹制品、细木工板、指接板等竹木和多功能人造板产品。</w:t>
      </w:r>
      <w:bookmarkEnd w:id="120"/>
      <w:r>
        <w:rPr>
          <w:rFonts w:hint="eastAsia" w:ascii="Times New Roman" w:hAnsi="Times New Roman" w:eastAsia="仿宋_GB2312"/>
          <w:color w:val="000000" w:themeColor="text1"/>
          <w:sz w:val="32"/>
          <w:szCs w:val="32"/>
          <w14:textFill>
            <w14:solidFill>
              <w14:schemeClr w14:val="tx1"/>
            </w14:solidFill>
          </w14:textFill>
        </w:rPr>
        <w:t>到2025年，在原有的基础上，再培育入库规模以上竹木加工企业2家，竹木加工产业总产值达1亿元以上。</w:t>
      </w:r>
    </w:p>
    <w:p>
      <w:pP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color w:val="000000" w:themeColor="text1"/>
          <w:sz w:val="32"/>
          <w:szCs w:val="32"/>
          <w14:textFill>
            <w14:solidFill>
              <w14:schemeClr w14:val="tx1"/>
            </w14:solidFill>
          </w14:textFill>
        </w:rPr>
        <w:t>六、绿色能源产业。大力发展风电、水电等绿色能源，打造广西绿色能源产业基地。全力推进平等风电场、崇楼风电场、劳山风电场、花界山风电场等项目建设。在严守生态红线的前提下，合理开发利用产值达到规模以上的水力资源，并通过扩容增效和技术改造，提高水电行业的效益和整体竞争实力。到2025年，全县绿色能源（风电、水电）产业总产值达4亿元以上。</w:t>
      </w:r>
    </w:p>
    <w:p>
      <w:pP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color w:val="000000" w:themeColor="text1"/>
          <w:sz w:val="32"/>
          <w:szCs w:val="32"/>
          <w14:textFill>
            <w14:solidFill>
              <w14:schemeClr w14:val="tx1"/>
            </w14:solidFill>
          </w14:textFill>
        </w:rPr>
        <w:t>七、生态食品产业。突</w:t>
      </w:r>
      <w:r>
        <w:rPr>
          <w:rFonts w:hint="eastAsia" w:ascii="Times New Roman" w:hAnsi="Times New Roman" w:eastAsia="仿宋_GB2312"/>
          <w:bCs/>
          <w:color w:val="000000" w:themeColor="text1"/>
          <w:sz w:val="32"/>
          <w:szCs w:val="32"/>
          <w14:textFill>
            <w14:solidFill>
              <w14:schemeClr w14:val="tx1"/>
            </w14:solidFill>
          </w14:textFill>
        </w:rPr>
        <w:t>出“绿色食品”、“有机食品”理念，利用资源优势，发展“拳头”优势产品，形成集聚效应，提升食品质量品牌。以罗汉果、龙脊辣椒、茶油、黑木耳、龙脊茶叶、皇金菊、龙胜红糯、龙脊大米等为依托，开发有机速食食品、旅游土特产品、大健康产品。扶持特色农产品企业的发展，培育具有龙胜特色农产品生态食品、大健康产品品牌。培育以茶油、茶叶等有机农产品为依托的“小、特、专、精”的新型电商快消品小微企业，引入国内知名食品生产加工企业，开发绿色食品和天然果汁类饮品，发展新型功能性食品和保健食品。到2025年，培育1家规模以上生态食品加工业。</w:t>
      </w:r>
    </w:p>
    <w:p>
      <w:pPr>
        <w:spacing w:line="560" w:lineRule="exact"/>
        <w:ind w:firstLine="420" w:firstLineChars="200"/>
        <w:rPr>
          <w:rFonts w:ascii="Times New Roman" w:hAnsi="Times New Roman" w:eastAsia="黑体"/>
          <w:color w:val="000000" w:themeColor="text1"/>
          <w14:textFill>
            <w14:solidFill>
              <w14:schemeClr w14:val="tx1"/>
            </w14:solidFill>
          </w14:textFill>
        </w:rPr>
      </w:pPr>
      <w:bookmarkStart w:id="121" w:name="_Toc21690"/>
      <w:bookmarkStart w:id="122" w:name="_Toc61110779"/>
    </w:p>
    <w:p>
      <w:pPr>
        <w:pStyle w:val="5"/>
        <w:keepNext w:val="0"/>
        <w:keepLines w:val="0"/>
        <w:spacing w:before="0" w:after="0" w:line="560" w:lineRule="exact"/>
        <w:jc w:val="center"/>
        <w:rPr>
          <w:rFonts w:ascii="Times New Roman" w:hAnsi="Times New Roman" w:eastAsia="黑体"/>
          <w:b w:val="0"/>
          <w:color w:val="000000" w:themeColor="text1"/>
          <w14:textFill>
            <w14:solidFill>
              <w14:schemeClr w14:val="tx1"/>
            </w14:solidFill>
          </w14:textFill>
        </w:rPr>
      </w:pPr>
      <w:bookmarkStart w:id="123" w:name="_Toc18381"/>
      <w:r>
        <w:rPr>
          <w:rFonts w:hint="eastAsia" w:ascii="Times New Roman" w:hAnsi="Times New Roman" w:eastAsia="黑体"/>
          <w:b w:val="0"/>
          <w:color w:val="000000" w:themeColor="text1"/>
          <w14:textFill>
            <w14:solidFill>
              <w14:schemeClr w14:val="tx1"/>
            </w14:solidFill>
          </w14:textFill>
        </w:rPr>
        <w:t>第三节  壮大龙头骨干企业</w:t>
      </w:r>
      <w:bookmarkEnd w:id="121"/>
      <w:bookmarkEnd w:id="122"/>
      <w:bookmarkEnd w:id="123"/>
    </w:p>
    <w:p>
      <w:pP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p>
    <w:p>
      <w:pPr>
        <w:pStyle w:val="31"/>
        <w:autoSpaceDE/>
        <w:autoSpaceDN/>
        <w:adjustRightInd/>
        <w:spacing w:line="560" w:lineRule="exact"/>
        <w:ind w:firstLine="640" w:firstLineChars="200"/>
        <w:jc w:val="both"/>
        <w:rPr>
          <w:rFonts w:ascii="Times New Roman" w:hAnsi="Times New Roman" w:eastAsia="黑体"/>
          <w:color w:val="000000" w:themeColor="text1"/>
          <w:sz w:val="32"/>
          <w:szCs w:val="32"/>
          <w14:textFill>
            <w14:solidFill>
              <w14:schemeClr w14:val="tx1"/>
            </w14:solidFill>
          </w14:textFill>
        </w:rPr>
      </w:pPr>
      <w:r>
        <w:rPr>
          <w:rFonts w:hint="eastAsia" w:ascii="Times New Roman" w:hAnsi="Times New Roman" w:eastAsia="仿宋_GB2312"/>
          <w:color w:val="000000" w:themeColor="text1"/>
          <w:sz w:val="32"/>
          <w:szCs w:val="32"/>
          <w14:textFill>
            <w14:solidFill>
              <w14:schemeClr w14:val="tx1"/>
            </w14:solidFill>
          </w14:textFill>
        </w:rPr>
        <w:t>实施龙头企业培育计划，</w:t>
      </w:r>
      <w:r>
        <w:rPr>
          <w:rFonts w:hint="eastAsia" w:ascii="Times New Roman" w:hAnsi="Times New Roman" w:eastAsia="仿宋_GB2312"/>
          <w:color w:val="000000" w:themeColor="text1"/>
          <w:sz w:val="32"/>
          <w:szCs w:val="32"/>
          <w:lang w:bidi="ar"/>
          <w14:textFill>
            <w14:solidFill>
              <w14:schemeClr w14:val="tx1"/>
            </w14:solidFill>
          </w14:textFill>
        </w:rPr>
        <w:t>依托滑石、风电、水电等资源优势，</w:t>
      </w:r>
      <w:r>
        <w:rPr>
          <w:rFonts w:hint="eastAsia" w:ascii="Times New Roman" w:hAnsi="Times New Roman" w:eastAsia="仿宋_GB2312"/>
          <w:color w:val="000000" w:themeColor="text1"/>
          <w:sz w:val="32"/>
          <w:szCs w:val="32"/>
          <w14:textFill>
            <w14:solidFill>
              <w14:schemeClr w14:val="tx1"/>
            </w14:solidFill>
          </w14:textFill>
        </w:rPr>
        <w:t>重点培育桂广滑石开发有限公司、龙广滑石开发股份有限公司、龙胜华美滑石开发有限公司、大唐桂林新能源有限公司等一批龙头企业，支持完善产业链配套，通过完善服务机制、强化要素保障和政策支持，扩大规模，提高档次，力争在工业发展上实现新突破，推动企业成为区域性知名龙头企业或行业领军企业。</w:t>
      </w:r>
      <w:bookmarkStart w:id="124" w:name="_Toc61110780"/>
      <w:bookmarkStart w:id="125" w:name="_Toc9650"/>
    </w:p>
    <w:p>
      <w:pPr>
        <w:pStyle w:val="31"/>
        <w:autoSpaceDE/>
        <w:autoSpaceDN/>
        <w:adjustRightInd/>
        <w:spacing w:line="560" w:lineRule="exact"/>
        <w:ind w:firstLine="480" w:firstLineChars="200"/>
        <w:jc w:val="both"/>
        <w:rPr>
          <w:rFonts w:ascii="Times New Roman" w:hAnsi="Times New Roman" w:eastAsia="黑体"/>
          <w:color w:val="000000" w:themeColor="text1"/>
          <w14:textFill>
            <w14:solidFill>
              <w14:schemeClr w14:val="tx1"/>
            </w14:solidFill>
          </w14:textFill>
        </w:rPr>
      </w:pPr>
    </w:p>
    <w:p>
      <w:pPr>
        <w:pStyle w:val="5"/>
        <w:keepNext w:val="0"/>
        <w:keepLines w:val="0"/>
        <w:spacing w:before="0" w:after="0" w:line="560" w:lineRule="exact"/>
        <w:jc w:val="center"/>
        <w:rPr>
          <w:rFonts w:ascii="Times New Roman" w:hAnsi="Times New Roman" w:eastAsia="黑体"/>
          <w:b w:val="0"/>
          <w:color w:val="000000" w:themeColor="text1"/>
          <w14:textFill>
            <w14:solidFill>
              <w14:schemeClr w14:val="tx1"/>
            </w14:solidFill>
          </w14:textFill>
        </w:rPr>
      </w:pPr>
      <w:bookmarkStart w:id="126" w:name="_Toc10149"/>
      <w:r>
        <w:rPr>
          <w:rFonts w:hint="eastAsia" w:ascii="Times New Roman" w:hAnsi="Times New Roman" w:eastAsia="黑体"/>
          <w:b w:val="0"/>
          <w:color w:val="000000" w:themeColor="text1"/>
          <w14:textFill>
            <w14:solidFill>
              <w14:schemeClr w14:val="tx1"/>
            </w14:solidFill>
          </w14:textFill>
        </w:rPr>
        <w:t>第四节  信息数字设施建设</w:t>
      </w:r>
      <w:bookmarkEnd w:id="124"/>
      <w:bookmarkEnd w:id="125"/>
      <w:bookmarkEnd w:id="126"/>
    </w:p>
    <w:p>
      <w:pPr>
        <w:pStyle w:val="31"/>
        <w:autoSpaceDE/>
        <w:autoSpaceDN/>
        <w:adjustRightInd/>
        <w:spacing w:line="560" w:lineRule="exact"/>
        <w:ind w:firstLine="640" w:firstLineChars="200"/>
        <w:jc w:val="both"/>
        <w:rPr>
          <w:rFonts w:ascii="Times New Roman" w:hAnsi="Times New Roman" w:eastAsia="仿宋_GB2312"/>
          <w:color w:val="000000" w:themeColor="text1"/>
          <w:sz w:val="32"/>
          <w:szCs w:val="32"/>
          <w14:textFill>
            <w14:solidFill>
              <w14:schemeClr w14:val="tx1"/>
            </w14:solidFill>
          </w14:textFill>
        </w:rPr>
      </w:pPr>
    </w:p>
    <w:p>
      <w:pP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color w:val="000000" w:themeColor="text1"/>
          <w:sz w:val="32"/>
          <w:szCs w:val="32"/>
          <w14:textFill>
            <w14:solidFill>
              <w14:schemeClr w14:val="tx1"/>
            </w14:solidFill>
          </w14:textFill>
        </w:rPr>
        <w:t>推动信息基础设施与城市公共设施同步建设，促进全县信息管线、铁塔基站室内分布系</w:t>
      </w:r>
      <w:bookmarkStart w:id="394" w:name="_GoBack"/>
      <w:r>
        <w:rPr>
          <w:rFonts w:hint="eastAsia" w:ascii="Times New Roman" w:hAnsi="Times New Roman" w:eastAsia="仿宋_GB2312"/>
          <w:color w:val="000000" w:themeColor="text1"/>
          <w:sz w:val="32"/>
          <w:szCs w:val="32"/>
          <w14:textFill>
            <w14:solidFill>
              <w14:schemeClr w14:val="tx1"/>
            </w14:solidFill>
          </w14:textFill>
        </w:rPr>
        <w:t>统等</w:t>
      </w:r>
      <w:bookmarkEnd w:id="394"/>
      <w:r>
        <w:rPr>
          <w:rFonts w:hint="eastAsia" w:ascii="Times New Roman" w:hAnsi="Times New Roman" w:eastAsia="仿宋_GB2312"/>
          <w:color w:val="000000" w:themeColor="text1"/>
          <w:sz w:val="32"/>
          <w:szCs w:val="32"/>
          <w14:textFill>
            <w14:solidFill>
              <w14:schemeClr w14:val="tx1"/>
            </w14:solidFill>
          </w14:textFill>
        </w:rPr>
        <w:t>基础设施资源的开放和共享，提升宽带用户接入速率和普及水平。发展数字经济，布局5G、物联网、北斗导航、语音图像识别等数字产业，开展5G网络组网及应用示范、融入“中国-东盟信息港”建设，促进大数据、人工智能、物联网等前沿信息技术与实体经济深度融合，推动产业数字化、数字产业化。保护各类数字化资产，营造有利于数字技术产业化的良好环境。到2025年，全县119个行政村庄实现5G网络全覆盖。</w:t>
      </w:r>
    </w:p>
    <w:p>
      <w:pPr>
        <w:spacing w:line="560" w:lineRule="exact"/>
        <w:ind w:firstLine="420" w:firstLineChars="200"/>
        <w:rPr>
          <w:rFonts w:ascii="Times New Roman" w:hAnsi="Times New Roman" w:eastAsia="黑体"/>
          <w:color w:val="000000" w:themeColor="text1"/>
          <w14:textFill>
            <w14:solidFill>
              <w14:schemeClr w14:val="tx1"/>
            </w14:solidFill>
          </w14:textFill>
        </w:rPr>
      </w:pPr>
      <w:bookmarkStart w:id="127" w:name="_Toc8877"/>
      <w:bookmarkStart w:id="128" w:name="_Toc61110781"/>
    </w:p>
    <w:p>
      <w:pPr>
        <w:pStyle w:val="5"/>
        <w:keepNext w:val="0"/>
        <w:keepLines w:val="0"/>
        <w:spacing w:before="0" w:after="0" w:line="560" w:lineRule="exact"/>
        <w:jc w:val="center"/>
        <w:rPr>
          <w:rFonts w:ascii="Times New Roman" w:hAnsi="Times New Roman" w:eastAsia="黑体"/>
          <w:b w:val="0"/>
          <w:color w:val="000000" w:themeColor="text1"/>
          <w14:textFill>
            <w14:solidFill>
              <w14:schemeClr w14:val="tx1"/>
            </w14:solidFill>
          </w14:textFill>
        </w:rPr>
      </w:pPr>
      <w:bookmarkStart w:id="129" w:name="_Toc29863"/>
      <w:r>
        <w:rPr>
          <w:rFonts w:hint="eastAsia" w:ascii="Times New Roman" w:hAnsi="Times New Roman" w:eastAsia="黑体"/>
          <w:b w:val="0"/>
          <w:color w:val="000000" w:themeColor="text1"/>
          <w14:textFill>
            <w14:solidFill>
              <w14:schemeClr w14:val="tx1"/>
            </w14:solidFill>
          </w14:textFill>
        </w:rPr>
        <w:t>第五节  要素和机制保障</w:t>
      </w:r>
      <w:bookmarkEnd w:id="127"/>
      <w:bookmarkEnd w:id="128"/>
      <w:bookmarkEnd w:id="129"/>
    </w:p>
    <w:p>
      <w:pP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p>
    <w:p>
      <w:pPr>
        <w:spacing w:line="560" w:lineRule="exact"/>
        <w:ind w:firstLine="640" w:firstLineChars="200"/>
        <w:jc w:val="left"/>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color w:val="000000" w:themeColor="text1"/>
          <w:sz w:val="32"/>
          <w:szCs w:val="32"/>
          <w14:textFill>
            <w14:solidFill>
              <w14:schemeClr w14:val="tx1"/>
            </w14:solidFill>
          </w14:textFill>
        </w:rPr>
        <w:t>确保关键要素资源向工业倾斜。做好土地储备，充分利用龙城高速公路临时用地和沿线的矿产（石材）资源，调整土地利用规划和矿产资源规划，做好土地储备用地的规划和利用工作，为龙胜县今后的经济可持续发展储蓄后备资源。同时，要像保护基本农田一样保护工业发展空间，新增建设用地指标优先保障工业用地需求，探索实施多元工业用地供给方式；加大财政资金对工业支持力度，建立县级工业投融资平台，推动工业发展专项资金、产业投资基金、融资担保资金、直接股权投资向重点企业和项目集中；降低工业企业水、电、气、交通、通信等成本。</w:t>
      </w:r>
    </w:p>
    <w:p>
      <w:pPr>
        <w:pStyle w:val="2"/>
        <w:spacing w:before="156" w:beforeLines="50" w:after="156" w:afterLines="50"/>
        <w:ind w:left="0" w:leftChars="0"/>
        <w:jc w:val="center"/>
        <w:rPr>
          <w:rFonts w:ascii="Times New Roman" w:hAnsi="Times New Roman"/>
          <w:color w:val="000000" w:themeColor="text1"/>
          <w14:textFill>
            <w14:solidFill>
              <w14:schemeClr w14:val="tx1"/>
            </w14:solidFill>
          </w14:textFill>
        </w:rPr>
      </w:pPr>
      <w:r>
        <w:rPr>
          <w:rFonts w:hint="eastAsia" w:ascii="Times New Roman" w:hAnsi="Times New Roman" w:eastAsia="仿宋"/>
          <w:b/>
          <w:color w:val="000000" w:themeColor="text1"/>
          <w:sz w:val="28"/>
          <w:szCs w:val="28"/>
          <w14:textFill>
            <w14:solidFill>
              <w14:schemeClr w14:val="tx1"/>
            </w14:solidFill>
          </w14:textFill>
        </w:rPr>
        <w:t>专栏1     工业产业重大项目工程</w:t>
      </w:r>
    </w:p>
    <w:tbl>
      <w:tblPr>
        <w:tblStyle w:val="22"/>
        <w:tblW w:w="87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8" w:hRule="atLeast"/>
          <w:jc w:val="center"/>
        </w:trPr>
        <w:tc>
          <w:tcPr>
            <w:tcW w:w="8787" w:type="dxa"/>
          </w:tcPr>
          <w:p>
            <w:pPr>
              <w:adjustRightInd w:val="0"/>
              <w:snapToGrid w:val="0"/>
              <w:spacing w:line="276" w:lineRule="auto"/>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
                <w:b/>
                <w:bCs/>
                <w:color w:val="000000" w:themeColor="text1"/>
                <w:sz w:val="24"/>
                <w14:textFill>
                  <w14:solidFill>
                    <w14:schemeClr w14:val="tx1"/>
                  </w14:solidFill>
                </w14:textFill>
              </w:rPr>
              <w:t>1.滑石矿山技改项目：</w:t>
            </w:r>
            <w:r>
              <w:rPr>
                <w:rFonts w:hint="eastAsia" w:ascii="Times New Roman" w:hAnsi="Times New Roman" w:eastAsia="仿宋"/>
                <w:color w:val="000000" w:themeColor="text1"/>
                <w:sz w:val="24"/>
                <w14:textFill>
                  <w14:solidFill>
                    <w14:schemeClr w14:val="tx1"/>
                  </w14:solidFill>
                </w14:textFill>
              </w:rPr>
              <w:t>桂广滑石开发有限公司二期技改项目、龙广滑石股份有限公司技改项目、华美滑石开发有限公司上朗矿区露天开采二期技改项目、瓢里镇滑石工业集中区老基地改造项目、龙胜鑫辉石业有限责任公司技改项目。</w:t>
            </w:r>
          </w:p>
          <w:p>
            <w:pPr>
              <w:adjustRightInd w:val="0"/>
              <w:snapToGrid w:val="0"/>
              <w:spacing w:line="276" w:lineRule="auto"/>
              <w:rPr>
                <w:rFonts w:ascii="Times New Roman" w:hAnsi="Times New Roman" w:eastAsia="仿宋"/>
                <w:color w:val="000000" w:themeColor="text1"/>
                <w:sz w:val="24"/>
                <w14:textFill>
                  <w14:solidFill>
                    <w14:schemeClr w14:val="tx1"/>
                  </w14:solidFill>
                </w14:textFill>
              </w:rPr>
            </w:pPr>
            <w:r>
              <w:rPr>
                <w:rFonts w:hint="eastAsia" w:ascii="Times New Roman" w:hAnsi="Times New Roman" w:eastAsia="仿宋"/>
                <w:b/>
                <w:bCs/>
                <w:color w:val="000000" w:themeColor="text1"/>
                <w:sz w:val="24"/>
                <w14:textFill>
                  <w14:solidFill>
                    <w14:schemeClr w14:val="tx1"/>
                  </w14:solidFill>
                </w14:textFill>
              </w:rPr>
              <w:t>2.产业园建设项目：</w:t>
            </w:r>
            <w:r>
              <w:rPr>
                <w:rFonts w:hint="eastAsia" w:ascii="Times New Roman" w:hAnsi="Times New Roman" w:eastAsia="仿宋"/>
                <w:color w:val="000000" w:themeColor="text1"/>
                <w:sz w:val="24"/>
                <w14:textFill>
                  <w14:solidFill>
                    <w14:schemeClr w14:val="tx1"/>
                  </w14:solidFill>
                </w14:textFill>
              </w:rPr>
              <w:t>龙胜县滑石深加工产业园、龙胜县拉麻扶贫产业园项目、龙胜县乐江镇磨坊湾园区项目、龙胜县鸡血玉加工及鸡血玉博物馆项目、龙胜县上塘扶贫产业园项目、龙胜县瓢里人造大理石产业园项目。</w:t>
            </w:r>
          </w:p>
          <w:p>
            <w:pPr>
              <w:adjustRightInd w:val="0"/>
              <w:snapToGrid w:val="0"/>
              <w:spacing w:line="276" w:lineRule="auto"/>
              <w:rPr>
                <w:rFonts w:ascii="Times New Roman" w:hAnsi="Times New Roman" w:eastAsia="仿宋"/>
                <w:color w:val="000000" w:themeColor="text1"/>
                <w:sz w:val="24"/>
                <w14:textFill>
                  <w14:solidFill>
                    <w14:schemeClr w14:val="tx1"/>
                  </w14:solidFill>
                </w14:textFill>
              </w:rPr>
            </w:pPr>
            <w:r>
              <w:rPr>
                <w:rFonts w:hint="eastAsia" w:ascii="Times New Roman" w:hAnsi="Times New Roman" w:eastAsia="仿宋"/>
                <w:b/>
                <w:bCs/>
                <w:color w:val="000000" w:themeColor="text1"/>
                <w:sz w:val="24"/>
                <w14:textFill>
                  <w14:solidFill>
                    <w14:schemeClr w14:val="tx1"/>
                  </w14:solidFill>
                </w14:textFill>
              </w:rPr>
              <w:t>3.农产品精深加工产业项目：</w:t>
            </w:r>
            <w:r>
              <w:rPr>
                <w:rFonts w:hint="eastAsia" w:ascii="Times New Roman" w:hAnsi="Times New Roman" w:eastAsia="仿宋"/>
                <w:color w:val="000000" w:themeColor="text1"/>
                <w:sz w:val="24"/>
                <w14:textFill>
                  <w14:solidFill>
                    <w14:schemeClr w14:val="tx1"/>
                  </w14:solidFill>
                </w14:textFill>
              </w:rPr>
              <w:t>龙胜县农产品加工贮藏项目、龙胜县伟江乡有机农产品加工产业园、龙胜县瓢里上塘罗汉果深加工项目。</w:t>
            </w:r>
          </w:p>
          <w:p>
            <w:pPr>
              <w:adjustRightInd w:val="0"/>
              <w:snapToGrid w:val="0"/>
              <w:spacing w:line="276" w:lineRule="auto"/>
              <w:rPr>
                <w:rFonts w:ascii="Times New Roman" w:hAnsi="Times New Roman" w:eastAsia="仿宋"/>
                <w:color w:val="000000" w:themeColor="text1"/>
                <w:sz w:val="24"/>
                <w14:textFill>
                  <w14:solidFill>
                    <w14:schemeClr w14:val="tx1"/>
                  </w14:solidFill>
                </w14:textFill>
              </w:rPr>
            </w:pPr>
            <w:r>
              <w:rPr>
                <w:rFonts w:hint="eastAsia" w:ascii="Times New Roman" w:hAnsi="Times New Roman" w:eastAsia="仿宋"/>
                <w:b/>
                <w:bCs/>
                <w:color w:val="000000" w:themeColor="text1"/>
                <w:sz w:val="24"/>
                <w14:textFill>
                  <w14:solidFill>
                    <w14:schemeClr w14:val="tx1"/>
                  </w14:solidFill>
                </w14:textFill>
              </w:rPr>
              <w:t>4.矿泉水项目</w:t>
            </w:r>
            <w:r>
              <w:rPr>
                <w:rFonts w:hint="eastAsia" w:ascii="Times New Roman" w:hAnsi="Times New Roman" w:eastAsia="仿宋"/>
                <w:color w:val="000000" w:themeColor="text1"/>
                <w:sz w:val="24"/>
                <w14:textFill>
                  <w14:solidFill>
                    <w14:schemeClr w14:val="tx1"/>
                  </w14:solidFill>
                </w14:textFill>
              </w:rPr>
              <w:t>：龙胜县九九天霖甘泉水业生态旅游基地、那秀矿泉水扩建项目。</w:t>
            </w:r>
          </w:p>
          <w:p>
            <w:pPr>
              <w:adjustRightInd w:val="0"/>
              <w:snapToGrid w:val="0"/>
              <w:spacing w:line="276" w:lineRule="auto"/>
              <w:rPr>
                <w:rFonts w:ascii="Times New Roman" w:hAnsi="Times New Roman" w:eastAsia="仿宋"/>
                <w:color w:val="000000" w:themeColor="text1"/>
                <w:sz w:val="24"/>
                <w14:textFill>
                  <w14:solidFill>
                    <w14:schemeClr w14:val="tx1"/>
                  </w14:solidFill>
                </w14:textFill>
              </w:rPr>
            </w:pPr>
            <w:r>
              <w:rPr>
                <w:rFonts w:hint="eastAsia" w:ascii="Times New Roman" w:hAnsi="Times New Roman" w:eastAsia="仿宋"/>
                <w:b/>
                <w:bCs/>
                <w:color w:val="000000" w:themeColor="text1"/>
                <w:sz w:val="24"/>
                <w14:textFill>
                  <w14:solidFill>
                    <w14:schemeClr w14:val="tx1"/>
                  </w14:solidFill>
                </w14:textFill>
              </w:rPr>
              <w:t>5.竹木加工项目：</w:t>
            </w:r>
            <w:r>
              <w:rPr>
                <w:rFonts w:hint="eastAsia" w:ascii="Times New Roman" w:hAnsi="Times New Roman" w:eastAsia="仿宋"/>
                <w:color w:val="000000" w:themeColor="text1"/>
                <w:sz w:val="24"/>
                <w14:textFill>
                  <w14:solidFill>
                    <w14:schemeClr w14:val="tx1"/>
                  </w14:solidFill>
                </w14:textFill>
              </w:rPr>
              <w:t>龙胜县江底乡竹子加工基地项目、瓢里镇竹子加工基地项目。</w:t>
            </w:r>
          </w:p>
          <w:p>
            <w:pPr>
              <w:adjustRightInd w:val="0"/>
              <w:snapToGrid w:val="0"/>
              <w:spacing w:line="276" w:lineRule="auto"/>
              <w:rPr>
                <w:rFonts w:ascii="Times New Roman" w:hAnsi="Times New Roman" w:eastAsia="仿宋"/>
                <w:color w:val="000000" w:themeColor="text1"/>
                <w:sz w:val="24"/>
                <w14:textFill>
                  <w14:solidFill>
                    <w14:schemeClr w14:val="tx1"/>
                  </w14:solidFill>
                </w14:textFill>
              </w:rPr>
            </w:pPr>
            <w:r>
              <w:rPr>
                <w:rFonts w:hint="eastAsia" w:ascii="Times New Roman" w:hAnsi="Times New Roman" w:eastAsia="仿宋"/>
                <w:b/>
                <w:bCs/>
                <w:color w:val="000000" w:themeColor="text1"/>
                <w:sz w:val="24"/>
                <w14:textFill>
                  <w14:solidFill>
                    <w14:schemeClr w14:val="tx1"/>
                  </w14:solidFill>
                </w14:textFill>
              </w:rPr>
              <w:t>6.清洁能源风能发电基地建设项目：</w:t>
            </w:r>
            <w:r>
              <w:rPr>
                <w:rFonts w:hint="eastAsia" w:ascii="Times New Roman" w:hAnsi="Times New Roman" w:eastAsia="仿宋"/>
                <w:color w:val="000000" w:themeColor="text1"/>
                <w:sz w:val="24"/>
                <w14:textFill>
                  <w14:solidFill>
                    <w14:schemeClr w14:val="tx1"/>
                  </w14:solidFill>
                </w14:textFill>
              </w:rPr>
              <w:t>龙胜县南山风电场二期、龙胜县平等风电场项目、龙胜县花界山风电场项目、龙胜县劳山风电场项目、龙胜县崇楼风电场项目。</w:t>
            </w:r>
          </w:p>
          <w:p>
            <w:pPr>
              <w:adjustRightInd w:val="0"/>
              <w:snapToGrid w:val="0"/>
              <w:spacing w:line="276" w:lineRule="auto"/>
              <w:rPr>
                <w:rFonts w:ascii="Times New Roman" w:hAnsi="Times New Roman" w:eastAsia="仿宋_GB2312"/>
                <w:color w:val="000000" w:themeColor="text1"/>
                <w:sz w:val="28"/>
                <w:szCs w:val="28"/>
                <w14:textFill>
                  <w14:solidFill>
                    <w14:schemeClr w14:val="tx1"/>
                  </w14:solidFill>
                </w14:textFill>
              </w:rPr>
            </w:pPr>
            <w:r>
              <w:rPr>
                <w:rFonts w:hint="eastAsia" w:ascii="Times New Roman" w:hAnsi="Times New Roman" w:eastAsia="仿宋"/>
                <w:b/>
                <w:bCs/>
                <w:color w:val="000000" w:themeColor="text1"/>
                <w:sz w:val="24"/>
                <w14:textFill>
                  <w14:solidFill>
                    <w14:schemeClr w14:val="tx1"/>
                  </w14:solidFill>
                </w14:textFill>
              </w:rPr>
              <w:t>7.战略性新兴产业重大建设项目</w:t>
            </w:r>
            <w:r>
              <w:rPr>
                <w:rFonts w:hint="eastAsia" w:ascii="Times New Roman" w:hAnsi="Times New Roman" w:eastAsia="仿宋"/>
                <w:color w:val="000000" w:themeColor="text1"/>
                <w:sz w:val="24"/>
                <w14:textFill>
                  <w14:solidFill>
                    <w14:schemeClr w14:val="tx1"/>
                  </w14:solidFill>
                </w14:textFill>
              </w:rPr>
              <w:t>：龙胜县瓢里中心粮库整体搬迁项目。</w:t>
            </w:r>
          </w:p>
        </w:tc>
      </w:tr>
    </w:tbl>
    <w:p>
      <w:pPr>
        <w:adjustRightInd w:val="0"/>
        <w:snapToGrid w:val="0"/>
        <w:spacing w:before="156" w:beforeLines="50" w:line="560" w:lineRule="exact"/>
        <w:jc w:val="center"/>
        <w:rPr>
          <w:rFonts w:ascii="Times New Roman" w:hAnsi="Times New Roman" w:eastAsia="仿宋"/>
          <w:b/>
          <w:color w:val="000000" w:themeColor="text1"/>
          <w:sz w:val="28"/>
          <w:szCs w:val="28"/>
          <w14:textFill>
            <w14:solidFill>
              <w14:schemeClr w14:val="tx1"/>
            </w14:solidFill>
          </w14:textFill>
        </w:rPr>
      </w:pPr>
    </w:p>
    <w:p>
      <w:pPr>
        <w:pStyle w:val="4"/>
        <w:keepNext w:val="0"/>
        <w:keepLines w:val="0"/>
        <w:spacing w:before="0" w:after="0" w:line="560" w:lineRule="exact"/>
        <w:ind w:firstLine="640" w:firstLineChars="200"/>
        <w:jc w:val="center"/>
        <w:rPr>
          <w:rFonts w:ascii="Times New Roman" w:hAnsi="Times New Roman" w:eastAsia="黑体" w:cs="Times New Roman"/>
          <w:b w:val="0"/>
          <w:color w:val="000000" w:themeColor="text1"/>
          <w14:textFill>
            <w14:solidFill>
              <w14:schemeClr w14:val="tx1"/>
            </w14:solidFill>
          </w14:textFill>
        </w:rPr>
      </w:pPr>
      <w:bookmarkStart w:id="130" w:name="_Toc61110782"/>
      <w:bookmarkStart w:id="131" w:name="_Toc19314"/>
      <w:bookmarkStart w:id="132" w:name="_Toc17605"/>
      <w:r>
        <w:rPr>
          <w:rFonts w:hint="eastAsia" w:ascii="Times New Roman" w:hAnsi="Times New Roman" w:eastAsia="黑体" w:cs="Times New Roman"/>
          <w:b w:val="0"/>
          <w:color w:val="000000" w:themeColor="text1"/>
          <w14:textFill>
            <w14:solidFill>
              <w14:schemeClr w14:val="tx1"/>
            </w14:solidFill>
          </w14:textFill>
        </w:rPr>
        <w:t>第五章  实施乡村振兴，巩固拓展脱贫攻坚成果</w:t>
      </w:r>
      <w:bookmarkEnd w:id="103"/>
      <w:bookmarkEnd w:id="104"/>
      <w:bookmarkEnd w:id="130"/>
      <w:bookmarkEnd w:id="131"/>
      <w:bookmarkEnd w:id="132"/>
    </w:p>
    <w:p>
      <w:pPr>
        <w:pStyle w:val="41"/>
        <w:keepNext w:val="0"/>
        <w:keepLines w:val="0"/>
        <w:adjustRightInd/>
        <w:snapToGrid/>
        <w:spacing w:before="0" w:beforeLines="0" w:line="560" w:lineRule="exact"/>
        <w:ind w:left="0" w:leftChars="0" w:firstLine="643" w:firstLineChars="200"/>
        <w:jc w:val="center"/>
        <w:outlineLvl w:val="9"/>
        <w:rPr>
          <w:rFonts w:ascii="Times New Roman" w:hAnsi="Times New Roman" w:cs="Times New Roman"/>
          <w:b/>
          <w:bCs w:val="0"/>
          <w:color w:val="000000" w:themeColor="text1"/>
          <w14:textFill>
            <w14:solidFill>
              <w14:schemeClr w14:val="tx1"/>
            </w14:solidFill>
          </w14:textFill>
        </w:rPr>
      </w:pPr>
    </w:p>
    <w:bookmarkEnd w:id="105"/>
    <w:bookmarkEnd w:id="106"/>
    <w:p>
      <w:pP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bookmarkStart w:id="133" w:name="_Toc61110788"/>
      <w:bookmarkStart w:id="134" w:name="_Toc3031"/>
      <w:r>
        <w:rPr>
          <w:rFonts w:hint="eastAsia" w:ascii="Times New Roman" w:hAnsi="Times New Roman" w:eastAsia="仿宋_GB2312"/>
          <w:color w:val="000000" w:themeColor="text1"/>
          <w:sz w:val="32"/>
          <w:szCs w:val="32"/>
          <w14:textFill>
            <w14:solidFill>
              <w14:schemeClr w14:val="tx1"/>
            </w14:solidFill>
          </w14:textFill>
        </w:rPr>
        <w:t>坚持把解决好“三农”问题作为全县工作的重中之重，抓好“五年过渡期”</w:t>
      </w:r>
      <w:r>
        <w:rPr>
          <w:rFonts w:hint="eastAsia" w:ascii="Times New Roman" w:hAnsi="Times New Roman" w:eastAsia="仿宋_GB2312"/>
          <w:color w:val="000000" w:themeColor="text1"/>
          <w:sz w:val="32"/>
          <w:szCs w:val="32"/>
          <w:vertAlign w:val="superscript"/>
          <w14:textFill>
            <w14:solidFill>
              <w14:schemeClr w14:val="tx1"/>
            </w14:solidFill>
          </w14:textFill>
        </w:rPr>
        <w:footnoteReference w:id="5"/>
      </w:r>
      <w:r>
        <w:rPr>
          <w:rFonts w:hint="eastAsia" w:ascii="Times New Roman" w:hAnsi="Times New Roman" w:eastAsia="仿宋_GB2312"/>
          <w:color w:val="000000" w:themeColor="text1"/>
          <w:sz w:val="32"/>
          <w:szCs w:val="32"/>
          <w14:textFill>
            <w14:solidFill>
              <w14:schemeClr w14:val="tx1"/>
            </w14:solidFill>
          </w14:textFill>
        </w:rPr>
        <w:t>，实现</w:t>
      </w:r>
      <w:r>
        <w:rPr>
          <w:rFonts w:hint="eastAsia" w:ascii="Times New Roman" w:hAnsi="Times New Roman" w:eastAsia="仿宋_GB2312"/>
          <w:color w:val="000000" w:themeColor="text1"/>
          <w:sz w:val="32"/>
          <w:szCs w:val="32"/>
          <w:lang w:eastAsia="zh-CN"/>
          <w14:textFill>
            <w14:solidFill>
              <w14:schemeClr w14:val="tx1"/>
            </w14:solidFill>
          </w14:textFill>
        </w:rPr>
        <w:t>巩固拓展脱贫攻坚成果同乡村振兴有效衔接</w:t>
      </w:r>
      <w:r>
        <w:rPr>
          <w:rFonts w:hint="eastAsia" w:ascii="Times New Roman" w:hAnsi="Times New Roman" w:eastAsia="仿宋_GB2312"/>
          <w:color w:val="000000" w:themeColor="text1"/>
          <w:sz w:val="32"/>
          <w:szCs w:val="32"/>
          <w14:textFill>
            <w14:solidFill>
              <w14:schemeClr w14:val="tx1"/>
            </w14:solidFill>
          </w14:textFill>
        </w:rPr>
        <w:t>，按照乡村振兴“产业兴旺、生态宜居、乡风文明、治理有效、生活富裕”总要求，全面实施乡村振兴战略，推进乡村建设行动，提高特色农业质量效益和竞争力，加快新型城镇化示范乡镇和田园综合体建设，着力构建现代农业产业、生产、经营体系建设，提高农业质量效益和竞争力，推动农林牧渔结合、种养加一体、</w:t>
      </w:r>
      <w:r>
        <w:rPr>
          <w:rFonts w:hint="eastAsia" w:ascii="Times New Roman" w:hAnsi="Times New Roman" w:eastAsia="仿宋_GB2312"/>
          <w:color w:val="000000" w:themeColor="text1"/>
          <w:sz w:val="32"/>
          <w:szCs w:val="32"/>
          <w:lang w:eastAsia="zh-CN"/>
          <w14:textFill>
            <w14:solidFill>
              <w14:schemeClr w14:val="tx1"/>
            </w14:solidFill>
          </w14:textFill>
        </w:rPr>
        <w:t>一、二、三产业</w:t>
      </w:r>
      <w:r>
        <w:rPr>
          <w:rFonts w:hint="eastAsia" w:ascii="Times New Roman" w:hAnsi="Times New Roman" w:eastAsia="仿宋_GB2312"/>
          <w:color w:val="000000" w:themeColor="text1"/>
          <w:sz w:val="32"/>
          <w:szCs w:val="32"/>
          <w14:textFill>
            <w14:solidFill>
              <w14:schemeClr w14:val="tx1"/>
            </w14:solidFill>
          </w14:textFill>
        </w:rPr>
        <w:t>融合发展，走产出高效、产品安全、资源节约、环境友好的现代特色农业农村发展道路。强化以工补农、以城带乡、形成工农互促、城乡互补、协调发展、共同繁荣的新型工农城乡关系。到2025年，全县粮食作物播种面积稳定在16.9万亩以上，粮食总产量年均增长2%左右。</w:t>
      </w:r>
    </w:p>
    <w:p>
      <w:pPr>
        <w:spacing w:line="560" w:lineRule="exact"/>
        <w:ind w:firstLine="420" w:firstLineChars="200"/>
        <w:jc w:val="center"/>
        <w:rPr>
          <w:rFonts w:ascii="Times New Roman" w:hAnsi="Times New Roman" w:eastAsia="仿宋_GB2312"/>
          <w:color w:val="000000" w:themeColor="text1"/>
          <w14:textFill>
            <w14:solidFill>
              <w14:schemeClr w14:val="tx1"/>
            </w14:solidFill>
          </w14:textFill>
        </w:rPr>
      </w:pPr>
    </w:p>
    <w:p>
      <w:pPr>
        <w:pStyle w:val="5"/>
        <w:keepNext w:val="0"/>
        <w:keepLines w:val="0"/>
        <w:spacing w:before="0" w:after="0" w:line="560" w:lineRule="exact"/>
        <w:ind w:firstLine="640" w:firstLineChars="200"/>
        <w:jc w:val="center"/>
        <w:rPr>
          <w:rFonts w:ascii="Times New Roman" w:hAnsi="Times New Roman" w:eastAsia="黑体"/>
          <w:b w:val="0"/>
          <w:color w:val="000000" w:themeColor="text1"/>
          <w14:textFill>
            <w14:solidFill>
              <w14:schemeClr w14:val="tx1"/>
            </w14:solidFill>
          </w14:textFill>
        </w:rPr>
      </w:pPr>
      <w:bookmarkStart w:id="135" w:name="_Toc17227"/>
      <w:r>
        <w:rPr>
          <w:rFonts w:hint="eastAsia" w:ascii="Times New Roman" w:hAnsi="Times New Roman" w:eastAsia="黑体"/>
          <w:b w:val="0"/>
          <w:color w:val="000000" w:themeColor="text1"/>
          <w14:textFill>
            <w14:solidFill>
              <w14:schemeClr w14:val="tx1"/>
            </w14:solidFill>
          </w14:textFill>
        </w:rPr>
        <w:t>第一节  提高特色农业发展质量效益和竞争力</w:t>
      </w:r>
      <w:bookmarkEnd w:id="135"/>
    </w:p>
    <w:p>
      <w:pPr>
        <w:pStyle w:val="63"/>
        <w:spacing w:line="560" w:lineRule="exact"/>
        <w:ind w:firstLine="640"/>
        <w:rPr>
          <w:rFonts w:ascii="Times New Roman" w:hAnsi="Times New Roman" w:eastAsia="仿宋_GB2312"/>
          <w:bCs/>
          <w:color w:val="000000" w:themeColor="text1"/>
          <w:sz w:val="32"/>
          <w:szCs w:val="32"/>
          <w14:textFill>
            <w14:solidFill>
              <w14:schemeClr w14:val="tx1"/>
            </w14:solidFill>
          </w14:textFill>
        </w:rPr>
      </w:pPr>
    </w:p>
    <w:p>
      <w:pPr>
        <w:pStyle w:val="63"/>
        <w:spacing w:line="560" w:lineRule="exact"/>
        <w:ind w:firstLine="643"/>
        <w:rPr>
          <w:rFonts w:ascii="Times New Roman" w:hAnsi="Times New Roman" w:eastAsia="仿宋_GB2312"/>
          <w:b/>
          <w:color w:val="000000" w:themeColor="text1"/>
          <w:sz w:val="32"/>
          <w:szCs w:val="32"/>
          <w14:textFill>
            <w14:solidFill>
              <w14:schemeClr w14:val="tx1"/>
            </w14:solidFill>
          </w14:textFill>
        </w:rPr>
      </w:pPr>
      <w:r>
        <w:rPr>
          <w:rFonts w:hint="eastAsia" w:ascii="Times New Roman" w:hAnsi="Times New Roman" w:eastAsia="仿宋_GB2312"/>
          <w:b/>
          <w:color w:val="000000" w:themeColor="text1"/>
          <w:sz w:val="32"/>
          <w:szCs w:val="32"/>
          <w14:textFill>
            <w14:solidFill>
              <w14:schemeClr w14:val="tx1"/>
            </w14:solidFill>
          </w14:textFill>
        </w:rPr>
        <w:t>一、围绕主导产业，调优现代农业结构</w:t>
      </w:r>
    </w:p>
    <w:p>
      <w:pP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color w:val="000000" w:themeColor="text1"/>
          <w:sz w:val="32"/>
          <w:szCs w:val="32"/>
          <w14:textFill>
            <w14:solidFill>
              <w14:schemeClr w14:val="tx1"/>
            </w14:solidFill>
          </w14:textFill>
        </w:rPr>
        <w:t>加快特色农业产业发展，提高现代农业综合效益和竞争力。坚持最严格的耕地保护制度，确保种子安全。着力打造粮食、柑橘、蔬菜、中草药、优质畜禽、水产、高山特色种养等地方特色产业品牌。积极发展生态农业、循环农业、绿色有机农业，开展田园综合体、“特色小镇+现代农业”等新型农业发展载体建设。支持企业创建“三品一标”</w:t>
      </w:r>
      <w:r>
        <w:rPr>
          <w:rFonts w:hint="eastAsia" w:ascii="Times New Roman" w:hAnsi="Times New Roman" w:eastAsia="仿宋_GB2312"/>
          <w:color w:val="000000" w:themeColor="text1"/>
          <w:sz w:val="32"/>
          <w:szCs w:val="32"/>
          <w:vertAlign w:val="superscript"/>
          <w14:textFill>
            <w14:solidFill>
              <w14:schemeClr w14:val="tx1"/>
            </w14:solidFill>
          </w14:textFill>
        </w:rPr>
        <w:footnoteReference w:id="6"/>
      </w:r>
      <w:r>
        <w:rPr>
          <w:rFonts w:hint="eastAsia" w:ascii="Times New Roman" w:hAnsi="Times New Roman" w:eastAsia="仿宋_GB2312"/>
          <w:color w:val="000000" w:themeColor="text1"/>
          <w:sz w:val="32"/>
          <w:szCs w:val="32"/>
          <w14:textFill>
            <w14:solidFill>
              <w14:schemeClr w14:val="tx1"/>
            </w14:solidFill>
          </w14:textFill>
        </w:rPr>
        <w:t>农产品品牌，打造粤港澳大湾区重点“菜篮子”基地和健康食品供应基地。重点创建三大核心载体：</w:t>
      </w:r>
    </w:p>
    <w:p>
      <w:pP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color w:val="000000" w:themeColor="text1"/>
          <w:sz w:val="32"/>
          <w:szCs w:val="32"/>
          <w14:textFill>
            <w14:solidFill>
              <w14:schemeClr w14:val="tx1"/>
            </w14:solidFill>
          </w14:textFill>
        </w:rPr>
        <w:t>（一）挖掘粮食生产潜能，确保粮食安全。坚决执行基本农田保护和用地补偿（土地增减挂钩）政策，确保农用地面积不减；加大农业基础设施投入，集中连片推进农田水利基础设施建设和高标准农田建设，大幅提高农田高产稳产比重；大力推广间作套种技术、提高复种指数，开发和扩大旱粮、杂粮种植，增加粮食作物播种面积，确保粮食安全。到2025年，全县粮食作物播种总产量稳定在6.24万吨以上，年均增长2%左右。</w:t>
      </w:r>
    </w:p>
    <w:p>
      <w:pP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color w:val="000000" w:themeColor="text1"/>
          <w:sz w:val="32"/>
          <w:szCs w:val="32"/>
          <w14:textFill>
            <w14:solidFill>
              <w14:schemeClr w14:val="tx1"/>
            </w14:solidFill>
          </w14:textFill>
        </w:rPr>
        <w:t>（二）加快特色农产品生产基地建设。大力发展优质特色果业，做优做强柑橘、罗汉果、猕猴桃、百香果、茶叶、高山蔬菜等特色果蔬产业，加大龙胜红糯、龙胜大糯等特色优质水稻开发力度。重点打造生态健康种养示范区，提升现代特色农业（核心）示范区质量，打造一批标准化程度高、规模适度、特色鲜明的农产品生产基地。加快“三避”</w:t>
      </w:r>
      <w:r>
        <w:rPr>
          <w:rFonts w:hint="eastAsia" w:ascii="Times New Roman" w:hAnsi="Times New Roman" w:eastAsia="仿宋_GB2312"/>
          <w:color w:val="000000" w:themeColor="text1"/>
          <w:sz w:val="32"/>
          <w:szCs w:val="32"/>
          <w:vertAlign w:val="superscript"/>
          <w14:textFill>
            <w14:solidFill>
              <w14:schemeClr w14:val="tx1"/>
            </w14:solidFill>
          </w14:textFill>
        </w:rPr>
        <w:footnoteReference w:id="7"/>
      </w:r>
      <w:r>
        <w:rPr>
          <w:rFonts w:hint="eastAsia" w:ascii="Times New Roman" w:hAnsi="Times New Roman" w:eastAsia="仿宋_GB2312"/>
          <w:color w:val="000000" w:themeColor="text1"/>
          <w:sz w:val="32"/>
          <w:szCs w:val="32"/>
          <w14:textFill>
            <w14:solidFill>
              <w14:schemeClr w14:val="tx1"/>
            </w14:solidFill>
          </w14:textFill>
        </w:rPr>
        <w:t>、水肥一体化等先进技术在蔬菜水果生产中的推广应用。到2025年，水果面积保持10万亩以上，年均增长6.0%；罗汉果种植面积达到6万亩。通过增加复种指数和提高单产，蔬菜种植面积达到13.5万亩，茶叶面积发展到3万亩，中药材产业创新发展有所新突破。</w:t>
      </w:r>
    </w:p>
    <w:p>
      <w:pP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color w:val="000000" w:themeColor="text1"/>
          <w:sz w:val="32"/>
          <w:szCs w:val="32"/>
          <w14:textFill>
            <w14:solidFill>
              <w14:schemeClr w14:val="tx1"/>
            </w14:solidFill>
          </w14:textFill>
        </w:rPr>
        <w:t>（三）拓展特色生态种养殖产业。推进“微生物+”“稻渔综合种养”等生态种养模式。标准化建设生猪生产、肉牛肉羊和凤鸡翠鸭等特色养殖业绿色高效可持续发展的现代牧养业体系；充分利用高山冷水资源，发展亚冷水鱼生态养殖。到2025年，生猪饲养量达85万头、牛饲养量13万头、羊饲养量16万只、凤鸡饲养量1000万羽、翠鸭饲养量100万羽，肉类总产量达到5万吨以上；亚冷水鱼养殖规模场30个以上、年总产量达1000吨。</w:t>
      </w:r>
    </w:p>
    <w:p>
      <w:pPr>
        <w:spacing w:line="560" w:lineRule="exact"/>
        <w:ind w:firstLine="643" w:firstLineChars="200"/>
        <w:rPr>
          <w:rFonts w:ascii="Times New Roman" w:hAnsi="Times New Roman" w:eastAsia="仿宋_GB2312"/>
          <w:b/>
          <w:color w:val="000000" w:themeColor="text1"/>
          <w:sz w:val="32"/>
          <w:szCs w:val="32"/>
          <w14:textFill>
            <w14:solidFill>
              <w14:schemeClr w14:val="tx1"/>
            </w14:solidFill>
          </w14:textFill>
        </w:rPr>
      </w:pPr>
      <w:r>
        <w:rPr>
          <w:rFonts w:hint="eastAsia" w:ascii="Times New Roman" w:hAnsi="Times New Roman" w:eastAsia="仿宋_GB2312"/>
          <w:b/>
          <w:color w:val="000000" w:themeColor="text1"/>
          <w:sz w:val="32"/>
          <w:szCs w:val="32"/>
          <w14:textFill>
            <w14:solidFill>
              <w14:schemeClr w14:val="tx1"/>
            </w14:solidFill>
          </w14:textFill>
        </w:rPr>
        <w:t>二、优化产业布局，提升特色农业发展水平</w:t>
      </w:r>
    </w:p>
    <w:p>
      <w:pP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color w:val="000000" w:themeColor="text1"/>
          <w:sz w:val="32"/>
          <w:szCs w:val="32"/>
          <w14:textFill>
            <w14:solidFill>
              <w14:schemeClr w14:val="tx1"/>
            </w14:solidFill>
          </w14:textFill>
        </w:rPr>
        <w:t>持续巩固“十三五”产业扶贫发展成果和农业发展成就，为提升特色农业发展水平布局“两带一区”发展格局。</w:t>
      </w:r>
    </w:p>
    <w:p>
      <w:pPr>
        <w:spacing w:line="560" w:lineRule="exact"/>
        <w:ind w:firstLine="640" w:firstLineChars="200"/>
        <w:rPr>
          <w:rFonts w:ascii="Times New Roman" w:hAnsi="Times New Roman" w:eastAsia="仿宋_GB2312"/>
          <w:bCs/>
          <w:color w:val="000000" w:themeColor="text1"/>
          <w:sz w:val="32"/>
          <w:szCs w:val="32"/>
          <w14:textFill>
            <w14:solidFill>
              <w14:schemeClr w14:val="tx1"/>
            </w14:solidFill>
          </w14:textFill>
        </w:rPr>
      </w:pPr>
      <w:r>
        <w:rPr>
          <w:rFonts w:hint="eastAsia" w:ascii="Times New Roman" w:hAnsi="Times New Roman" w:eastAsia="仿宋_GB2312"/>
          <w:bCs/>
          <w:color w:val="000000" w:themeColor="text1"/>
          <w:sz w:val="32"/>
          <w:szCs w:val="32"/>
          <w14:textFill>
            <w14:solidFill>
              <w14:schemeClr w14:val="tx1"/>
            </w14:solidFill>
          </w14:textFill>
        </w:rPr>
        <w:t>（一）休闲观光农业带。</w:t>
      </w:r>
      <w:r>
        <w:rPr>
          <w:rFonts w:hint="eastAsia" w:ascii="Times New Roman" w:hAnsi="Times New Roman" w:eastAsia="仿宋_GB2312"/>
          <w:color w:val="000000" w:themeColor="text1"/>
          <w:sz w:val="32"/>
          <w:szCs w:val="32"/>
          <w14:textFill>
            <w14:solidFill>
              <w14:schemeClr w14:val="tx1"/>
            </w14:solidFill>
          </w14:textFill>
        </w:rPr>
        <w:t>主要分布于龙脊镇、龙胜镇、泗水乡、马堤乡、江底乡、伟江乡等乡镇，龙脊梯田景区、G321国道和平至县城段、龙资公路龙胜段以及景区循环公路沿线及其辐射面。在保持梯田水稻生产基本功能之上大力发展稻作文化，衍生和拓展梯田景观；因地制宜发展罗汉果、茶叶、龙脊辣椒、四季时令水果、特色养殖</w:t>
      </w:r>
      <w:r>
        <w:rPr>
          <w:rFonts w:hint="eastAsia" w:ascii="Times New Roman" w:hAnsi="Times New Roman" w:eastAsia="仿宋_GB2312"/>
          <w:color w:val="000000" w:themeColor="text1"/>
          <w:sz w:val="32"/>
          <w:szCs w:val="32"/>
          <w:vertAlign w:val="superscript"/>
          <w14:textFill>
            <w14:solidFill>
              <w14:schemeClr w14:val="tx1"/>
            </w14:solidFill>
          </w14:textFill>
        </w:rPr>
        <w:footnoteReference w:id="8"/>
      </w:r>
      <w:r>
        <w:rPr>
          <w:rFonts w:hint="eastAsia" w:ascii="Times New Roman" w:hAnsi="Times New Roman" w:eastAsia="仿宋_GB2312"/>
          <w:color w:val="000000" w:themeColor="text1"/>
          <w:sz w:val="32"/>
          <w:szCs w:val="32"/>
          <w14:textFill>
            <w14:solidFill>
              <w14:schemeClr w14:val="tx1"/>
            </w14:solidFill>
          </w14:textFill>
        </w:rPr>
        <w:t>等产业。依托龙脊梯田及民族村寨资源，做足龙胜“全球重要农业文化遗产”文章，突出梯田观光、农耕体验、温泉疗养，挖掘梯田和温泉文化；拓展桑江沿线的民族村寨农家乐休闲旅游，串联区域内重点村寨农家乐、农庄，丰富休闲农业的内容，辐射带动全县休闲农业与乡村旅游产业发展，提高农业农村发展质量。</w:t>
      </w:r>
    </w:p>
    <w:p>
      <w:pPr>
        <w:spacing w:line="560" w:lineRule="exact"/>
        <w:ind w:firstLine="640" w:firstLineChars="200"/>
        <w:rPr>
          <w:rFonts w:ascii="Times New Roman" w:hAnsi="Times New Roman" w:eastAsia="仿宋_GB2312"/>
          <w:bCs/>
          <w:color w:val="000000" w:themeColor="text1"/>
          <w:sz w:val="32"/>
          <w:szCs w:val="32"/>
          <w14:textFill>
            <w14:solidFill>
              <w14:schemeClr w14:val="tx1"/>
            </w14:solidFill>
          </w14:textFill>
        </w:rPr>
      </w:pPr>
      <w:r>
        <w:rPr>
          <w:rFonts w:hint="eastAsia" w:ascii="Times New Roman" w:hAnsi="Times New Roman" w:eastAsia="仿宋_GB2312"/>
          <w:bCs/>
          <w:color w:val="000000" w:themeColor="text1"/>
          <w:sz w:val="32"/>
          <w:szCs w:val="32"/>
          <w14:textFill>
            <w14:solidFill>
              <w14:schemeClr w14:val="tx1"/>
            </w14:solidFill>
          </w14:textFill>
        </w:rPr>
        <w:t>（二）“两茶两果+特色养殖”产业带。</w:t>
      </w:r>
      <w:r>
        <w:rPr>
          <w:rFonts w:hint="eastAsia" w:ascii="Times New Roman" w:hAnsi="Times New Roman" w:eastAsia="仿宋_GB2312"/>
          <w:color w:val="000000" w:themeColor="text1"/>
          <w:sz w:val="32"/>
          <w:szCs w:val="32"/>
          <w14:textFill>
            <w14:solidFill>
              <w14:schemeClr w14:val="tx1"/>
            </w14:solidFill>
          </w14:textFill>
        </w:rPr>
        <w:t>主要分布于龙胜镇、马堤乡、伟江乡、乐江镇、平等镇、瓢里镇、三门镇等乡镇。本区域产业带发展基础良好、类型多样、产业链条较长，农民基本掌握现代农业生产技术基础、市场意识较强。以发展柑橘、罗汉果、茶叶、油茶、凤鸡、翠鸭、亚冷水鱼等特色种养业为重点，融入生态循环农业发展理念，以提高农产品质量、延伸农业产业链、农业综合效益为目的，大力开展现代农业提质增效先行示范区建设，推动全县乡村振兴。</w:t>
      </w:r>
    </w:p>
    <w:p>
      <w:pPr>
        <w:pStyle w:val="31"/>
        <w:autoSpaceDE/>
        <w:autoSpaceDN/>
        <w:adjustRightInd/>
        <w:spacing w:line="560" w:lineRule="exact"/>
        <w:ind w:firstLine="640" w:firstLineChars="200"/>
        <w:rPr>
          <w:rFonts w:ascii="Times New Roman" w:hAnsi="Times New Roman" w:eastAsia="仿宋_GB2312"/>
          <w:color w:val="000000" w:themeColor="text1"/>
          <w:kern w:val="2"/>
          <w:sz w:val="32"/>
          <w:szCs w:val="32"/>
          <w14:textFill>
            <w14:solidFill>
              <w14:schemeClr w14:val="tx1"/>
            </w14:solidFill>
          </w14:textFill>
        </w:rPr>
      </w:pPr>
      <w:r>
        <w:rPr>
          <w:rFonts w:hint="eastAsia" w:ascii="Times New Roman" w:hAnsi="Times New Roman" w:eastAsia="仿宋_GB2312"/>
          <w:bCs/>
          <w:color w:val="000000" w:themeColor="text1"/>
          <w:sz w:val="32"/>
          <w:szCs w:val="32"/>
          <w14:textFill>
            <w14:solidFill>
              <w14:schemeClr w14:val="tx1"/>
            </w14:solidFill>
          </w14:textFill>
        </w:rPr>
        <w:t>（三）高山生态农业区。</w:t>
      </w:r>
      <w:r>
        <w:rPr>
          <w:rFonts w:hint="eastAsia" w:ascii="Times New Roman" w:hAnsi="Times New Roman" w:eastAsia="仿宋_GB2312"/>
          <w:color w:val="000000" w:themeColor="text1"/>
          <w:kern w:val="2"/>
          <w:sz w:val="32"/>
          <w:szCs w:val="32"/>
          <w14:textFill>
            <w14:solidFill>
              <w14:schemeClr w14:val="tx1"/>
            </w14:solidFill>
          </w14:textFill>
        </w:rPr>
        <w:t>龙胜县高寒山区点多面广，主要有南山、彭祖坪、福平包等高山片区，分布于龙脊镇、马堤乡、伟江乡、平等镇，拓展至江底、泗水等两乡镇。该区域农业方面重点发展高山蔬菜（夏秋西红柿、夏秋萝卜、笋、厥、芭蕉芋等）、落叶果树（优质梨、甜柿、樱桃、猕猴桃等）、中药材、龙脊茶、本地牛羊家禽等优势产业。</w:t>
      </w:r>
    </w:p>
    <w:p>
      <w:pPr>
        <w:spacing w:line="560" w:lineRule="exact"/>
        <w:ind w:firstLine="643" w:firstLineChars="200"/>
        <w:rPr>
          <w:rFonts w:ascii="Times New Roman" w:hAnsi="Times New Roman" w:eastAsia="仿宋_GB2312"/>
          <w:b/>
          <w:color w:val="000000" w:themeColor="text1"/>
          <w:sz w:val="32"/>
          <w:szCs w:val="32"/>
          <w14:textFill>
            <w14:solidFill>
              <w14:schemeClr w14:val="tx1"/>
            </w14:solidFill>
          </w14:textFill>
        </w:rPr>
      </w:pPr>
      <w:r>
        <w:rPr>
          <w:rFonts w:hint="eastAsia" w:ascii="Times New Roman" w:hAnsi="Times New Roman" w:eastAsia="仿宋_GB2312"/>
          <w:b/>
          <w:color w:val="000000" w:themeColor="text1"/>
          <w:sz w:val="32"/>
          <w:szCs w:val="32"/>
          <w14:textFill>
            <w14:solidFill>
              <w14:schemeClr w14:val="tx1"/>
            </w14:solidFill>
          </w14:textFill>
        </w:rPr>
        <w:t>三、推动产业融合，拓宽产业增收渠道</w:t>
      </w:r>
    </w:p>
    <w:p>
      <w:pP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color w:val="000000" w:themeColor="text1"/>
          <w:sz w:val="32"/>
          <w:szCs w:val="32"/>
          <w14:textFill>
            <w14:solidFill>
              <w14:schemeClr w14:val="tx1"/>
            </w14:solidFill>
          </w14:textFill>
        </w:rPr>
        <w:t>推进农业产业链和价值链建设，培育融合主体、创新融合方式。通过拓展农业功能，大力创建田园综合体和现代特色农业核心示范区，发展观光农业、体验农业、创意农业等新业态，形成现代农业与乡村旅游、田园社区融合发展新模式。</w:t>
      </w:r>
    </w:p>
    <w:p>
      <w:pP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bCs/>
          <w:color w:val="000000" w:themeColor="text1"/>
          <w:kern w:val="0"/>
          <w:sz w:val="32"/>
          <w:szCs w:val="32"/>
          <w14:textFill>
            <w14:solidFill>
              <w14:schemeClr w14:val="tx1"/>
            </w14:solidFill>
          </w14:textFill>
        </w:rPr>
        <w:t>（一）创建田园综合体和现代特色农业核心示范区。</w:t>
      </w:r>
      <w:r>
        <w:rPr>
          <w:rFonts w:hint="eastAsia" w:ascii="Times New Roman" w:hAnsi="Times New Roman" w:eastAsia="仿宋_GB2312"/>
          <w:color w:val="000000" w:themeColor="text1"/>
          <w:sz w:val="32"/>
          <w:szCs w:val="32"/>
          <w14:textFill>
            <w14:solidFill>
              <w14:schemeClr w14:val="tx1"/>
            </w14:solidFill>
          </w14:textFill>
        </w:rPr>
        <w:t>坚持田园综合体与文化教育、精神文明、社会治理等工作融合，推进农业与旅游休闲、教育文化、健康养生等深度融合。发展观光农业、体验农业、创意农业等新业态。完成龙胜镇、泗水乡、马堤乡、乐江镇、瓢里镇等田园综合体创建，打造乡村振兴载体，实现农旅结合、农村资源变资产，带动餐饮民宿发展。</w:t>
      </w:r>
    </w:p>
    <w:p>
      <w:pP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bCs/>
          <w:color w:val="000000" w:themeColor="text1"/>
          <w:kern w:val="0"/>
          <w:sz w:val="32"/>
          <w:szCs w:val="32"/>
          <w14:textFill>
            <w14:solidFill>
              <w14:schemeClr w14:val="tx1"/>
            </w14:solidFill>
          </w14:textFill>
        </w:rPr>
        <w:t>（二）加强高标准现代农业核心示范区创建。</w:t>
      </w:r>
      <w:r>
        <w:rPr>
          <w:rFonts w:hint="eastAsia" w:ascii="Times New Roman" w:hAnsi="Times New Roman" w:eastAsia="仿宋_GB2312"/>
          <w:b/>
          <w:color w:val="000000" w:themeColor="text1"/>
          <w:sz w:val="32"/>
          <w:szCs w:val="32"/>
          <w14:textFill>
            <w14:solidFill>
              <w14:schemeClr w14:val="tx1"/>
            </w14:solidFill>
          </w14:textFill>
        </w:rPr>
        <w:t>一是</w:t>
      </w:r>
      <w:r>
        <w:rPr>
          <w:rFonts w:hint="eastAsia" w:ascii="Times New Roman" w:hAnsi="Times New Roman" w:eastAsia="仿宋_GB2312"/>
          <w:color w:val="000000" w:themeColor="text1"/>
          <w:sz w:val="32"/>
          <w:szCs w:val="32"/>
          <w14:textFill>
            <w14:solidFill>
              <w14:schemeClr w14:val="tx1"/>
            </w14:solidFill>
          </w14:textFill>
        </w:rPr>
        <w:t>拓展“龙脊休闲农业旅游示范区”建设，持续开发以龙脊金坑梯田、平安梯田、古壮寨梯田、泗水潘内梯田、马堤牛头梯田为核心的稻耕文化，把“龙脊大米”与梯田景观紧密融合，增强休闲农业功能，使全球重要农业文化遗产地的品牌发挥出更显著的经济效益。</w:t>
      </w:r>
      <w:r>
        <w:rPr>
          <w:rFonts w:hint="eastAsia" w:ascii="Times New Roman" w:hAnsi="Times New Roman" w:eastAsia="仿宋_GB2312"/>
          <w:b/>
          <w:color w:val="000000" w:themeColor="text1"/>
          <w:sz w:val="32"/>
          <w:szCs w:val="32"/>
          <w14:textFill>
            <w14:solidFill>
              <w14:schemeClr w14:val="tx1"/>
            </w14:solidFill>
          </w14:textFill>
        </w:rPr>
        <w:t>二是</w:t>
      </w:r>
      <w:r>
        <w:rPr>
          <w:rFonts w:hint="eastAsia" w:ascii="Times New Roman" w:hAnsi="Times New Roman" w:eastAsia="仿宋_GB2312"/>
          <w:color w:val="000000" w:themeColor="text1"/>
          <w:sz w:val="32"/>
          <w:szCs w:val="32"/>
          <w14:textFill>
            <w14:solidFill>
              <w14:schemeClr w14:val="tx1"/>
            </w14:solidFill>
          </w14:textFill>
        </w:rPr>
        <w:t>巩固扩建“高山绿园生态农业核心示范区”建设，通过优化品种、提升栽培技术、树立高山蔬菜、高山茶叶生态品牌等途径做强龙胜高山蔬菜、高山茶叶产业。</w:t>
      </w:r>
      <w:r>
        <w:rPr>
          <w:rFonts w:hint="eastAsia" w:ascii="Times New Roman" w:hAnsi="Times New Roman" w:eastAsia="仿宋_GB2312"/>
          <w:b/>
          <w:color w:val="000000" w:themeColor="text1"/>
          <w:sz w:val="32"/>
          <w:szCs w:val="32"/>
          <w14:textFill>
            <w14:solidFill>
              <w14:schemeClr w14:val="tx1"/>
            </w14:solidFill>
          </w14:textFill>
        </w:rPr>
        <w:t>三是</w:t>
      </w:r>
      <w:r>
        <w:rPr>
          <w:rFonts w:hint="eastAsia" w:ascii="Times New Roman" w:hAnsi="Times New Roman" w:eastAsia="仿宋_GB2312"/>
          <w:color w:val="000000" w:themeColor="text1"/>
          <w:sz w:val="32"/>
          <w:szCs w:val="32"/>
          <w14:textFill>
            <w14:solidFill>
              <w14:schemeClr w14:val="tx1"/>
            </w14:solidFill>
          </w14:textFill>
        </w:rPr>
        <w:t>创建“中国特优罗汉果核心示范区”，全力打造集罗汉果种植、加工、交易、展示、体验、一二三产相融合的大园区。</w:t>
      </w:r>
    </w:p>
    <w:p>
      <w:pPr>
        <w:spacing w:line="560" w:lineRule="exact"/>
        <w:ind w:firstLine="643" w:firstLineChars="200"/>
        <w:rPr>
          <w:rFonts w:ascii="Times New Roman" w:hAnsi="Times New Roman" w:eastAsia="仿宋_GB2312"/>
          <w:b/>
          <w:color w:val="000000" w:themeColor="text1"/>
          <w:sz w:val="32"/>
          <w:szCs w:val="32"/>
          <w14:textFill>
            <w14:solidFill>
              <w14:schemeClr w14:val="tx1"/>
            </w14:solidFill>
          </w14:textFill>
        </w:rPr>
      </w:pPr>
      <w:r>
        <w:rPr>
          <w:rFonts w:hint="eastAsia" w:ascii="Times New Roman" w:hAnsi="Times New Roman" w:eastAsia="仿宋_GB2312"/>
          <w:b/>
          <w:color w:val="000000" w:themeColor="text1"/>
          <w:sz w:val="32"/>
          <w:szCs w:val="32"/>
          <w14:textFill>
            <w14:solidFill>
              <w14:schemeClr w14:val="tx1"/>
            </w14:solidFill>
          </w14:textFill>
        </w:rPr>
        <w:t>四、推动绿色兴农品牌建设</w:t>
      </w:r>
    </w:p>
    <w:p>
      <w:pP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color w:val="000000" w:themeColor="text1"/>
          <w:sz w:val="32"/>
          <w:szCs w:val="32"/>
          <w14:textFill>
            <w14:solidFill>
              <w14:schemeClr w14:val="tx1"/>
            </w14:solidFill>
          </w14:textFill>
        </w:rPr>
        <w:t>充分发挥龙胜县生态优势，开展“全国有机农业示范县”创建工作，推进“三品一标”农产品基地认证和农产品品牌目录建设，健全农产品质量安全检测体系。倾斜支持农业科技创新，对企业开展农业科技研发进行的引导扶持，以配方施肥、农机农艺融合、病虫害统防统治和农业物联网信息化为重点，加快适应高产、优质、高效农业发展要求的技术体系建设。开展秸秆、畜禽粪便资源化利用，落实畜禽规模养殖场环境影响评价制度，推动农业循环经济发展。创建优质农产品品牌，支持品牌化营销。</w:t>
      </w:r>
    </w:p>
    <w:p>
      <w:pPr>
        <w:pStyle w:val="63"/>
        <w:spacing w:line="560" w:lineRule="exact"/>
        <w:ind w:firstLine="643"/>
        <w:rPr>
          <w:rFonts w:ascii="Times New Roman" w:hAnsi="Times New Roman" w:eastAsia="仿宋_GB2312"/>
          <w:b/>
          <w:color w:val="000000" w:themeColor="text1"/>
          <w:sz w:val="32"/>
          <w:szCs w:val="32"/>
          <w14:textFill>
            <w14:solidFill>
              <w14:schemeClr w14:val="tx1"/>
            </w14:solidFill>
          </w14:textFill>
        </w:rPr>
      </w:pPr>
      <w:r>
        <w:rPr>
          <w:rFonts w:hint="eastAsia" w:ascii="Times New Roman" w:hAnsi="Times New Roman" w:eastAsia="仿宋_GB2312"/>
          <w:b/>
          <w:color w:val="000000" w:themeColor="text1"/>
          <w:sz w:val="32"/>
          <w:szCs w:val="32"/>
          <w14:textFill>
            <w14:solidFill>
              <w14:schemeClr w14:val="tx1"/>
            </w14:solidFill>
          </w14:textFill>
        </w:rPr>
        <w:t>五、加强新型农业经营体系建设，提升产业链现代化水平</w:t>
      </w:r>
    </w:p>
    <w:p>
      <w:pP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bCs/>
          <w:color w:val="000000" w:themeColor="text1"/>
          <w:sz w:val="32"/>
          <w:szCs w:val="32"/>
          <w14:textFill>
            <w14:solidFill>
              <w14:schemeClr w14:val="tx1"/>
            </w14:solidFill>
          </w14:textFill>
        </w:rPr>
        <w:t>（一）加大招商引资力度，引进产业化龙头企业。</w:t>
      </w:r>
      <w:r>
        <w:rPr>
          <w:rFonts w:hint="eastAsia" w:ascii="Times New Roman" w:hAnsi="Times New Roman" w:eastAsia="仿宋_GB2312"/>
          <w:color w:val="000000" w:themeColor="text1"/>
          <w:sz w:val="32"/>
          <w:szCs w:val="32"/>
          <w14:textFill>
            <w14:solidFill>
              <w14:schemeClr w14:val="tx1"/>
            </w14:solidFill>
          </w14:textFill>
        </w:rPr>
        <w:t>引进和服务好龙头企业，通过龙头企业的带动，积极推行订单农业，大力推广“公司+基地+农户”、“公司+合作社+基地+农户”和“公司+致富带头人+农户”等发展模式，调动各类市场主体参与现代农业建设、服务农村发展的积极性。</w:t>
      </w:r>
    </w:p>
    <w:p>
      <w:pP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bCs/>
          <w:color w:val="000000" w:themeColor="text1"/>
          <w:sz w:val="32"/>
          <w:szCs w:val="32"/>
          <w14:textFill>
            <w14:solidFill>
              <w14:schemeClr w14:val="tx1"/>
            </w14:solidFill>
          </w14:textFill>
        </w:rPr>
        <w:t>（二）培育壮大本土新型农业经营主体。</w:t>
      </w:r>
      <w:r>
        <w:rPr>
          <w:rFonts w:hint="eastAsia" w:ascii="Times New Roman" w:hAnsi="Times New Roman" w:eastAsia="仿宋_GB2312"/>
          <w:b/>
          <w:bCs/>
          <w:color w:val="000000" w:themeColor="text1"/>
          <w:sz w:val="32"/>
          <w:szCs w:val="32"/>
          <w14:textFill>
            <w14:solidFill>
              <w14:schemeClr w14:val="tx1"/>
            </w14:solidFill>
          </w14:textFill>
        </w:rPr>
        <w:t>一是</w:t>
      </w:r>
      <w:r>
        <w:rPr>
          <w:rFonts w:hint="eastAsia" w:ascii="Times New Roman" w:hAnsi="Times New Roman" w:eastAsia="仿宋_GB2312"/>
          <w:color w:val="000000" w:themeColor="text1"/>
          <w:sz w:val="32"/>
          <w:szCs w:val="32"/>
          <w14:textFill>
            <w14:solidFill>
              <w14:schemeClr w14:val="tx1"/>
            </w14:solidFill>
          </w14:textFill>
        </w:rPr>
        <w:t>加快培养致富带头人和发展规模适度的家庭农场，培育各类新型农业经营主体，解决好现代农业组织化问题。构建以农户家庭经营为基础、合作与联合为纽带、社会化服务为支撑的现代农业经营体系，提高农业综合效益。</w:t>
      </w:r>
      <w:r>
        <w:rPr>
          <w:rFonts w:hint="eastAsia" w:ascii="Times New Roman" w:hAnsi="Times New Roman" w:eastAsia="仿宋_GB2312"/>
          <w:b/>
          <w:color w:val="000000" w:themeColor="text1"/>
          <w:sz w:val="32"/>
          <w:szCs w:val="32"/>
          <w14:textFill>
            <w14:solidFill>
              <w14:schemeClr w14:val="tx1"/>
            </w14:solidFill>
          </w14:textFill>
        </w:rPr>
        <w:t>二是</w:t>
      </w:r>
      <w:r>
        <w:rPr>
          <w:rFonts w:hint="eastAsia" w:ascii="Times New Roman" w:hAnsi="Times New Roman" w:eastAsia="仿宋_GB2312"/>
          <w:color w:val="000000" w:themeColor="text1"/>
          <w:sz w:val="32"/>
          <w:szCs w:val="32"/>
          <w14:textFill>
            <w14:solidFill>
              <w14:schemeClr w14:val="tx1"/>
            </w14:solidFill>
          </w14:textFill>
        </w:rPr>
        <w:t>鼓励和支持工商资本投资现代农业，促进农商联盟等新型经营模式发展。深化农业服务综合改革，创新农业社会化服务机制。</w:t>
      </w:r>
      <w:r>
        <w:rPr>
          <w:rFonts w:hint="eastAsia" w:ascii="Times New Roman" w:hAnsi="Times New Roman" w:eastAsia="仿宋_GB2312"/>
          <w:b/>
          <w:color w:val="000000" w:themeColor="text1"/>
          <w:sz w:val="32"/>
          <w:szCs w:val="32"/>
          <w14:textFill>
            <w14:solidFill>
              <w14:schemeClr w14:val="tx1"/>
            </w14:solidFill>
          </w14:textFill>
        </w:rPr>
        <w:t>三是</w:t>
      </w:r>
      <w:r>
        <w:rPr>
          <w:rFonts w:hint="eastAsia" w:ascii="Times New Roman" w:hAnsi="Times New Roman" w:eastAsia="仿宋_GB2312"/>
          <w:color w:val="000000" w:themeColor="text1"/>
          <w:sz w:val="32"/>
          <w:szCs w:val="32"/>
          <w14:textFill>
            <w14:solidFill>
              <w14:schemeClr w14:val="tx1"/>
            </w14:solidFill>
          </w14:textFill>
        </w:rPr>
        <w:t>实施农业社会化服务支撑工程，培育壮大经营性服务组织。支持科研机构、行业协会、龙头企业和具有资质的经营性服务组织从事农业公益性服务，支持多种类型的新型农业服务主体开展专业化、规模化服务。推进农业生产全程社会化服务创新试点，积极推广合作式、托管式、订单式等服务形式。</w:t>
      </w:r>
      <w:r>
        <w:rPr>
          <w:rFonts w:hint="eastAsia" w:ascii="Times New Roman" w:hAnsi="Times New Roman" w:eastAsia="仿宋_GB2312"/>
          <w:b/>
          <w:color w:val="000000" w:themeColor="text1"/>
          <w:sz w:val="32"/>
          <w:szCs w:val="32"/>
          <w14:textFill>
            <w14:solidFill>
              <w14:schemeClr w14:val="tx1"/>
            </w14:solidFill>
          </w14:textFill>
        </w:rPr>
        <w:t>四是</w:t>
      </w:r>
      <w:r>
        <w:rPr>
          <w:rFonts w:hint="eastAsia" w:ascii="Times New Roman" w:hAnsi="Times New Roman" w:eastAsia="仿宋_GB2312"/>
          <w:color w:val="000000" w:themeColor="text1"/>
          <w:sz w:val="32"/>
          <w:szCs w:val="32"/>
          <w14:textFill>
            <w14:solidFill>
              <w14:schemeClr w14:val="tx1"/>
            </w14:solidFill>
          </w14:textFill>
        </w:rPr>
        <w:t>加强农产品流通设施和市场建设，促进生产对接市场。持续拓展消费扶贫、电商扶贫成功、农产品展销会、订单农业等平台和渠道，继续发挥“互联网+扶贫”的作用，多方解决农产品“入市难”和“流通难”问题，建立“农工商一体化、产加销一条龙”的农业产业化体系。完善农村配送和综合服务网络，支持发展农村电商，实施特色农产品产区预冷工程和“快递下乡”工程。</w:t>
      </w:r>
    </w:p>
    <w:p>
      <w:pP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bCs/>
          <w:color w:val="000000" w:themeColor="text1"/>
          <w:sz w:val="32"/>
          <w:szCs w:val="32"/>
          <w14:textFill>
            <w14:solidFill>
              <w14:schemeClr w14:val="tx1"/>
            </w14:solidFill>
          </w14:textFill>
        </w:rPr>
        <w:t>（三）提高装备和信息化水平。</w:t>
      </w:r>
      <w:r>
        <w:rPr>
          <w:rFonts w:hint="eastAsia" w:ascii="Times New Roman" w:hAnsi="Times New Roman" w:eastAsia="仿宋_GB2312"/>
          <w:color w:val="000000" w:themeColor="text1"/>
          <w:sz w:val="32"/>
          <w:szCs w:val="32"/>
          <w14:textFill>
            <w14:solidFill>
              <w14:schemeClr w14:val="tx1"/>
            </w14:solidFill>
          </w14:textFill>
        </w:rPr>
        <w:t>激活现代农业科技创新推广体系，健全基层农业技术推广网络，加快推进先进通用的新型农业机械化，推进农业信息化建设，加强农业与信息技术融合，发展智慧农业，提高农业生产力。实施农业物联网区域试验工程，推进农业物联网应用，提高农业智能化和精准化水平。推动信息技术与农业生产管理、经营管理、市场流通、资源环境等要素融合。推进农业大数据应用，增强农业综合信息服务能力。鼓励互联网企业建立产销衔接的农业服务平台，加快发展涉农电子商务。</w:t>
      </w:r>
    </w:p>
    <w:p>
      <w:pP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bCs/>
          <w:color w:val="000000" w:themeColor="text1"/>
          <w:sz w:val="32"/>
          <w:szCs w:val="32"/>
          <w14:textFill>
            <w14:solidFill>
              <w14:schemeClr w14:val="tx1"/>
            </w14:solidFill>
          </w14:textFill>
        </w:rPr>
        <w:t>（四）确保农产品质量安全。</w:t>
      </w:r>
      <w:r>
        <w:rPr>
          <w:rFonts w:hint="eastAsia" w:ascii="Times New Roman" w:hAnsi="Times New Roman" w:eastAsia="仿宋_GB2312"/>
          <w:color w:val="000000" w:themeColor="text1"/>
          <w:sz w:val="32"/>
          <w:szCs w:val="32"/>
          <w14:textFill>
            <w14:solidFill>
              <w14:schemeClr w14:val="tx1"/>
            </w14:solidFill>
          </w14:textFill>
        </w:rPr>
        <w:t>加快完善农业标准，全面推行农业标准化生产。加强农产品质量安全和农业投入品监管，强化农药和兽药残留超标治理，强化产地安全管理，实行产地准出和市场准入制度，建立全程可追溯、互联共享的农产品质量安全信息平台，建立从农田到餐桌的农产品质量安全全过程监管体系，实行严格的农产品质量安全可追溯制度、召回制度、市场准入和退出制度。严格食用农产品添加剂控制标准。开展国家农产品质量安全县创建行动。加强动植物疫病防控能力建设，强化进口农产品质量安全监管。</w:t>
      </w:r>
    </w:p>
    <w:p>
      <w:pPr>
        <w:spacing w:line="560" w:lineRule="exact"/>
        <w:ind w:firstLine="643" w:firstLineChars="200"/>
        <w:rPr>
          <w:rFonts w:ascii="Times New Roman" w:hAnsi="Times New Roman" w:eastAsia="仿宋_GB2312"/>
          <w:b/>
          <w:bCs/>
          <w:color w:val="000000" w:themeColor="text1"/>
          <w:sz w:val="32"/>
          <w:szCs w:val="32"/>
          <w14:textFill>
            <w14:solidFill>
              <w14:schemeClr w14:val="tx1"/>
            </w14:solidFill>
          </w14:textFill>
        </w:rPr>
      </w:pPr>
      <w:r>
        <w:rPr>
          <w:rFonts w:hint="eastAsia" w:ascii="Times New Roman" w:hAnsi="Times New Roman" w:eastAsia="仿宋_GB2312"/>
          <w:b/>
          <w:bCs/>
          <w:color w:val="000000" w:themeColor="text1"/>
          <w:sz w:val="32"/>
          <w:szCs w:val="32"/>
          <w14:textFill>
            <w14:solidFill>
              <w14:schemeClr w14:val="tx1"/>
            </w14:solidFill>
          </w14:textFill>
        </w:rPr>
        <w:t>六、完善承包土地管理体系</w:t>
      </w:r>
    </w:p>
    <w:p>
      <w:pP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color w:val="000000" w:themeColor="text1"/>
          <w:sz w:val="32"/>
          <w:szCs w:val="32"/>
          <w14:textFill>
            <w14:solidFill>
              <w14:schemeClr w14:val="tx1"/>
            </w14:solidFill>
          </w14:textFill>
        </w:rPr>
        <w:t>稳定农村土地承包关系，完善土地所有权、承包权、经营权分置办法，依法推进农村土地经营有序流转，通过代耕代种、联耕联种、土地托管、股份合作等方式，推动实现多种形式的农业适度规模经营；培育新型农业经营主体。健全有利于新型农业经营主体成长的政策体系，扶持发展种养大户和家庭农场，引导和促进农民合作社规范发展，培育壮大农业产业化龙头企业，大力培养新型职业农民，打造高素质现代农业生产经营者队伍。进一步完善土地确权登记数据库建设，建立健全承包合同管理制度，推进农村土地确权信息平台规范管理。推动承包地确权登记颁证信息平台互联互通，鼓励在土地经营权融资担保、农业保险、农业补贴、耕地轮作休耕、乡村产业规划编制等多领域应用承包地确权成果。深化农村土地制度改革，有序规范农村承包土地经营权流转。通过多种土地流转方式，将经营权有序向种植大户、家庭农场、农村合作社等新型经营主体集中流转，发展适度规模经营。探索更多有效的放活经营权的途径，以村集体经济组织为主导，推进整村整组连片集中长期流转方式；支持承包农户将土地经营权入股发展农业产业化经营，倡导推行租金保底和利润分红结合的收益分配机制。加强土地承包经营纠纷调解仲裁能力建设，有效化解农村土地纠纷。</w:t>
      </w:r>
    </w:p>
    <w:p>
      <w:pPr>
        <w:spacing w:line="560" w:lineRule="exact"/>
        <w:ind w:firstLine="643" w:firstLineChars="200"/>
        <w:rPr>
          <w:rFonts w:ascii="Times New Roman" w:hAnsi="Times New Roman" w:eastAsia="仿宋_GB2312"/>
          <w:b/>
          <w:bCs/>
          <w:color w:val="000000" w:themeColor="text1"/>
          <w:sz w:val="32"/>
          <w:szCs w:val="32"/>
          <w14:textFill>
            <w14:solidFill>
              <w14:schemeClr w14:val="tx1"/>
            </w14:solidFill>
          </w14:textFill>
        </w:rPr>
      </w:pPr>
      <w:r>
        <w:rPr>
          <w:rFonts w:hint="eastAsia" w:ascii="Times New Roman" w:hAnsi="Times New Roman" w:eastAsia="仿宋_GB2312"/>
          <w:b/>
          <w:bCs/>
          <w:color w:val="000000" w:themeColor="text1"/>
          <w:sz w:val="32"/>
          <w:szCs w:val="32"/>
          <w14:textFill>
            <w14:solidFill>
              <w14:schemeClr w14:val="tx1"/>
            </w14:solidFill>
          </w14:textFill>
        </w:rPr>
        <w:t>七、推进农村集体产权制度改革</w:t>
      </w:r>
    </w:p>
    <w:p>
      <w:pP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color w:val="000000" w:themeColor="text1"/>
          <w:sz w:val="32"/>
          <w:szCs w:val="32"/>
          <w14:textFill>
            <w14:solidFill>
              <w14:schemeClr w14:val="tx1"/>
            </w14:solidFill>
          </w14:textFill>
        </w:rPr>
        <w:t>加强农村集体资产管理，推进农村集体资产监督管理平台建设。围绕巩固脱贫攻坚成果和加快补齐“三农”领域短板两大重点任务，探索新型集体经济发展路径。以保障和维护农民合法权益为出发点和落脚点，以节约集约用地导向，严格规范农村宅基地管理，通过规划引导，因地制宜规范农村住房建设管理，全面改善农村居民的居住环境，鼓励盘活利用闲置宅基地和闲置住宅发展农村集体经济，为促进乡村振兴提供有力支撑。</w:t>
      </w:r>
    </w:p>
    <w:p>
      <w:pPr>
        <w:spacing w:before="156" w:beforeLines="50" w:after="156" w:afterLines="50" w:line="400" w:lineRule="exact"/>
        <w:jc w:val="center"/>
        <w:rPr>
          <w:rFonts w:ascii="Times New Roman" w:hAnsi="Times New Roman" w:eastAsia="仿宋"/>
          <w:b/>
          <w:color w:val="000000" w:themeColor="text1"/>
          <w:sz w:val="28"/>
          <w:szCs w:val="28"/>
          <w14:textFill>
            <w14:solidFill>
              <w14:schemeClr w14:val="tx1"/>
            </w14:solidFill>
          </w14:textFill>
        </w:rPr>
      </w:pPr>
      <w:r>
        <w:rPr>
          <w:rFonts w:hint="eastAsia" w:ascii="Times New Roman" w:hAnsi="Times New Roman" w:eastAsia="仿宋"/>
          <w:b/>
          <w:color w:val="000000" w:themeColor="text1"/>
          <w:sz w:val="28"/>
          <w:szCs w:val="28"/>
          <w14:textFill>
            <w14:solidFill>
              <w14:schemeClr w14:val="tx1"/>
            </w14:solidFill>
          </w14:textFill>
        </w:rPr>
        <w:t>专栏2  特色农业产业建设工程</w:t>
      </w:r>
    </w:p>
    <w:tbl>
      <w:tblPr>
        <w:tblStyle w:val="22"/>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8" w:hRule="atLeast"/>
          <w:jc w:val="center"/>
        </w:trPr>
        <w:tc>
          <w:tcPr>
            <w:tcW w:w="9071" w:type="dxa"/>
          </w:tcPr>
          <w:p>
            <w:pPr>
              <w:adjustRightInd w:val="0"/>
              <w:snapToGrid w:val="0"/>
              <w:spacing w:line="300" w:lineRule="auto"/>
              <w:rPr>
                <w:rFonts w:ascii="Times New Roman" w:hAnsi="Times New Roman" w:eastAsia="仿宋"/>
                <w:color w:val="000000" w:themeColor="text1"/>
                <w:sz w:val="24"/>
                <w14:textFill>
                  <w14:solidFill>
                    <w14:schemeClr w14:val="tx1"/>
                  </w14:solidFill>
                </w14:textFill>
              </w:rPr>
            </w:pPr>
            <w:r>
              <w:rPr>
                <w:rFonts w:hint="eastAsia" w:ascii="Times New Roman" w:hAnsi="Times New Roman" w:eastAsia="仿宋"/>
                <w:b/>
                <w:bCs/>
                <w:color w:val="000000" w:themeColor="text1"/>
                <w:sz w:val="24"/>
                <w14:textFill>
                  <w14:solidFill>
                    <w14:schemeClr w14:val="tx1"/>
                  </w14:solidFill>
                </w14:textFill>
              </w:rPr>
              <w:t>1.优质粮食产业：</w:t>
            </w:r>
            <w:r>
              <w:rPr>
                <w:rFonts w:hint="eastAsia" w:ascii="Times New Roman" w:hAnsi="Times New Roman" w:eastAsia="仿宋"/>
                <w:color w:val="000000" w:themeColor="text1"/>
                <w:sz w:val="24"/>
                <w14:textFill>
                  <w14:solidFill>
                    <w14:schemeClr w14:val="tx1"/>
                  </w14:solidFill>
                </w14:textFill>
              </w:rPr>
              <w:t>龙胜县地力恢复培育与高标准农田建设项目、龙胜县梯田系统保护工程项目、龙胜县耕地质量提升建设、公共植保项目。</w:t>
            </w:r>
          </w:p>
          <w:p>
            <w:pPr>
              <w:adjustRightInd w:val="0"/>
              <w:snapToGrid w:val="0"/>
              <w:spacing w:line="300" w:lineRule="auto"/>
              <w:rPr>
                <w:rFonts w:ascii="Times New Roman" w:hAnsi="Times New Roman" w:eastAsia="仿宋"/>
                <w:color w:val="000000" w:themeColor="text1"/>
                <w:sz w:val="24"/>
                <w14:textFill>
                  <w14:solidFill>
                    <w14:schemeClr w14:val="tx1"/>
                  </w14:solidFill>
                </w14:textFill>
              </w:rPr>
            </w:pPr>
            <w:r>
              <w:rPr>
                <w:rFonts w:hint="eastAsia" w:ascii="Times New Roman" w:hAnsi="Times New Roman" w:eastAsia="仿宋"/>
                <w:b/>
                <w:bCs/>
                <w:color w:val="000000" w:themeColor="text1"/>
                <w:sz w:val="24"/>
                <w14:textFill>
                  <w14:solidFill>
                    <w14:schemeClr w14:val="tx1"/>
                  </w14:solidFill>
                </w14:textFill>
              </w:rPr>
              <w:t>2.高山蔬菜产业：</w:t>
            </w:r>
            <w:r>
              <w:rPr>
                <w:rFonts w:hint="eastAsia" w:ascii="Times New Roman" w:hAnsi="Times New Roman" w:eastAsia="仿宋"/>
                <w:color w:val="000000" w:themeColor="text1"/>
                <w:sz w:val="24"/>
                <w14:textFill>
                  <w14:solidFill>
                    <w14:schemeClr w14:val="tx1"/>
                  </w14:solidFill>
                </w14:textFill>
              </w:rPr>
              <w:t>龙胜县伟江乡优质芭蕉芋产业发展（扩种与加工）项目，伟江高山蔬菜示范基地，平等镇、马堤乡等乡镇高山蔬菜种植推广项目。</w:t>
            </w:r>
          </w:p>
          <w:p>
            <w:pPr>
              <w:adjustRightInd w:val="0"/>
              <w:snapToGrid w:val="0"/>
              <w:spacing w:line="300" w:lineRule="auto"/>
              <w:rPr>
                <w:rFonts w:ascii="Times New Roman" w:hAnsi="Times New Roman" w:eastAsia="仿宋"/>
                <w:color w:val="000000" w:themeColor="text1"/>
                <w:sz w:val="24"/>
                <w14:textFill>
                  <w14:solidFill>
                    <w14:schemeClr w14:val="tx1"/>
                  </w14:solidFill>
                </w14:textFill>
              </w:rPr>
            </w:pPr>
            <w:r>
              <w:rPr>
                <w:rFonts w:hint="eastAsia" w:ascii="Times New Roman" w:hAnsi="Times New Roman" w:eastAsia="仿宋"/>
                <w:b/>
                <w:bCs/>
                <w:color w:val="000000" w:themeColor="text1"/>
                <w:sz w:val="24"/>
                <w14:textFill>
                  <w14:solidFill>
                    <w14:schemeClr w14:val="tx1"/>
                  </w14:solidFill>
                </w14:textFill>
              </w:rPr>
              <w:t>3.龙脊茶产业</w:t>
            </w:r>
            <w:r>
              <w:rPr>
                <w:rFonts w:hint="eastAsia" w:ascii="Times New Roman" w:hAnsi="Times New Roman" w:eastAsia="仿宋"/>
                <w:color w:val="000000" w:themeColor="text1"/>
                <w:sz w:val="24"/>
                <w14:textFill>
                  <w14:solidFill>
                    <w14:schemeClr w14:val="tx1"/>
                  </w14:solidFill>
                </w14:textFill>
              </w:rPr>
              <w:t>：龙胜县龙脊茶文化体验中心，龙脊镇高杆茶示范场建设，平等镇、乐江镇、马堤乡茶叶基地建设。</w:t>
            </w:r>
          </w:p>
          <w:p>
            <w:pPr>
              <w:adjustRightInd w:val="0"/>
              <w:snapToGrid w:val="0"/>
              <w:spacing w:line="300" w:lineRule="auto"/>
              <w:rPr>
                <w:rFonts w:ascii="Times New Roman" w:hAnsi="Times New Roman" w:eastAsia="仿宋"/>
                <w:color w:val="000000" w:themeColor="text1"/>
                <w:sz w:val="24"/>
                <w14:textFill>
                  <w14:solidFill>
                    <w14:schemeClr w14:val="tx1"/>
                  </w14:solidFill>
                </w14:textFill>
              </w:rPr>
            </w:pPr>
            <w:r>
              <w:rPr>
                <w:rFonts w:hint="eastAsia" w:ascii="Times New Roman" w:hAnsi="Times New Roman" w:eastAsia="仿宋"/>
                <w:b/>
                <w:bCs/>
                <w:color w:val="000000" w:themeColor="text1"/>
                <w:sz w:val="24"/>
                <w14:textFill>
                  <w14:solidFill>
                    <w14:schemeClr w14:val="tx1"/>
                  </w14:solidFill>
                </w14:textFill>
              </w:rPr>
              <w:t>4.现代智慧农业产业园区：</w:t>
            </w:r>
            <w:r>
              <w:rPr>
                <w:rFonts w:hint="eastAsia" w:ascii="Times New Roman" w:hAnsi="Times New Roman" w:eastAsia="仿宋"/>
                <w:color w:val="000000" w:themeColor="text1"/>
                <w:sz w:val="24"/>
                <w14:textFill>
                  <w14:solidFill>
                    <w14:schemeClr w14:val="tx1"/>
                  </w14:solidFill>
                </w14:textFill>
              </w:rPr>
              <w:t>龙胜县智慧农业示范工程、龙胜县上塘村现代农业示范区、龙胜县瓢里镇生态农业核心示范带、龙胜县产业扶贫示范基地全产业链提升工程项目、龙胜县特色优势产业项目、龙胜县马堤乡休闲农业示范建设项目、龙胜县农业生产力提升工程。</w:t>
            </w:r>
          </w:p>
          <w:p>
            <w:pPr>
              <w:adjustRightInd w:val="0"/>
              <w:snapToGrid w:val="0"/>
              <w:spacing w:line="300" w:lineRule="auto"/>
              <w:rPr>
                <w:rFonts w:ascii="Times New Roman" w:hAnsi="Times New Roman" w:eastAsia="仿宋"/>
                <w:color w:val="000000" w:themeColor="text1"/>
                <w:sz w:val="24"/>
                <w14:textFill>
                  <w14:solidFill>
                    <w14:schemeClr w14:val="tx1"/>
                  </w14:solidFill>
                </w14:textFill>
              </w:rPr>
            </w:pPr>
            <w:r>
              <w:rPr>
                <w:rFonts w:hint="eastAsia" w:ascii="Times New Roman" w:hAnsi="Times New Roman" w:eastAsia="仿宋"/>
                <w:b/>
                <w:bCs/>
                <w:color w:val="000000" w:themeColor="text1"/>
                <w:sz w:val="24"/>
                <w14:textFill>
                  <w14:solidFill>
                    <w14:schemeClr w14:val="tx1"/>
                  </w14:solidFill>
                </w14:textFill>
              </w:rPr>
              <w:t>5.田园综合体建设</w:t>
            </w:r>
            <w:r>
              <w:rPr>
                <w:rFonts w:hint="eastAsia" w:ascii="Times New Roman" w:hAnsi="Times New Roman" w:eastAsia="仿宋"/>
                <w:color w:val="000000" w:themeColor="text1"/>
                <w:sz w:val="24"/>
                <w14:textFill>
                  <w14:solidFill>
                    <w14:schemeClr w14:val="tx1"/>
                  </w14:solidFill>
                </w14:textFill>
              </w:rPr>
              <w:t>：龙胜县“寿比南山”田园综合体建设项目、龙胜县“花语泗水”田园综合体建设项目龙胜镇、江底乡、马堤乡、伟江乡、平等镇、乐江镇、瓢里镇、三门镇等乡镇田园综合体。</w:t>
            </w:r>
          </w:p>
          <w:p>
            <w:pPr>
              <w:adjustRightInd w:val="0"/>
              <w:snapToGrid w:val="0"/>
              <w:spacing w:line="300" w:lineRule="auto"/>
              <w:rPr>
                <w:rFonts w:ascii="Times New Roman" w:hAnsi="Times New Roman"/>
                <w:color w:val="000000" w:themeColor="text1"/>
                <w14:textFill>
                  <w14:solidFill>
                    <w14:schemeClr w14:val="tx1"/>
                  </w14:solidFill>
                </w14:textFill>
              </w:rPr>
            </w:pPr>
            <w:r>
              <w:rPr>
                <w:rFonts w:hint="eastAsia" w:ascii="Times New Roman" w:hAnsi="Times New Roman" w:eastAsia="仿宋"/>
                <w:b/>
                <w:bCs/>
                <w:color w:val="000000" w:themeColor="text1"/>
                <w:sz w:val="24"/>
                <w14:textFill>
                  <w14:solidFill>
                    <w14:schemeClr w14:val="tx1"/>
                  </w14:solidFill>
                </w14:textFill>
              </w:rPr>
              <w:t>6.农特产品及其它项目：</w:t>
            </w:r>
            <w:r>
              <w:rPr>
                <w:rFonts w:hint="eastAsia" w:ascii="Times New Roman" w:hAnsi="Times New Roman" w:eastAsia="仿宋"/>
                <w:color w:val="000000" w:themeColor="text1"/>
                <w:sz w:val="24"/>
                <w14:textFill>
                  <w14:solidFill>
                    <w14:schemeClr w14:val="tx1"/>
                  </w14:solidFill>
                </w14:textFill>
              </w:rPr>
              <w:t>龙胜县民族名优农特产品展销街区提升项目、龙胜县农产品品牌建设、龙胜县特色优势产业项目、龙胜县农产品质量安全监管建设项目、龙胜县新型经营主体培育工程、龙胜县高素质农民培训与科技示范项目、龙胜县农村事务服务能力提升项目、龙胜县罗汉果深加工项目。</w:t>
            </w:r>
          </w:p>
        </w:tc>
      </w:tr>
    </w:tbl>
    <w:p>
      <w:pPr>
        <w:spacing w:line="560" w:lineRule="exact"/>
        <w:ind w:firstLine="420" w:firstLineChars="200"/>
        <w:rPr>
          <w:rFonts w:ascii="Times New Roman" w:hAnsi="Times New Roman" w:eastAsia="楷体_GB2312"/>
          <w:color w:val="000000" w:themeColor="text1"/>
          <w14:textFill>
            <w14:solidFill>
              <w14:schemeClr w14:val="tx1"/>
            </w14:solidFill>
          </w14:textFill>
        </w:rPr>
      </w:pPr>
    </w:p>
    <w:p>
      <w:pPr>
        <w:pStyle w:val="5"/>
        <w:keepNext w:val="0"/>
        <w:keepLines w:val="0"/>
        <w:spacing w:before="0" w:after="0" w:line="560" w:lineRule="exact"/>
        <w:ind w:firstLine="640" w:firstLineChars="200"/>
        <w:jc w:val="center"/>
        <w:rPr>
          <w:rFonts w:ascii="Times New Roman" w:hAnsi="Times New Roman" w:eastAsia="黑体"/>
          <w:b w:val="0"/>
          <w:color w:val="000000" w:themeColor="text1"/>
          <w14:textFill>
            <w14:solidFill>
              <w14:schemeClr w14:val="tx1"/>
            </w14:solidFill>
          </w14:textFill>
        </w:rPr>
      </w:pPr>
      <w:bookmarkStart w:id="136" w:name="_Toc1536"/>
      <w:r>
        <w:rPr>
          <w:rFonts w:hint="eastAsia" w:ascii="Times New Roman" w:hAnsi="Times New Roman" w:eastAsia="黑体"/>
          <w:b w:val="0"/>
          <w:color w:val="000000" w:themeColor="text1"/>
          <w14:textFill>
            <w14:solidFill>
              <w14:schemeClr w14:val="tx1"/>
            </w14:solidFill>
          </w14:textFill>
        </w:rPr>
        <w:t>第二节  实施乡村建设行动</w:t>
      </w:r>
      <w:bookmarkEnd w:id="136"/>
    </w:p>
    <w:p>
      <w:pPr>
        <w:spacing w:line="560" w:lineRule="exact"/>
        <w:ind w:firstLine="640" w:firstLineChars="200"/>
        <w:rPr>
          <w:rFonts w:ascii="Times New Roman" w:hAnsi="Times New Roman" w:eastAsia="楷体_GB2312"/>
          <w:bCs/>
          <w:color w:val="000000" w:themeColor="text1"/>
          <w:sz w:val="32"/>
          <w:szCs w:val="32"/>
          <w14:textFill>
            <w14:solidFill>
              <w14:schemeClr w14:val="tx1"/>
            </w14:solidFill>
          </w14:textFill>
        </w:rPr>
      </w:pPr>
    </w:p>
    <w:p>
      <w:pPr>
        <w:spacing w:line="560" w:lineRule="exact"/>
        <w:ind w:firstLine="643"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b/>
          <w:bCs/>
          <w:color w:val="000000" w:themeColor="text1"/>
          <w:sz w:val="32"/>
          <w:szCs w:val="32"/>
          <w14:textFill>
            <w14:solidFill>
              <w14:schemeClr w14:val="tx1"/>
            </w14:solidFill>
          </w14:textFill>
        </w:rPr>
        <w:t>一、改善农村人居环境，建设生态宜居乡村。</w:t>
      </w:r>
      <w:r>
        <w:rPr>
          <w:rFonts w:hint="eastAsia" w:ascii="Times New Roman" w:hAnsi="Times New Roman" w:eastAsia="仿宋_GB2312"/>
          <w:color w:val="000000" w:themeColor="text1"/>
          <w:sz w:val="32"/>
          <w:szCs w:val="32"/>
          <w14:textFill>
            <w14:solidFill>
              <w14:schemeClr w14:val="tx1"/>
            </w14:solidFill>
          </w14:textFill>
        </w:rPr>
        <w:t>加强农村人居环境整治，扭转农村脏乱差局面，把原有的农村生活垃圾进行彻底清理，实施厕所革命，实现100%的家庭有卫生厕所；全面推进农村生活垃圾治理，开展就地分类、源头减量试点；梯次推进农村生活污水治理，优先解决乡镇所在地和中心村生活污水问题。开展农村黑臭水体治理，支持农村居民开展村庄清洁和绿化行动，推进“美丽家园”建设，全面提升乡村人居环境质量水平。</w:t>
      </w:r>
    </w:p>
    <w:p>
      <w:pPr>
        <w:pStyle w:val="31"/>
        <w:autoSpaceDE/>
        <w:autoSpaceDN/>
        <w:adjustRightInd/>
        <w:spacing w:line="560" w:lineRule="exact"/>
        <w:ind w:firstLine="643"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b/>
          <w:bCs/>
          <w:color w:val="000000" w:themeColor="text1"/>
          <w:kern w:val="2"/>
          <w:sz w:val="32"/>
          <w:szCs w:val="32"/>
          <w14:textFill>
            <w14:solidFill>
              <w14:schemeClr w14:val="tx1"/>
            </w14:solidFill>
          </w14:textFill>
        </w:rPr>
        <w:t>二、利用及保护传统村落，在传承保护中发展。</w:t>
      </w:r>
      <w:r>
        <w:rPr>
          <w:rFonts w:hint="eastAsia" w:ascii="Times New Roman" w:hAnsi="Times New Roman" w:eastAsia="仿宋_GB2312"/>
          <w:color w:val="000000" w:themeColor="text1"/>
          <w:sz w:val="32"/>
          <w:szCs w:val="32"/>
          <w14:textFill>
            <w14:solidFill>
              <w14:schemeClr w14:val="tx1"/>
            </w14:solidFill>
          </w14:textFill>
        </w:rPr>
        <w:t>以“百村示范、千屯整治”工程为重要抓手，加大利用和保护传统村落，使旧村古寨焕发新活力。以“保护为主、抢救为先、传承为本、利用为要”的总体思路，积极探索传统村落保护路径，发动广大群众，抢救历史物件、口述资料、传统民俗，保留传统民房、民居建筑风貌，保护古宅、古井、古桥、古树、古迹；鼓励返乡创业人员返回古村发展电商、盆景、特色民俗表演等新业态，带动村民就业，在保护和传承中发展。</w:t>
      </w:r>
    </w:p>
    <w:p>
      <w:pPr>
        <w:pStyle w:val="31"/>
        <w:autoSpaceDE/>
        <w:autoSpaceDN/>
        <w:adjustRightInd/>
        <w:spacing w:line="560" w:lineRule="exact"/>
        <w:ind w:firstLine="643"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b/>
          <w:bCs/>
          <w:color w:val="000000" w:themeColor="text1"/>
          <w:kern w:val="2"/>
          <w:sz w:val="32"/>
          <w:szCs w:val="32"/>
          <w14:textFill>
            <w14:solidFill>
              <w14:schemeClr w14:val="tx1"/>
            </w14:solidFill>
          </w14:textFill>
        </w:rPr>
        <w:t>三、加强村庄规划编制，管控好农房。</w:t>
      </w:r>
      <w:r>
        <w:rPr>
          <w:rFonts w:hint="eastAsia" w:ascii="Times New Roman" w:hAnsi="Times New Roman" w:eastAsia="仿宋_GB2312"/>
          <w:color w:val="000000" w:themeColor="text1"/>
          <w:sz w:val="32"/>
          <w:szCs w:val="32"/>
          <w14:textFill>
            <w14:solidFill>
              <w14:schemeClr w14:val="tx1"/>
            </w14:solidFill>
          </w14:textFill>
        </w:rPr>
        <w:t>加强农村居民建住宅的规划设计管控、宅基地管理、建设管控、监管执法等工作，推进乡村振兴战略实施和“美丽广西”乡村建设。落实党中央、国务院关于开展农村乱占耕地建房问题整治的决策部署，进一步厘清各部门职责分工，压紧压实工作责任，切实加强农房管控，严格实施乡村建房许可制度。</w:t>
      </w:r>
    </w:p>
    <w:p>
      <w:pPr>
        <w:pStyle w:val="31"/>
        <w:autoSpaceDE/>
        <w:autoSpaceDN/>
        <w:adjustRightInd/>
        <w:spacing w:line="560" w:lineRule="exact"/>
        <w:ind w:firstLine="643"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b/>
          <w:bCs/>
          <w:color w:val="000000" w:themeColor="text1"/>
          <w:kern w:val="2"/>
          <w:sz w:val="32"/>
          <w:szCs w:val="32"/>
          <w14:textFill>
            <w14:solidFill>
              <w14:schemeClr w14:val="tx1"/>
            </w14:solidFill>
          </w14:textFill>
        </w:rPr>
        <w:t>四、提升农村基础设施。</w:t>
      </w:r>
      <w:r>
        <w:rPr>
          <w:rFonts w:hint="eastAsia" w:ascii="Times New Roman" w:hAnsi="Times New Roman" w:eastAsia="仿宋_GB2312"/>
          <w:color w:val="000000" w:themeColor="text1"/>
          <w:sz w:val="32"/>
          <w:szCs w:val="32"/>
          <w14:textFill>
            <w14:solidFill>
              <w14:schemeClr w14:val="tx1"/>
            </w14:solidFill>
          </w14:textFill>
        </w:rPr>
        <w:t>在全面巩固住房安全和饮水安全的基础上，加强农村通村路、通屯路升级改造，基本实现村村通、屯屯通水泥硬化路；加强农村公共服务基础设施建设，基本实现20户以上的聚居屯有停车场、有路灯等；加强农村通讯网络建设，实现20户以上聚居屯通宽带，5G网络全覆盖。</w:t>
      </w:r>
    </w:p>
    <w:p>
      <w:pPr>
        <w:pStyle w:val="31"/>
        <w:autoSpaceDE/>
        <w:autoSpaceDN/>
        <w:adjustRightInd/>
        <w:spacing w:line="560" w:lineRule="exact"/>
        <w:ind w:firstLine="643"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b/>
          <w:bCs/>
          <w:color w:val="000000" w:themeColor="text1"/>
          <w:kern w:val="2"/>
          <w:sz w:val="32"/>
          <w:szCs w:val="32"/>
          <w14:textFill>
            <w14:solidFill>
              <w14:schemeClr w14:val="tx1"/>
            </w14:solidFill>
          </w14:textFill>
        </w:rPr>
        <w:t>五、统筹县域城镇带动乡村协调发展。</w:t>
      </w:r>
      <w:r>
        <w:rPr>
          <w:rFonts w:hint="eastAsia" w:ascii="Times New Roman" w:hAnsi="Times New Roman" w:eastAsia="仿宋_GB2312"/>
          <w:color w:val="000000" w:themeColor="text1"/>
          <w:sz w:val="32"/>
          <w:szCs w:val="32"/>
          <w14:textFill>
            <w14:solidFill>
              <w14:schemeClr w14:val="tx1"/>
            </w14:solidFill>
          </w14:textFill>
        </w:rPr>
        <w:t>强化县城和乡镇中心城镇的综合服务能力，把县城和乡镇建成服务农村和农民的区域中心。</w:t>
      </w:r>
    </w:p>
    <w:p>
      <w:pPr>
        <w:pStyle w:val="31"/>
        <w:autoSpaceDE/>
        <w:autoSpaceDN/>
        <w:adjustRightInd/>
        <w:spacing w:line="560" w:lineRule="exact"/>
        <w:ind w:firstLine="480" w:firstLineChars="200"/>
        <w:rPr>
          <w:rFonts w:ascii="Times New Roman" w:hAnsi="Times New Roman" w:eastAsia="楷体_GB2312"/>
          <w:color w:val="000000" w:themeColor="text1"/>
          <w14:textFill>
            <w14:solidFill>
              <w14:schemeClr w14:val="tx1"/>
            </w14:solidFill>
          </w14:textFill>
        </w:rPr>
      </w:pPr>
    </w:p>
    <w:p>
      <w:pPr>
        <w:pStyle w:val="5"/>
        <w:keepNext w:val="0"/>
        <w:keepLines w:val="0"/>
        <w:spacing w:before="0" w:after="0" w:line="560" w:lineRule="exact"/>
        <w:ind w:firstLine="640" w:firstLineChars="200"/>
        <w:jc w:val="center"/>
        <w:rPr>
          <w:rFonts w:ascii="Times New Roman" w:hAnsi="Times New Roman" w:eastAsia="黑体"/>
          <w:b w:val="0"/>
          <w:color w:val="000000" w:themeColor="text1"/>
          <w14:textFill>
            <w14:solidFill>
              <w14:schemeClr w14:val="tx1"/>
            </w14:solidFill>
          </w14:textFill>
        </w:rPr>
      </w:pPr>
      <w:bookmarkStart w:id="137" w:name="_Toc8787"/>
      <w:r>
        <w:rPr>
          <w:rFonts w:hint="eastAsia" w:ascii="Times New Roman" w:hAnsi="Times New Roman" w:eastAsia="黑体"/>
          <w:b w:val="0"/>
          <w:color w:val="000000" w:themeColor="text1"/>
          <w14:textFill>
            <w14:solidFill>
              <w14:schemeClr w14:val="tx1"/>
            </w14:solidFill>
          </w14:textFill>
        </w:rPr>
        <w:t>第三节  健全乡村治理体系</w:t>
      </w:r>
      <w:bookmarkEnd w:id="137"/>
    </w:p>
    <w:p>
      <w:pPr>
        <w:spacing w:line="560" w:lineRule="exact"/>
        <w:rPr>
          <w:rFonts w:ascii="Times New Roman" w:hAnsi="Times New Roman" w:eastAsia="仿宋_GB2312"/>
          <w:color w:val="000000" w:themeColor="text1"/>
          <w:sz w:val="32"/>
          <w:szCs w:val="32"/>
          <w14:textFill>
            <w14:solidFill>
              <w14:schemeClr w14:val="tx1"/>
            </w14:solidFill>
          </w14:textFill>
        </w:rPr>
      </w:pPr>
    </w:p>
    <w:p>
      <w:pP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color w:val="000000" w:themeColor="text1"/>
          <w:sz w:val="32"/>
          <w:szCs w:val="32"/>
          <w14:textFill>
            <w14:solidFill>
              <w14:schemeClr w14:val="tx1"/>
            </w14:solidFill>
          </w14:textFill>
        </w:rPr>
        <w:t>践行社会主义核心价值观，加强农村精神文明建设、公共文化建设等内容。健全自治、法治、德治相结合的乡村治理体系。充分发挥党组织领导核心作用，加强乡风文明建设，加快形成自治为基、法治为本、德治为先的“三治”结合的乡村治理格局，为实施乡村振兴战略提供有力支撑。</w:t>
      </w:r>
    </w:p>
    <w:p>
      <w:pPr>
        <w:spacing w:line="560" w:lineRule="exact"/>
        <w:ind w:firstLine="643"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b/>
          <w:bCs/>
          <w:color w:val="000000" w:themeColor="text1"/>
          <w:sz w:val="32"/>
          <w:szCs w:val="32"/>
          <w14:textFill>
            <w14:solidFill>
              <w14:schemeClr w14:val="tx1"/>
            </w14:solidFill>
          </w14:textFill>
        </w:rPr>
        <w:t>一、发挥基层党组织作用。</w:t>
      </w:r>
      <w:r>
        <w:rPr>
          <w:rFonts w:hint="eastAsia" w:ascii="Times New Roman" w:hAnsi="Times New Roman" w:eastAsia="仿宋_GB2312"/>
          <w:color w:val="000000" w:themeColor="text1"/>
          <w:sz w:val="32"/>
          <w:szCs w:val="32"/>
          <w14:textFill>
            <w14:solidFill>
              <w14:schemeClr w14:val="tx1"/>
            </w14:solidFill>
          </w14:textFill>
        </w:rPr>
        <w:t>抓好村“两委”换届工作，选优配强村党组织书记，全面推行村党组织书记兼任村委会主任，整顿软弱涣散村党组织。开展“争百强、创示范、村村达标”活动，确保基层组织、工作、管理、活动、保障“五规范”。</w:t>
      </w:r>
    </w:p>
    <w:p>
      <w:pPr>
        <w:spacing w:line="560" w:lineRule="exact"/>
        <w:ind w:firstLine="643"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b/>
          <w:color w:val="000000" w:themeColor="text1"/>
          <w:sz w:val="32"/>
          <w:szCs w:val="32"/>
          <w14:textFill>
            <w14:solidFill>
              <w14:schemeClr w14:val="tx1"/>
            </w14:solidFill>
          </w14:textFill>
        </w:rPr>
        <w:t>二、促进自治法治德治结合。</w:t>
      </w:r>
      <w:r>
        <w:rPr>
          <w:rFonts w:hint="eastAsia" w:ascii="Times New Roman" w:hAnsi="Times New Roman" w:eastAsia="仿宋_GB2312"/>
          <w:color w:val="000000" w:themeColor="text1"/>
          <w:sz w:val="32"/>
          <w:szCs w:val="32"/>
          <w14:textFill>
            <w14:solidFill>
              <w14:schemeClr w14:val="tx1"/>
            </w14:solidFill>
          </w14:textFill>
        </w:rPr>
        <w:t>加强村民委员会、村务监督委员会等村民自治组织建设，推行“四议两公开”和全民参与构建“合力治”格局，以提升村民自治水平。加大抓党建促村级集体经济发展工作力度，以乡镇为单位逐村分析研究，制定切实可行发展村级集体经济的实施方案。鼓励村党支部领办合作社，统筹整合资金重点扶持集体经济薄弱村。加强农村基层自治组织的科学化、规范化管理，加强村级组织活动场所建设，推动各类资源向农村倾斜、重心向农村下移，确保农村基层组织活动有经费、有场地，为村民办好事、实事打下坚实的经济基础。</w:t>
      </w:r>
    </w:p>
    <w:p>
      <w:pPr>
        <w:spacing w:line="560" w:lineRule="exact"/>
        <w:ind w:firstLine="643"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b/>
          <w:color w:val="000000" w:themeColor="text1"/>
          <w:sz w:val="32"/>
          <w:szCs w:val="32"/>
          <w14:textFill>
            <w14:solidFill>
              <w14:schemeClr w14:val="tx1"/>
            </w14:solidFill>
          </w14:textFill>
        </w:rPr>
        <w:t>三、推进乡风文明建设。</w:t>
      </w:r>
      <w:r>
        <w:rPr>
          <w:rFonts w:hint="eastAsia" w:ascii="Times New Roman" w:hAnsi="Times New Roman" w:eastAsia="仿宋_GB2312"/>
          <w:color w:val="000000" w:themeColor="text1"/>
          <w:sz w:val="32"/>
          <w:szCs w:val="32"/>
          <w14:textFill>
            <w14:solidFill>
              <w14:schemeClr w14:val="tx1"/>
            </w14:solidFill>
          </w14:textFill>
        </w:rPr>
        <w:t>以乡风文明建设为主线，加强精神文明建设，加快推进移风易俗，加大公共文化供给，培育文明乡风、良好家风、淳朴民风，推进文化振兴，让乡村“活”起来。</w:t>
      </w:r>
    </w:p>
    <w:p>
      <w:pPr>
        <w:spacing w:line="560" w:lineRule="exact"/>
        <w:ind w:firstLine="643"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b/>
          <w:color w:val="000000" w:themeColor="text1"/>
          <w:sz w:val="32"/>
          <w:szCs w:val="32"/>
          <w14:textFill>
            <w14:solidFill>
              <w14:schemeClr w14:val="tx1"/>
            </w14:solidFill>
          </w14:textFill>
        </w:rPr>
        <w:t>四、实现生活富裕。</w:t>
      </w:r>
      <w:r>
        <w:rPr>
          <w:rFonts w:hint="eastAsia" w:ascii="Times New Roman" w:hAnsi="Times New Roman" w:eastAsia="仿宋_GB2312"/>
          <w:color w:val="000000" w:themeColor="text1"/>
          <w:sz w:val="32"/>
          <w:szCs w:val="32"/>
          <w14:textFill>
            <w14:solidFill>
              <w14:schemeClr w14:val="tx1"/>
            </w14:solidFill>
          </w14:textFill>
        </w:rPr>
        <w:t>构建长效政策机制，保持“以工哺农”、“财政奖补”等惠农政策稳定，通过发展“一乡一业”、“一村一品”特色产业增加农民收入。通过发展集体经济、组织农民外出务工经商、增加农民财产性收入等多种渠道，不断缩小城乡居民收入差距，让广大农民尽快富裕起来。</w:t>
      </w:r>
    </w:p>
    <w:p>
      <w:pPr>
        <w:adjustRightInd w:val="0"/>
        <w:snapToGrid w:val="0"/>
        <w:spacing w:line="560" w:lineRule="exact"/>
        <w:jc w:val="center"/>
        <w:rPr>
          <w:rFonts w:ascii="Times New Roman" w:hAnsi="Times New Roman" w:eastAsia="仿宋"/>
          <w:b/>
          <w:color w:val="000000" w:themeColor="text1"/>
          <w:sz w:val="28"/>
          <w:szCs w:val="28"/>
          <w14:textFill>
            <w14:solidFill>
              <w14:schemeClr w14:val="tx1"/>
            </w14:solidFill>
          </w14:textFill>
        </w:rPr>
      </w:pPr>
    </w:p>
    <w:p>
      <w:pPr>
        <w:adjustRightInd w:val="0"/>
        <w:snapToGrid w:val="0"/>
        <w:spacing w:line="300" w:lineRule="auto"/>
        <w:jc w:val="center"/>
        <w:rPr>
          <w:rFonts w:ascii="Times New Roman" w:hAnsi="Times New Roman" w:eastAsia="仿宋"/>
          <w:b/>
          <w:color w:val="000000" w:themeColor="text1"/>
          <w:sz w:val="28"/>
          <w:szCs w:val="28"/>
          <w14:textFill>
            <w14:solidFill>
              <w14:schemeClr w14:val="tx1"/>
            </w14:solidFill>
          </w14:textFill>
        </w:rPr>
      </w:pPr>
      <w:r>
        <w:rPr>
          <w:rFonts w:hint="eastAsia" w:ascii="Times New Roman" w:hAnsi="Times New Roman" w:eastAsia="仿宋"/>
          <w:b/>
          <w:color w:val="000000" w:themeColor="text1"/>
          <w:sz w:val="28"/>
          <w:szCs w:val="28"/>
          <w14:textFill>
            <w14:solidFill>
              <w14:schemeClr w14:val="tx1"/>
            </w14:solidFill>
          </w14:textFill>
        </w:rPr>
        <w:t>专栏</w:t>
      </w:r>
      <w:r>
        <w:rPr>
          <w:rFonts w:ascii="Times New Roman" w:hAnsi="Times New Roman" w:eastAsia="仿宋"/>
          <w:b/>
          <w:color w:val="000000" w:themeColor="text1"/>
          <w:sz w:val="28"/>
          <w:szCs w:val="28"/>
          <w14:textFill>
            <w14:solidFill>
              <w14:schemeClr w14:val="tx1"/>
            </w14:solidFill>
          </w14:textFill>
        </w:rPr>
        <w:t>3</w:t>
      </w:r>
      <w:r>
        <w:rPr>
          <w:rFonts w:hint="eastAsia" w:ascii="Times New Roman" w:hAnsi="Times New Roman" w:eastAsia="仿宋"/>
          <w:b/>
          <w:color w:val="000000" w:themeColor="text1"/>
          <w:sz w:val="28"/>
          <w:szCs w:val="28"/>
          <w14:textFill>
            <w14:solidFill>
              <w14:schemeClr w14:val="tx1"/>
            </w14:solidFill>
          </w14:textFill>
        </w:rPr>
        <w:t xml:space="preserve">  生态宜居乡村建设工程</w:t>
      </w:r>
    </w:p>
    <w:tbl>
      <w:tblPr>
        <w:tblStyle w:val="22"/>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6" w:hRule="atLeast"/>
          <w:jc w:val="center"/>
        </w:trPr>
        <w:tc>
          <w:tcPr>
            <w:tcW w:w="9071" w:type="dxa"/>
          </w:tcPr>
          <w:p>
            <w:pPr>
              <w:spacing w:line="300" w:lineRule="auto"/>
              <w:jc w:val="left"/>
              <w:rPr>
                <w:rFonts w:ascii="Times New Roman" w:hAnsi="Times New Roman" w:eastAsia="仿宋"/>
                <w:bCs/>
                <w:color w:val="000000" w:themeColor="text1"/>
                <w:sz w:val="24"/>
                <w14:textFill>
                  <w14:solidFill>
                    <w14:schemeClr w14:val="tx1"/>
                  </w14:solidFill>
                </w14:textFill>
              </w:rPr>
            </w:pPr>
            <w:r>
              <w:rPr>
                <w:rFonts w:hint="eastAsia" w:ascii="Times New Roman" w:hAnsi="Times New Roman" w:eastAsia="仿宋"/>
                <w:b/>
                <w:color w:val="000000" w:themeColor="text1"/>
                <w:sz w:val="24"/>
                <w14:textFill>
                  <w14:solidFill>
                    <w14:schemeClr w14:val="tx1"/>
                  </w14:solidFill>
                </w14:textFill>
              </w:rPr>
              <w:t>1.新型城镇化示范：</w:t>
            </w:r>
            <w:r>
              <w:rPr>
                <w:rFonts w:hint="eastAsia" w:ascii="Times New Roman" w:hAnsi="Times New Roman" w:eastAsia="仿宋"/>
                <w:bCs/>
                <w:color w:val="000000" w:themeColor="text1"/>
                <w:sz w:val="24"/>
                <w14:textFill>
                  <w14:solidFill>
                    <w14:schemeClr w14:val="tx1"/>
                  </w14:solidFill>
                </w14:textFill>
              </w:rPr>
              <w:t>伟江乡、马堤乡、江底乡、泗水乡。</w:t>
            </w:r>
          </w:p>
          <w:p>
            <w:pPr>
              <w:spacing w:line="300" w:lineRule="auto"/>
              <w:jc w:val="left"/>
              <w:rPr>
                <w:rFonts w:ascii="Times New Roman" w:hAnsi="Times New Roman" w:eastAsia="仿宋"/>
                <w:bCs/>
                <w:color w:val="000000" w:themeColor="text1"/>
                <w:sz w:val="24"/>
                <w14:textFill>
                  <w14:solidFill>
                    <w14:schemeClr w14:val="tx1"/>
                  </w14:solidFill>
                </w14:textFill>
              </w:rPr>
            </w:pPr>
            <w:r>
              <w:rPr>
                <w:rFonts w:hint="eastAsia" w:ascii="Times New Roman" w:hAnsi="Times New Roman" w:eastAsia="仿宋"/>
                <w:b/>
                <w:color w:val="000000" w:themeColor="text1"/>
                <w:sz w:val="24"/>
                <w14:textFill>
                  <w14:solidFill>
                    <w14:schemeClr w14:val="tx1"/>
                  </w14:solidFill>
                </w14:textFill>
              </w:rPr>
              <w:t>2.农村污垃收集处理：</w:t>
            </w:r>
            <w:r>
              <w:rPr>
                <w:rFonts w:hint="eastAsia" w:ascii="Times New Roman" w:hAnsi="Times New Roman" w:eastAsia="仿宋"/>
                <w:bCs/>
                <w:color w:val="000000" w:themeColor="text1"/>
                <w:sz w:val="24"/>
                <w14:textFill>
                  <w14:solidFill>
                    <w14:schemeClr w14:val="tx1"/>
                  </w14:solidFill>
                </w14:textFill>
              </w:rPr>
              <w:t>龙胜镇、龙脊镇、泗水乡、江底乡、马堤乡、伟江乡、平等镇、乐江镇、瓢里镇、三门镇。</w:t>
            </w:r>
          </w:p>
          <w:p>
            <w:pPr>
              <w:spacing w:line="300" w:lineRule="auto"/>
              <w:jc w:val="left"/>
              <w:rPr>
                <w:rFonts w:ascii="Times New Roman" w:hAnsi="Times New Roman" w:eastAsia="仿宋"/>
                <w:color w:val="000000" w:themeColor="text1"/>
                <w:sz w:val="24"/>
                <w14:textFill>
                  <w14:solidFill>
                    <w14:schemeClr w14:val="tx1"/>
                  </w14:solidFill>
                </w14:textFill>
              </w:rPr>
            </w:pPr>
            <w:r>
              <w:rPr>
                <w:rFonts w:hint="eastAsia" w:ascii="Times New Roman" w:hAnsi="Times New Roman" w:eastAsia="仿宋"/>
                <w:b/>
                <w:color w:val="000000" w:themeColor="text1"/>
                <w:sz w:val="24"/>
                <w14:textFill>
                  <w14:solidFill>
                    <w14:schemeClr w14:val="tx1"/>
                  </w14:solidFill>
                </w14:textFill>
              </w:rPr>
              <w:t>3.人居环境及乡村风貌提升：</w:t>
            </w:r>
            <w:r>
              <w:rPr>
                <w:rFonts w:hint="eastAsia" w:ascii="Times New Roman" w:hAnsi="Times New Roman" w:eastAsia="仿宋"/>
                <w:bCs/>
                <w:color w:val="000000" w:themeColor="text1"/>
                <w:sz w:val="24"/>
                <w14:textFill>
                  <w14:solidFill>
                    <w14:schemeClr w14:val="tx1"/>
                  </w14:solidFill>
                </w14:textFill>
              </w:rPr>
              <w:t>龙胜镇、龙脊镇、泗水乡、江底乡、马堤乡、伟江乡、平等镇、乐江镇、瓢里镇、三门镇等全县10个乡镇的人居环境改善，同时以“两高两道（即高铁高速公路、国道省道）”为重点提升乡村风貌。</w:t>
            </w:r>
          </w:p>
        </w:tc>
      </w:tr>
    </w:tbl>
    <w:p>
      <w:pPr>
        <w:spacing w:line="560" w:lineRule="exact"/>
        <w:ind w:firstLine="420" w:firstLineChars="200"/>
        <w:rPr>
          <w:rFonts w:ascii="Times New Roman" w:hAnsi="Times New Roman" w:eastAsia="黑体"/>
          <w:color w:val="000000" w:themeColor="text1"/>
          <w14:textFill>
            <w14:solidFill>
              <w14:schemeClr w14:val="tx1"/>
            </w14:solidFill>
          </w14:textFill>
        </w:rPr>
      </w:pPr>
    </w:p>
    <w:p>
      <w:pPr>
        <w:pStyle w:val="5"/>
        <w:keepNext w:val="0"/>
        <w:keepLines w:val="0"/>
        <w:spacing w:before="0" w:after="0" w:line="560" w:lineRule="exact"/>
        <w:jc w:val="center"/>
        <w:rPr>
          <w:rFonts w:ascii="Times New Roman" w:hAnsi="Times New Roman" w:eastAsia="黑体"/>
          <w:b w:val="0"/>
          <w:color w:val="000000" w:themeColor="text1"/>
          <w14:textFill>
            <w14:solidFill>
              <w14:schemeClr w14:val="tx1"/>
            </w14:solidFill>
          </w14:textFill>
        </w:rPr>
      </w:pPr>
      <w:bookmarkStart w:id="138" w:name="_Toc13938"/>
      <w:r>
        <w:rPr>
          <w:rFonts w:hint="eastAsia" w:ascii="Times New Roman" w:hAnsi="Times New Roman" w:eastAsia="黑体"/>
          <w:b w:val="0"/>
          <w:color w:val="000000" w:themeColor="text1"/>
          <w14:textFill>
            <w14:solidFill>
              <w14:schemeClr w14:val="tx1"/>
            </w14:solidFill>
          </w14:textFill>
        </w:rPr>
        <w:t>第四节  巩固拓展脱贫攻坚成果</w:t>
      </w:r>
      <w:bookmarkEnd w:id="138"/>
    </w:p>
    <w:p>
      <w:pP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p>
    <w:p>
      <w:pP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color w:val="000000" w:themeColor="text1"/>
          <w:sz w:val="32"/>
          <w:szCs w:val="32"/>
          <w14:textFill>
            <w14:solidFill>
              <w14:schemeClr w14:val="tx1"/>
            </w14:solidFill>
          </w14:textFill>
        </w:rPr>
        <w:t>抓好五年过渡期，实现</w:t>
      </w:r>
      <w:r>
        <w:rPr>
          <w:rFonts w:hint="eastAsia" w:ascii="Times New Roman" w:hAnsi="Times New Roman" w:eastAsia="仿宋_GB2312"/>
          <w:color w:val="000000" w:themeColor="text1"/>
          <w:sz w:val="32"/>
          <w:szCs w:val="32"/>
          <w:lang w:eastAsia="zh-CN"/>
          <w14:textFill>
            <w14:solidFill>
              <w14:schemeClr w14:val="tx1"/>
            </w14:solidFill>
          </w14:textFill>
        </w:rPr>
        <w:t>巩固拓展脱贫攻坚成果同乡村振兴有效衔接</w:t>
      </w:r>
      <w:r>
        <w:rPr>
          <w:rFonts w:hint="eastAsia" w:ascii="Times New Roman" w:hAnsi="Times New Roman" w:eastAsia="仿宋_GB2312"/>
          <w:color w:val="000000" w:themeColor="text1"/>
          <w:sz w:val="32"/>
          <w:szCs w:val="32"/>
          <w14:textFill>
            <w14:solidFill>
              <w14:schemeClr w14:val="tx1"/>
            </w14:solidFill>
          </w14:textFill>
        </w:rPr>
        <w:t>，确保过渡期内主要帮扶政策保持总体稳定，以及集中资源由支持脱贫攻坚向全面推进乡村振兴转变。贯彻落实桂林市提出的“一巩固两结合”要求，推进巩固拓展脱贫攻坚成果与乡村振兴、国际旅游胜地建设升级发展相结合，以实施乡村振兴战略持续巩固和扩大脱贫攻坚成果。严格落实脱贫攻坚“四个不摘”要求，保持现有帮扶政策、资金支持、帮扶力量总体稳定。做好政策的有效衔接，对县内相关扶贫政策按照乡村振兴的总体要求进行优化完善。健全防止返贫监测帮扶机制，对脱贫村、脱贫人口开展监测，对易返贫致贫户做好及时监测和帮扶。持续发展产业，拓宽脱贫人口致富途径，促进稳岗就业；持续抓好农村基础设施建设，改善村屯道路、水利、通讯等生产生活条件和村容村貌。建立农村危房安全动态管理机制，强化易地搬迁后续帮扶工作。建立农村低收入人口帮扶衔接机制，健全农村社会保障和救助制度。</w:t>
      </w:r>
    </w:p>
    <w:p>
      <w:pP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p>
    <w:p>
      <w:pPr>
        <w:pStyle w:val="4"/>
        <w:keepNext w:val="0"/>
        <w:keepLines w:val="0"/>
        <w:spacing w:before="0" w:after="0" w:line="560" w:lineRule="exact"/>
        <w:jc w:val="center"/>
        <w:rPr>
          <w:rFonts w:ascii="Times New Roman" w:hAnsi="Times New Roman" w:eastAsia="黑体" w:cs="Times New Roman"/>
          <w:b w:val="0"/>
          <w:color w:val="000000" w:themeColor="text1"/>
          <w14:textFill>
            <w14:solidFill>
              <w14:schemeClr w14:val="tx1"/>
            </w14:solidFill>
          </w14:textFill>
        </w:rPr>
      </w:pPr>
      <w:bookmarkStart w:id="139" w:name="_Toc15230"/>
      <w:r>
        <w:rPr>
          <w:rFonts w:hint="eastAsia" w:ascii="Times New Roman" w:hAnsi="Times New Roman" w:eastAsia="黑体" w:cs="Times New Roman"/>
          <w:b w:val="0"/>
          <w:color w:val="000000" w:themeColor="text1"/>
          <w14:textFill>
            <w14:solidFill>
              <w14:schemeClr w14:val="tx1"/>
            </w14:solidFill>
          </w14:textFill>
        </w:rPr>
        <w:t>第六章  促进文旅振兴，铸就国际品牌</w:t>
      </w:r>
      <w:bookmarkEnd w:id="133"/>
      <w:bookmarkEnd w:id="134"/>
      <w:bookmarkEnd w:id="139"/>
    </w:p>
    <w:p>
      <w:pPr>
        <w:spacing w:line="560" w:lineRule="exact"/>
        <w:ind w:firstLine="420" w:firstLineChars="200"/>
        <w:rPr>
          <w:rFonts w:ascii="Times New Roman" w:hAnsi="Times New Roman" w:eastAsia="仿宋_GB2312"/>
          <w:color w:val="000000" w:themeColor="text1"/>
          <w14:textFill>
            <w14:solidFill>
              <w14:schemeClr w14:val="tx1"/>
            </w14:solidFill>
          </w14:textFill>
        </w:rPr>
      </w:pPr>
    </w:p>
    <w:p>
      <w:pP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bookmarkStart w:id="140" w:name="_Hlk27428526"/>
      <w:r>
        <w:rPr>
          <w:rFonts w:hint="eastAsia" w:ascii="Times New Roman" w:hAnsi="Times New Roman" w:eastAsia="仿宋_GB2312"/>
          <w:color w:val="000000" w:themeColor="text1"/>
          <w:sz w:val="32"/>
          <w:szCs w:val="32"/>
          <w14:textFill>
            <w14:solidFill>
              <w14:schemeClr w14:val="tx1"/>
            </w14:solidFill>
          </w14:textFill>
        </w:rPr>
        <w:t>以桂林国际旅游胜地提质升级发展建设为契机，传承红色基因，建设全国红色旅游强县。以打造“世界梯田原乡、多民族生态博物馆、中国红玉之乡、康寿养生胜地、有机产业大园区”等特色品牌为目标，以创建国家全域旅游示范区为平台，推动文化事业发展与旅游相结合，全力推进智慧广电工程，发展民族体育事业。着力构建全空间优化、全资源整合、全要素提升、全产业融合、全服务覆盖、全方位突破的发展新模式，奋力推进全县文化广电体育和旅游产业发展迈上新台阶。2021到2025年规划全县旅游接待人数达6000万人次，实现旅游总消费600亿元以上。其中，2025年旅游接待人数达到1400万人次以上，比上年增长15%以上；旅游总消费达到130亿元以上，比上年增长10%左右。</w:t>
      </w:r>
    </w:p>
    <w:bookmarkEnd w:id="140"/>
    <w:p>
      <w:pPr>
        <w:spacing w:line="560" w:lineRule="exact"/>
        <w:ind w:firstLine="420" w:firstLineChars="200"/>
        <w:rPr>
          <w:rFonts w:ascii="Times New Roman" w:hAnsi="Times New Roman" w:eastAsia="黑体"/>
          <w:color w:val="000000" w:themeColor="text1"/>
          <w14:textFill>
            <w14:solidFill>
              <w14:schemeClr w14:val="tx1"/>
            </w14:solidFill>
          </w14:textFill>
        </w:rPr>
      </w:pPr>
      <w:bookmarkStart w:id="141" w:name="_Toc61110789"/>
      <w:bookmarkStart w:id="142" w:name="_Toc17178"/>
      <w:bookmarkStart w:id="143" w:name="_Hlk27428727"/>
      <w:bookmarkStart w:id="144" w:name="_Hlk27428530"/>
    </w:p>
    <w:p>
      <w:pPr>
        <w:pStyle w:val="5"/>
        <w:keepNext w:val="0"/>
        <w:keepLines w:val="0"/>
        <w:spacing w:before="0" w:after="0" w:line="560" w:lineRule="exact"/>
        <w:jc w:val="center"/>
        <w:rPr>
          <w:rFonts w:ascii="Times New Roman" w:hAnsi="Times New Roman" w:eastAsia="黑体"/>
          <w:b w:val="0"/>
          <w:color w:val="000000" w:themeColor="text1"/>
          <w14:textFill>
            <w14:solidFill>
              <w14:schemeClr w14:val="tx1"/>
            </w14:solidFill>
          </w14:textFill>
        </w:rPr>
      </w:pPr>
      <w:bookmarkStart w:id="145" w:name="_Toc12815"/>
      <w:r>
        <w:rPr>
          <w:rFonts w:hint="eastAsia" w:ascii="Times New Roman" w:hAnsi="Times New Roman" w:eastAsia="黑体"/>
          <w:b w:val="0"/>
          <w:color w:val="000000" w:themeColor="text1"/>
          <w14:textFill>
            <w14:solidFill>
              <w14:schemeClr w14:val="tx1"/>
            </w14:solidFill>
          </w14:textFill>
        </w:rPr>
        <w:t>第一节  推进全域旅游建设</w:t>
      </w:r>
      <w:bookmarkEnd w:id="141"/>
      <w:bookmarkEnd w:id="142"/>
      <w:bookmarkEnd w:id="145"/>
    </w:p>
    <w:p>
      <w:pPr>
        <w:spacing w:line="560" w:lineRule="exact"/>
        <w:rPr>
          <w:rFonts w:ascii="Times New Roman" w:hAnsi="Times New Roman" w:eastAsia="楷体_GB2312"/>
          <w:bCs/>
          <w:color w:val="000000" w:themeColor="text1"/>
          <w:sz w:val="32"/>
          <w:szCs w:val="32"/>
          <w14:textFill>
            <w14:solidFill>
              <w14:schemeClr w14:val="tx1"/>
            </w14:solidFill>
          </w14:textFill>
        </w:rPr>
      </w:pPr>
    </w:p>
    <w:p>
      <w:pPr>
        <w:spacing w:line="560" w:lineRule="exact"/>
        <w:ind w:firstLine="643"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b/>
          <w:bCs/>
          <w:color w:val="000000" w:themeColor="text1"/>
          <w:sz w:val="32"/>
          <w:szCs w:val="32"/>
          <w14:textFill>
            <w14:solidFill>
              <w14:schemeClr w14:val="tx1"/>
            </w14:solidFill>
          </w14:textFill>
        </w:rPr>
        <w:t>一、融入桂林国际旅游胜地建设。</w:t>
      </w:r>
      <w:r>
        <w:rPr>
          <w:rFonts w:hint="eastAsia" w:ascii="Times New Roman" w:hAnsi="Times New Roman" w:eastAsia="仿宋_GB2312"/>
          <w:color w:val="000000" w:themeColor="text1"/>
          <w:sz w:val="32"/>
          <w:szCs w:val="32"/>
          <w14:textFill>
            <w14:solidFill>
              <w14:schemeClr w14:val="tx1"/>
            </w14:solidFill>
          </w14:textFill>
        </w:rPr>
        <w:t>以桂林国际旅游胜地建设为契机，按照建设一流的精品景区、提供一流的旅游服务、培育一流的旅游品牌、建成一流的消费中心、形成一流的文旅体验，建设一流的康养基地“六个一流”的要求，实施一批旅游提质工程，主动融入桂林国际旅游胜地建设，推进旅游产业高质量发展，创建国家级旅游标准化示范县。</w:t>
      </w:r>
    </w:p>
    <w:p>
      <w:pPr>
        <w:pStyle w:val="31"/>
        <w:autoSpaceDE/>
        <w:autoSpaceDN/>
        <w:adjustRightInd/>
        <w:spacing w:line="560" w:lineRule="exact"/>
        <w:ind w:firstLine="643" w:firstLineChars="200"/>
        <w:rPr>
          <w:rFonts w:ascii="Times New Roman" w:hAnsi="Times New Roman" w:eastAsia="楷体_GB2312"/>
          <w:bCs/>
          <w:color w:val="000000" w:themeColor="text1"/>
          <w:sz w:val="32"/>
          <w:szCs w:val="32"/>
          <w14:textFill>
            <w14:solidFill>
              <w14:schemeClr w14:val="tx1"/>
            </w14:solidFill>
          </w14:textFill>
        </w:rPr>
      </w:pPr>
      <w:r>
        <w:rPr>
          <w:rFonts w:hint="eastAsia" w:ascii="Times New Roman" w:hAnsi="Times New Roman" w:eastAsia="仿宋_GB2312"/>
          <w:b/>
          <w:bCs/>
          <w:color w:val="000000" w:themeColor="text1"/>
          <w:kern w:val="2"/>
          <w:sz w:val="32"/>
          <w:szCs w:val="32"/>
          <w14:textFill>
            <w14:solidFill>
              <w14:schemeClr w14:val="tx1"/>
            </w14:solidFill>
          </w14:textFill>
        </w:rPr>
        <w:t>二、全面建设全国红色旅游强县。</w:t>
      </w:r>
      <w:r>
        <w:rPr>
          <w:rFonts w:hint="eastAsia" w:ascii="Times New Roman" w:hAnsi="Times New Roman" w:eastAsia="仿宋_GB2312"/>
          <w:color w:val="000000" w:themeColor="text1"/>
          <w:kern w:val="2"/>
          <w:sz w:val="32"/>
          <w:szCs w:val="32"/>
          <w14:textFill>
            <w14:solidFill>
              <w14:schemeClr w14:val="tx1"/>
            </w14:solidFill>
          </w14:textFill>
        </w:rPr>
        <w:t>结合长征国家文化公园建设，唱响红色龙胜品牌。在深度挖掘多民族文化内涵、党的民族政策在龙胜成功实践对中国革命影响的基础上，创建红色旅游特色小镇，打造集“原生态民族文化展示+党的民族政策实践+国家级非物质文化遗产传承保护+民族风情体验”于一体的开放式红军践行民族政策研学基地，将其作为红军长征过龙胜县历史、民族政策实施以及龙胜各民族风情集中展现的窗口，成为中外游客了解龙胜灿烂的民族文化的第一站，打造“长征体验在龙胜”等品牌。</w:t>
      </w:r>
    </w:p>
    <w:p>
      <w:pPr>
        <w:spacing w:line="560" w:lineRule="exact"/>
        <w:ind w:firstLine="643" w:firstLineChars="200"/>
        <w:textAlignment w:val="baseline"/>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b/>
          <w:bCs/>
          <w:color w:val="000000" w:themeColor="text1"/>
          <w:sz w:val="32"/>
          <w:szCs w:val="32"/>
          <w14:textFill>
            <w14:solidFill>
              <w14:schemeClr w14:val="tx1"/>
            </w14:solidFill>
          </w14:textFill>
        </w:rPr>
        <w:t>三、推进全域旅游建设。</w:t>
      </w:r>
      <w:r>
        <w:rPr>
          <w:rFonts w:hint="eastAsia" w:ascii="Times New Roman" w:hAnsi="Times New Roman" w:eastAsia="仿宋_GB2312"/>
          <w:color w:val="000000" w:themeColor="text1"/>
          <w:sz w:val="32"/>
          <w:szCs w:val="32"/>
          <w14:textFill>
            <w14:solidFill>
              <w14:schemeClr w14:val="tx1"/>
            </w14:solidFill>
          </w14:textFill>
        </w:rPr>
        <w:t>以全域旅游大景区、有机产业大园区和生态旅游大环线为抓手，把“生态、旅游、健康”作为旅游行业工作的核心，以重大旅游项目为突破口，接续将旅游业作为战略性支柱产业、核心产业和品牌产业来发展，按照“全县大景区、全域大旅游”思路重点打造“一核两重四镇五区”。</w:t>
      </w:r>
      <w:r>
        <w:rPr>
          <w:rFonts w:hint="eastAsia" w:ascii="Times New Roman" w:hAnsi="Times New Roman" w:eastAsia="仿宋_GB2312"/>
          <w:b/>
          <w:color w:val="000000" w:themeColor="text1"/>
          <w:sz w:val="32"/>
          <w:szCs w:val="32"/>
          <w14:textFill>
            <w14:solidFill>
              <w14:schemeClr w14:val="tx1"/>
            </w14:solidFill>
          </w14:textFill>
        </w:rPr>
        <w:t>“一核”</w:t>
      </w:r>
      <w:r>
        <w:rPr>
          <w:rFonts w:hint="eastAsia" w:ascii="Times New Roman" w:hAnsi="Times New Roman" w:eastAsia="仿宋_GB2312"/>
          <w:color w:val="000000" w:themeColor="text1"/>
          <w:sz w:val="32"/>
          <w:szCs w:val="32"/>
          <w14:textFill>
            <w14:solidFill>
              <w14:schemeClr w14:val="tx1"/>
            </w14:solidFill>
          </w14:textFill>
        </w:rPr>
        <w:t>即以县城为核心，尽快把县城打造成4A级景区。重点建设红军在龙胜践行民族政策研学基地、特色街区、红色旅游小镇，把县城打造成桂湘黔名优特产集散地，策划大型民族演艺等；</w:t>
      </w:r>
      <w:r>
        <w:rPr>
          <w:rFonts w:hint="eastAsia" w:ascii="Times New Roman" w:hAnsi="Times New Roman" w:eastAsia="仿宋_GB2312"/>
          <w:b/>
          <w:color w:val="000000" w:themeColor="text1"/>
          <w:sz w:val="32"/>
          <w:szCs w:val="32"/>
          <w14:textFill>
            <w14:solidFill>
              <w14:schemeClr w14:val="tx1"/>
            </w14:solidFill>
          </w14:textFill>
        </w:rPr>
        <w:t>“两重”</w:t>
      </w:r>
      <w:r>
        <w:rPr>
          <w:rFonts w:hint="eastAsia" w:ascii="Times New Roman" w:hAnsi="Times New Roman" w:eastAsia="仿宋_GB2312"/>
          <w:color w:val="000000" w:themeColor="text1"/>
          <w:sz w:val="32"/>
          <w:szCs w:val="32"/>
          <w14:textFill>
            <w14:solidFill>
              <w14:schemeClr w14:val="tx1"/>
            </w14:solidFill>
          </w14:textFill>
        </w:rPr>
        <w:t>即以龙脊景区和南山景区为重点建设景区。龙脊景区以建设龙脊游客中心、多民族生态博物园、龙脊旅游小镇、龙胜民族文化园、中国长发科技馆为载体，规划和新建龙脊镇大寨村—小寨村—江柳村—黄江村—马海村—白石村—大柳村—摆岭村—三十六坡—龙胜镇上孟旅游小循环路，拓宽龙脊梯田范围。开发潘内梯田景区，策划多种体验性旅游项目，推进龙脊景区创国家5A景区进程，构建大龙脊景区格局。南山景区结合红军长征过龙胜以及独特的民族文化、高山草原等资源，打造多种体验项目；</w:t>
      </w:r>
      <w:r>
        <w:rPr>
          <w:rFonts w:hint="eastAsia" w:ascii="Times New Roman" w:hAnsi="Times New Roman" w:eastAsia="仿宋_GB2312"/>
          <w:b/>
          <w:color w:val="000000" w:themeColor="text1"/>
          <w:sz w:val="32"/>
          <w:szCs w:val="32"/>
          <w14:textFill>
            <w14:solidFill>
              <w14:schemeClr w14:val="tx1"/>
            </w14:solidFill>
          </w14:textFill>
        </w:rPr>
        <w:t>“四镇”</w:t>
      </w:r>
      <w:r>
        <w:rPr>
          <w:rFonts w:hint="eastAsia" w:ascii="Times New Roman" w:hAnsi="Times New Roman" w:eastAsia="仿宋_GB2312"/>
          <w:color w:val="000000" w:themeColor="text1"/>
          <w:sz w:val="32"/>
          <w:szCs w:val="32"/>
          <w14:textFill>
            <w14:solidFill>
              <w14:schemeClr w14:val="tx1"/>
            </w14:solidFill>
          </w14:textFill>
        </w:rPr>
        <w:t>即在生态旅游大环线上建设苗、瑶、侗、壮四个民族特色小镇，充分展示少数民族文化魅力；</w:t>
      </w:r>
      <w:r>
        <w:rPr>
          <w:rFonts w:hint="eastAsia" w:ascii="Times New Roman" w:hAnsi="Times New Roman" w:eastAsia="仿宋_GB2312"/>
          <w:b/>
          <w:color w:val="000000" w:themeColor="text1"/>
          <w:sz w:val="32"/>
          <w:szCs w:val="32"/>
          <w14:textFill>
            <w14:solidFill>
              <w14:schemeClr w14:val="tx1"/>
            </w14:solidFill>
          </w14:textFill>
        </w:rPr>
        <w:t>“五区”</w:t>
      </w:r>
      <w:r>
        <w:rPr>
          <w:rFonts w:hint="eastAsia" w:ascii="Times New Roman" w:hAnsi="Times New Roman" w:eastAsia="仿宋_GB2312"/>
          <w:color w:val="000000" w:themeColor="text1"/>
          <w:sz w:val="32"/>
          <w:szCs w:val="32"/>
          <w14:textFill>
            <w14:solidFill>
              <w14:schemeClr w14:val="tx1"/>
            </w14:solidFill>
          </w14:textFill>
        </w:rPr>
        <w:t>即提升和建设龙胜温泉、彭祖坪、西江坪、大坪塘、花坪等五个康养度假区，并在空间上合理布局、打造重点景区，从而辐射周边村寨，形成每个乡镇一个景区，每个片区一种特色产业，最终实现全县、全民、全产业的全域旅游，创建国家级全域旅游示范区。</w:t>
      </w:r>
    </w:p>
    <w:bookmarkEnd w:id="143"/>
    <w:bookmarkEnd w:id="144"/>
    <w:p>
      <w:pPr>
        <w:spacing w:line="560" w:lineRule="exact"/>
        <w:ind w:firstLine="643"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b/>
          <w:bCs/>
          <w:color w:val="000000" w:themeColor="text1"/>
          <w:sz w:val="32"/>
          <w:szCs w:val="32"/>
          <w14:textFill>
            <w14:solidFill>
              <w14:schemeClr w14:val="tx1"/>
            </w14:solidFill>
          </w14:textFill>
        </w:rPr>
        <w:t>四、实施景区提质工程。</w:t>
      </w:r>
      <w:r>
        <w:rPr>
          <w:rFonts w:hint="eastAsia" w:ascii="Times New Roman" w:hAnsi="Times New Roman" w:eastAsia="仿宋_GB2312"/>
          <w:color w:val="000000" w:themeColor="text1"/>
          <w:sz w:val="32"/>
          <w:szCs w:val="32"/>
          <w14:textFill>
            <w14:solidFill>
              <w14:schemeClr w14:val="tx1"/>
            </w14:solidFill>
          </w14:textFill>
        </w:rPr>
        <w:t>推进旅游精品景区，完善景区功能配套。引进国内外知名品牌企业，打造世界一流的旅游休闲度假“样板区”。探索开放式旅游新模式，建成世界一流的景区型城区，培育世界级文旅品牌。</w:t>
      </w:r>
    </w:p>
    <w:p>
      <w:pPr>
        <w:spacing w:line="560" w:lineRule="exact"/>
        <w:ind w:firstLine="643"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b/>
          <w:bCs/>
          <w:color w:val="000000" w:themeColor="text1"/>
          <w:sz w:val="32"/>
          <w:szCs w:val="32"/>
          <w14:textFill>
            <w14:solidFill>
              <w14:schemeClr w14:val="tx1"/>
            </w14:solidFill>
          </w14:textFill>
        </w:rPr>
        <w:t>五、实施文旅融合工程。</w:t>
      </w:r>
      <w:bookmarkStart w:id="146" w:name="_Hlk25674591"/>
      <w:r>
        <w:rPr>
          <w:rFonts w:hint="eastAsia" w:ascii="Times New Roman" w:hAnsi="Times New Roman" w:eastAsia="仿宋_GB2312"/>
          <w:color w:val="000000" w:themeColor="text1"/>
          <w:sz w:val="32"/>
          <w:szCs w:val="32"/>
          <w14:textFill>
            <w14:solidFill>
              <w14:schemeClr w14:val="tx1"/>
            </w14:solidFill>
          </w14:textFill>
        </w:rPr>
        <w:t>坚持以文促旅、以旅兴文，</w:t>
      </w:r>
      <w:bookmarkEnd w:id="146"/>
      <w:bookmarkStart w:id="147" w:name="_Hlk25674602"/>
      <w:r>
        <w:rPr>
          <w:rFonts w:hint="eastAsia" w:ascii="Times New Roman" w:hAnsi="Times New Roman" w:eastAsia="仿宋_GB2312"/>
          <w:color w:val="000000" w:themeColor="text1"/>
          <w:sz w:val="32"/>
          <w:szCs w:val="32"/>
          <w14:textFill>
            <w14:solidFill>
              <w14:schemeClr w14:val="tx1"/>
            </w14:solidFill>
          </w14:textFill>
        </w:rPr>
        <w:t>做精山水文化游、做大红色文化游、做强养生文化游、做亮夜间文化游。</w:t>
      </w:r>
      <w:bookmarkEnd w:id="147"/>
      <w:r>
        <w:rPr>
          <w:rFonts w:hint="eastAsia" w:ascii="Times New Roman" w:hAnsi="Times New Roman" w:eastAsia="仿宋_GB2312"/>
          <w:color w:val="000000" w:themeColor="text1"/>
          <w:sz w:val="32"/>
          <w:szCs w:val="32"/>
          <w14:textFill>
            <w14:solidFill>
              <w14:schemeClr w14:val="tx1"/>
            </w14:solidFill>
          </w14:textFill>
        </w:rPr>
        <w:t>推动文化旅游与生态观光、主题娱乐、农林体验、体育健身、健康养生、新型工业等有机融合，开发文化旅游演艺、健康体育旅游、红色旅游等旅游精品项目，引进和培育一批商旅文体联动示范项目。通过科技创新、文化创意，推动产品更新换代和旅游体验品质升级，形成一流的文化旅游新体验。</w:t>
      </w:r>
    </w:p>
    <w:p>
      <w:pPr>
        <w:spacing w:line="560" w:lineRule="exact"/>
        <w:ind w:firstLine="643"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b/>
          <w:bCs/>
          <w:color w:val="000000" w:themeColor="text1"/>
          <w:sz w:val="32"/>
          <w:szCs w:val="32"/>
          <w14:textFill>
            <w14:solidFill>
              <w14:schemeClr w14:val="tx1"/>
            </w14:solidFill>
          </w14:textFill>
        </w:rPr>
        <w:t>六、实施旅游品牌工程。</w:t>
      </w:r>
      <w:r>
        <w:rPr>
          <w:rFonts w:hint="eastAsia" w:ascii="Times New Roman" w:hAnsi="Times New Roman" w:eastAsia="仿宋_GB2312"/>
          <w:color w:val="000000" w:themeColor="text1"/>
          <w:sz w:val="32"/>
          <w:szCs w:val="32"/>
          <w14:textFill>
            <w14:solidFill>
              <w14:schemeClr w14:val="tx1"/>
            </w14:solidFill>
          </w14:textFill>
        </w:rPr>
        <w:t>统筹规划、高端策划和资源整合，优化旅游产品和产业结构，以“休闲乐土、度假天堂、养生福地”为旅游产业发展主题，推进观光旅游、度假旅游和以乡村旅游、红色旅游、康养旅游等为重点的旅游产品开发，全面提升龙胜县旅游竞争力，把旅游业发展成为龙胜县国民经济的重要支柱产业。实施旅游精品战略，做足“农耕、民族、红色、康养”四大品牌文章，着力推进文化与旅游、农业与旅游、生态与旅游的创意融合。依托有机农产品、鸡血玉等特色资源，打造一批高端旅游产品。构建旅游多元产品体系，推进旅游业集约化、规模化、品牌化、高端化发展。加大旅游品牌培育和营销力度，提升龙胜县旅游国际影响力和产品附加值。培育打造宜居龙胜、养生龙胜、龙胜有戏等魅力品牌。统一龙胜县旅游宣传口号，建立多部门、跨区域联动对外宣传推广机制，加强面向粤港澳大湾区、日韩、东盟、“一带一路”沿线国家的旅游产品设计与推介。</w:t>
      </w:r>
    </w:p>
    <w:p>
      <w:pPr>
        <w:spacing w:line="560" w:lineRule="exact"/>
        <w:ind w:firstLine="643"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b/>
          <w:bCs/>
          <w:color w:val="000000" w:themeColor="text1"/>
          <w:sz w:val="32"/>
          <w:szCs w:val="32"/>
          <w14:textFill>
            <w14:solidFill>
              <w14:schemeClr w14:val="tx1"/>
            </w14:solidFill>
          </w14:textFill>
        </w:rPr>
        <w:t>七、实施基础设施工程。</w:t>
      </w:r>
      <w:r>
        <w:rPr>
          <w:rFonts w:hint="eastAsia" w:ascii="Times New Roman" w:hAnsi="Times New Roman" w:eastAsia="仿宋_GB2312"/>
          <w:color w:val="000000" w:themeColor="text1"/>
          <w:sz w:val="32"/>
          <w:szCs w:val="32"/>
          <w14:textFill>
            <w14:solidFill>
              <w14:schemeClr w14:val="tx1"/>
            </w14:solidFill>
          </w14:textFill>
        </w:rPr>
        <w:t>提高旅游通达水平，完善出省联市公路网，建设环龙胜旅游公路网和旅游交通枢纽，全面打通旅游景区、乡村旅游区交通基础设施“最后一公里”。高标准完善旅游集散中心、咨询服务中心、驿站、应急医疗救助点、房车营地、汽车旅馆、红色文化旅游沿线的步道维修等配套设施，规范并实现多语种旅游标识标牌全覆盖，建设无语言障碍国际化旅游县。推进高端旅游度假酒店群建设，发展多业态精品酒店，打造精品民宿集聚区。建设旅游大数据中心，打造一流的智慧旅游名县。</w:t>
      </w:r>
    </w:p>
    <w:p>
      <w:pPr>
        <w:spacing w:line="560" w:lineRule="exact"/>
        <w:ind w:firstLine="643"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b/>
          <w:bCs/>
          <w:color w:val="000000" w:themeColor="text1"/>
          <w:sz w:val="32"/>
          <w:szCs w:val="32"/>
          <w14:textFill>
            <w14:solidFill>
              <w14:schemeClr w14:val="tx1"/>
            </w14:solidFill>
          </w14:textFill>
        </w:rPr>
        <w:t>八、实施旅游消费工程。</w:t>
      </w:r>
      <w:r>
        <w:rPr>
          <w:rFonts w:hint="eastAsia" w:ascii="Times New Roman" w:hAnsi="Times New Roman" w:eastAsia="仿宋_GB2312"/>
          <w:color w:val="000000" w:themeColor="text1"/>
          <w:sz w:val="32"/>
          <w:szCs w:val="32"/>
          <w14:textFill>
            <w14:solidFill>
              <w14:schemeClr w14:val="tx1"/>
            </w14:solidFill>
          </w14:textFill>
        </w:rPr>
        <w:t>布局建设具有较强影响力的新型消费商圈、智慧商圈；加快建设康养旅游示范基地，加大养生养老、健康管理、疗养度假、康复护理、智慧医疗等高品质健康旅游消费服务供给。壮大餐饮消费市场，打造油茶、腊味、全鱼宴等地方特色美食品牌，拉动龙胜夜间消费，形成龙胜夜间商圈和生活圈，提升龙胜特色餐饮消费档次和水平；形成亲子消费、信息消费、绿色消费等新兴消费观，促进旅游消费提档升级。</w:t>
      </w:r>
    </w:p>
    <w:p>
      <w:pPr>
        <w:spacing w:line="560" w:lineRule="exact"/>
        <w:ind w:firstLine="643" w:firstLineChars="200"/>
        <w:rPr>
          <w:rFonts w:ascii="Times New Roman" w:hAnsi="Times New Roman" w:eastAsia="仿宋_GB2312"/>
          <w:color w:val="000000" w:themeColor="text1"/>
          <w:sz w:val="32"/>
          <w:szCs w:val="32"/>
          <w14:textFill>
            <w14:solidFill>
              <w14:schemeClr w14:val="tx1"/>
            </w14:solidFill>
          </w14:textFill>
        </w:rPr>
      </w:pPr>
      <w:bookmarkStart w:id="148" w:name="_Toc6467"/>
      <w:bookmarkStart w:id="149" w:name="_Toc13852"/>
      <w:bookmarkStart w:id="150" w:name="_Toc27581"/>
      <w:bookmarkStart w:id="151" w:name="_Toc31094"/>
      <w:r>
        <w:rPr>
          <w:rFonts w:hint="eastAsia" w:ascii="Times New Roman" w:hAnsi="Times New Roman" w:eastAsia="仿宋_GB2312"/>
          <w:b/>
          <w:bCs/>
          <w:color w:val="000000" w:themeColor="text1"/>
          <w:sz w:val="32"/>
          <w:szCs w:val="32"/>
          <w14:textFill>
            <w14:solidFill>
              <w14:schemeClr w14:val="tx1"/>
            </w14:solidFill>
          </w14:textFill>
        </w:rPr>
        <w:t>九、实施旅游服务工程。</w:t>
      </w:r>
      <w:r>
        <w:rPr>
          <w:rFonts w:hint="eastAsia" w:ascii="Times New Roman" w:hAnsi="Times New Roman" w:eastAsia="仿宋_GB2312"/>
          <w:color w:val="000000" w:themeColor="text1"/>
          <w:sz w:val="32"/>
          <w:szCs w:val="32"/>
          <w14:textFill>
            <w14:solidFill>
              <w14:schemeClr w14:val="tx1"/>
            </w14:solidFill>
          </w14:textFill>
        </w:rPr>
        <w:t>以游客满意度为基准，以人性化服务为方向，全面提升旅游从业人员服务意识和服务水平。引导旅游企业向品牌化、专业化方向转变和服务创新；促进旅游环境卫生、旅游安全、节能环保等向标准化看齐。以旅游信息化服务为基点创建智慧旅游，开展旅游在线服务、网络营销、网络预订和网上支付等，全面提升旅游企业、旅游景区和全县民族资源的旅游信息化服务水平；建立游客评价为主的评价机制，落实旅游价格公示政策和优惠政策，完善自驾车旅游服务体系，建立健全旅游信息服务平台，加大旅游公益宣传力度。</w:t>
      </w:r>
    </w:p>
    <w:p>
      <w:pPr>
        <w:spacing w:line="560" w:lineRule="exact"/>
        <w:ind w:firstLine="420" w:firstLineChars="200"/>
        <w:rPr>
          <w:rFonts w:ascii="Times New Roman" w:hAnsi="Times New Roman" w:eastAsia="黑体"/>
          <w:color w:val="000000" w:themeColor="text1"/>
          <w14:textFill>
            <w14:solidFill>
              <w14:schemeClr w14:val="tx1"/>
            </w14:solidFill>
          </w14:textFill>
        </w:rPr>
      </w:pPr>
      <w:bookmarkStart w:id="152" w:name="_Toc23235"/>
      <w:bookmarkStart w:id="153" w:name="_Toc61110790"/>
    </w:p>
    <w:p>
      <w:pPr>
        <w:pStyle w:val="5"/>
        <w:keepNext w:val="0"/>
        <w:keepLines w:val="0"/>
        <w:spacing w:before="0" w:after="0" w:line="560" w:lineRule="exact"/>
        <w:jc w:val="center"/>
        <w:rPr>
          <w:rFonts w:ascii="Times New Roman" w:hAnsi="Times New Roman" w:eastAsia="黑体"/>
          <w:b w:val="0"/>
          <w:color w:val="000000" w:themeColor="text1"/>
          <w14:textFill>
            <w14:solidFill>
              <w14:schemeClr w14:val="tx1"/>
            </w14:solidFill>
          </w14:textFill>
        </w:rPr>
      </w:pPr>
      <w:bookmarkStart w:id="154" w:name="_Toc8052"/>
      <w:r>
        <w:rPr>
          <w:rFonts w:hint="eastAsia" w:ascii="Times New Roman" w:hAnsi="Times New Roman" w:eastAsia="黑体"/>
          <w:b w:val="0"/>
          <w:color w:val="000000" w:themeColor="text1"/>
          <w14:textFill>
            <w14:solidFill>
              <w14:schemeClr w14:val="tx1"/>
            </w14:solidFill>
          </w14:textFill>
        </w:rPr>
        <w:t>第二节  促进文化事业发展</w:t>
      </w:r>
      <w:bookmarkEnd w:id="152"/>
      <w:bookmarkEnd w:id="153"/>
      <w:bookmarkEnd w:id="154"/>
    </w:p>
    <w:p>
      <w:pPr>
        <w:spacing w:line="560" w:lineRule="exact"/>
        <w:ind w:firstLine="640" w:firstLineChars="200"/>
        <w:rPr>
          <w:rFonts w:ascii="Times New Roman" w:hAnsi="Times New Roman" w:eastAsia="楷体_GB2312"/>
          <w:bCs/>
          <w:color w:val="000000" w:themeColor="text1"/>
          <w:sz w:val="32"/>
          <w:szCs w:val="32"/>
          <w14:textFill>
            <w14:solidFill>
              <w14:schemeClr w14:val="tx1"/>
            </w14:solidFill>
          </w14:textFill>
        </w:rPr>
      </w:pPr>
    </w:p>
    <w:p>
      <w:pPr>
        <w:spacing w:line="560" w:lineRule="exact"/>
        <w:ind w:firstLine="643"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b/>
          <w:bCs/>
          <w:color w:val="000000" w:themeColor="text1"/>
          <w:sz w:val="32"/>
          <w:szCs w:val="32"/>
          <w14:textFill>
            <w14:solidFill>
              <w14:schemeClr w14:val="tx1"/>
            </w14:solidFill>
          </w14:textFill>
        </w:rPr>
        <w:t>一、加强文化阵地建设。</w:t>
      </w:r>
      <w:r>
        <w:rPr>
          <w:rFonts w:hint="eastAsia" w:ascii="Times New Roman" w:hAnsi="Times New Roman" w:eastAsia="仿宋_GB2312"/>
          <w:color w:val="000000" w:themeColor="text1"/>
          <w:sz w:val="32"/>
          <w:szCs w:val="32"/>
          <w14:textFill>
            <w14:solidFill>
              <w14:schemeClr w14:val="tx1"/>
            </w14:solidFill>
          </w14:textFill>
        </w:rPr>
        <w:t>建设标准的文化馆、图书馆、博物馆、影剧院“三馆一院”；建设多民族生态博物馆，活态传承苗、瑶、侗、壮、汉各民族的服饰、饮食、习俗、语言等项目，加强非物质文化遗产保护；推进文化惠民工程，全县119个行政村100户以上的自然屯有村级公共服务中心点，并配备一定演出相关器材等。</w:t>
      </w:r>
    </w:p>
    <w:p>
      <w:pPr>
        <w:spacing w:line="560" w:lineRule="exact"/>
        <w:ind w:firstLine="643"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b/>
          <w:bCs/>
          <w:color w:val="000000" w:themeColor="text1"/>
          <w:sz w:val="32"/>
          <w:szCs w:val="32"/>
          <w14:textFill>
            <w14:solidFill>
              <w14:schemeClr w14:val="tx1"/>
            </w14:solidFill>
          </w14:textFill>
        </w:rPr>
        <w:t>二、加强民族文化创新。</w:t>
      </w:r>
      <w:r>
        <w:rPr>
          <w:rFonts w:hint="eastAsia" w:ascii="Times New Roman" w:hAnsi="Times New Roman" w:eastAsia="仿宋_GB2312"/>
          <w:color w:val="000000" w:themeColor="text1"/>
          <w:sz w:val="32"/>
          <w:szCs w:val="32"/>
          <w14:textFill>
            <w14:solidFill>
              <w14:schemeClr w14:val="tx1"/>
            </w14:solidFill>
          </w14:textFill>
        </w:rPr>
        <w:t>促进文化交流。利用龙脊农耕文化的知名度，探索对外文化交流的方式，形成具有民族特色的文化交流品牌，推进文化创新。构建文化创新理论研究体系，对体制机制、人才发展、服务方式、科学管理、政策法规各方面进行研究，以理论创新推进文化创新和文化事业的发展。实施精品战略，提升原创能力，推进内容创新，深度开发地域文化、民族文化资源，形成和创作一批有长久艺术生命力和广泛市场影响力的艺术精品，重点扶持一批大型剧目的创作产品，形成龙胜品牌。</w:t>
      </w:r>
    </w:p>
    <w:p>
      <w:pPr>
        <w:spacing w:line="560" w:lineRule="exact"/>
        <w:ind w:firstLine="643"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b/>
          <w:bCs/>
          <w:color w:val="000000" w:themeColor="text1"/>
          <w:sz w:val="32"/>
          <w:szCs w:val="32"/>
          <w14:textFill>
            <w14:solidFill>
              <w14:schemeClr w14:val="tx1"/>
            </w14:solidFill>
          </w14:textFill>
        </w:rPr>
        <w:t>三、丰富民族文化内涵。</w:t>
      </w:r>
      <w:r>
        <w:rPr>
          <w:rFonts w:hint="eastAsia" w:ascii="Times New Roman" w:hAnsi="Times New Roman" w:eastAsia="仿宋_GB2312"/>
          <w:color w:val="000000" w:themeColor="text1"/>
          <w:sz w:val="32"/>
          <w:szCs w:val="32"/>
          <w14:textFill>
            <w14:solidFill>
              <w14:schemeClr w14:val="tx1"/>
            </w14:solidFill>
          </w14:textFill>
        </w:rPr>
        <w:t>挖掘苗、瑶、侗、壮、汉民族特色，整合民族文化资源，举办龙胜县传统的系列少数民族节庆活动，提升传统民间节庆水平；挖掘民间文化内涵，进一步打造龙胜“百节之县”旅游名片，丰富旅游产品内容，提升旅游品位，吸引更多游客。策划龙胜县城、龙脊镇两处常态化大型民族演出项目；拓展旅游宣传促销途径，承办各类全国乃至世界性的大型活动，探索文化旅游发展新途径，提高旅游商品的文化创意水平，提升民族文化软实力。</w:t>
      </w:r>
    </w:p>
    <w:p>
      <w:pPr>
        <w:spacing w:line="560" w:lineRule="exact"/>
        <w:ind w:firstLine="643"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b/>
          <w:bCs/>
          <w:color w:val="000000" w:themeColor="text1"/>
          <w:sz w:val="32"/>
          <w:szCs w:val="32"/>
          <w14:textFill>
            <w14:solidFill>
              <w14:schemeClr w14:val="tx1"/>
            </w14:solidFill>
          </w14:textFill>
        </w:rPr>
        <w:t>四、加强文物和非物质文化遗产保护。</w:t>
      </w:r>
      <w:r>
        <w:rPr>
          <w:rFonts w:hint="eastAsia" w:ascii="Times New Roman" w:hAnsi="Times New Roman" w:eastAsia="仿宋_GB2312"/>
          <w:color w:val="000000" w:themeColor="text1"/>
          <w:sz w:val="32"/>
          <w:szCs w:val="32"/>
          <w14:textFill>
            <w14:solidFill>
              <w14:schemeClr w14:val="tx1"/>
            </w14:solidFill>
          </w14:textFill>
        </w:rPr>
        <w:t>贯彻实施《龙胜各族自治县民族民间传统文化保护条例》，建立苗、瑶、侗、壮、汉等多民族生态文化保护区，力争申报国家级或广西级文物保护单位；完善非物质文化遗产代表性项目、传承人和传承基地“三位一体”保护体系。挖掘、整理县域内“非遗”项目，建立完善的非物质文化遗产档案资料数据库。组建专家队伍对国家、广西级传统村落、特色文化村落进行规划和原生态保护，推进民族村落文化的保护工作，加强成果运用与文旅融合工程相结合，形成民族传统村落新体验。改善文物保护环境条件，注重文物保护和文物开发利用平衡发展，加大文物保护和收藏的力度，抢救正在流失或消亡的文物。</w:t>
      </w:r>
    </w:p>
    <w:p>
      <w:pPr>
        <w:pStyle w:val="2"/>
        <w:rPr>
          <w:rFonts w:ascii="Times New Roman" w:hAnsi="Times New Roman" w:eastAsia="仿宋_GB2312"/>
          <w:color w:val="000000" w:themeColor="text1"/>
          <w:sz w:val="32"/>
          <w:szCs w:val="32"/>
          <w14:textFill>
            <w14:solidFill>
              <w14:schemeClr w14:val="tx1"/>
            </w14:solidFill>
          </w14:textFill>
        </w:rPr>
      </w:pPr>
    </w:p>
    <w:p>
      <w:pPr>
        <w:rPr>
          <w:rFonts w:ascii="Times New Roman" w:hAnsi="Times New Roman"/>
        </w:rPr>
      </w:pPr>
    </w:p>
    <w:p>
      <w:pPr>
        <w:spacing w:line="560" w:lineRule="exact"/>
        <w:ind w:firstLine="420" w:firstLineChars="200"/>
        <w:rPr>
          <w:rFonts w:ascii="Times New Roman" w:hAnsi="Times New Roman" w:eastAsia="黑体"/>
          <w:color w:val="000000" w:themeColor="text1"/>
          <w14:textFill>
            <w14:solidFill>
              <w14:schemeClr w14:val="tx1"/>
            </w14:solidFill>
          </w14:textFill>
        </w:rPr>
      </w:pPr>
      <w:bookmarkStart w:id="155" w:name="_Toc61110791"/>
      <w:bookmarkStart w:id="156" w:name="_Toc25122"/>
    </w:p>
    <w:p>
      <w:pPr>
        <w:pStyle w:val="5"/>
        <w:keepNext w:val="0"/>
        <w:keepLines w:val="0"/>
        <w:spacing w:before="0" w:after="0" w:line="560" w:lineRule="exact"/>
        <w:jc w:val="center"/>
        <w:rPr>
          <w:rFonts w:ascii="Times New Roman" w:hAnsi="Times New Roman" w:eastAsia="黑体"/>
          <w:b w:val="0"/>
          <w:color w:val="000000" w:themeColor="text1"/>
          <w14:textFill>
            <w14:solidFill>
              <w14:schemeClr w14:val="tx1"/>
            </w14:solidFill>
          </w14:textFill>
        </w:rPr>
      </w:pPr>
      <w:bookmarkStart w:id="157" w:name="_Toc32109"/>
      <w:r>
        <w:rPr>
          <w:rFonts w:hint="eastAsia" w:ascii="Times New Roman" w:hAnsi="Times New Roman" w:eastAsia="黑体"/>
          <w:b w:val="0"/>
          <w:color w:val="000000" w:themeColor="text1"/>
          <w14:textFill>
            <w14:solidFill>
              <w14:schemeClr w14:val="tx1"/>
            </w14:solidFill>
          </w14:textFill>
        </w:rPr>
        <w:t>第三节  加快广电体育事业发展</w:t>
      </w:r>
      <w:bookmarkEnd w:id="155"/>
      <w:bookmarkEnd w:id="156"/>
      <w:bookmarkEnd w:id="157"/>
    </w:p>
    <w:p>
      <w:pPr>
        <w:spacing w:line="560" w:lineRule="exact"/>
        <w:ind w:firstLine="640" w:firstLineChars="200"/>
        <w:textAlignment w:val="baseline"/>
        <w:rPr>
          <w:rFonts w:ascii="Times New Roman" w:hAnsi="Times New Roman" w:eastAsia="楷体_GB2312"/>
          <w:bCs/>
          <w:color w:val="000000" w:themeColor="text1"/>
          <w:sz w:val="32"/>
          <w:szCs w:val="32"/>
          <w14:textFill>
            <w14:solidFill>
              <w14:schemeClr w14:val="tx1"/>
            </w14:solidFill>
          </w14:textFill>
        </w:rPr>
      </w:pPr>
    </w:p>
    <w:p>
      <w:pPr>
        <w:spacing w:line="560" w:lineRule="exact"/>
        <w:ind w:firstLine="643" w:firstLineChars="200"/>
        <w:textAlignment w:val="baseline"/>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b/>
          <w:bCs/>
          <w:color w:val="000000" w:themeColor="text1"/>
          <w:sz w:val="32"/>
          <w:szCs w:val="32"/>
          <w14:textFill>
            <w14:solidFill>
              <w14:schemeClr w14:val="tx1"/>
            </w14:solidFill>
          </w14:textFill>
        </w:rPr>
        <w:t>一、建设智慧广电业态。</w:t>
      </w:r>
      <w:r>
        <w:rPr>
          <w:rFonts w:hint="eastAsia" w:ascii="Times New Roman" w:hAnsi="Times New Roman" w:eastAsia="仿宋_GB2312"/>
          <w:color w:val="000000" w:themeColor="text1"/>
          <w:sz w:val="32"/>
          <w:szCs w:val="32"/>
          <w14:textFill>
            <w14:solidFill>
              <w14:schemeClr w14:val="tx1"/>
            </w14:solidFill>
          </w14:textFill>
        </w:rPr>
        <w:t>推进“壮美广西·智慧广电”数字广西“广电云”村村通户户用工程建设，推动广电网络向光纤化、IP化和智能化发展，创新智慧广电新业务、新业态，提升广播电视服务质量与水平，按照公益性、标准化、均等化的要求，壮大宣传思想主流舆论阵地，为人民群众提供更加丰富、更加优质、更加便捷的广播电视信息和农村新型公共文化服务，带动关联和新型产业发展，助力巩固拓展脱贫攻坚成果和乡村振兴。建设行政村光缆线及20户以上自然屯的光缆支干线，完善广西数字网络图书馆建设和数字化升级；建设县、乡、村联网的应急广播体系，在偏远的群众聚居片区建设无线发射台站；完成农村有线电视网络双向化改造，拓展综合信息服务和智能化应用等新业态；建设乡镇广播电视综合服务站。</w:t>
      </w:r>
    </w:p>
    <w:p>
      <w:pPr>
        <w:spacing w:line="560" w:lineRule="exact"/>
        <w:ind w:firstLine="643"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b/>
          <w:bCs/>
          <w:color w:val="000000" w:themeColor="text1"/>
          <w:sz w:val="32"/>
          <w:szCs w:val="32"/>
          <w14:textFill>
            <w14:solidFill>
              <w14:schemeClr w14:val="tx1"/>
            </w14:solidFill>
          </w14:textFill>
        </w:rPr>
        <w:t>二、发展特色体育文化。</w:t>
      </w:r>
      <w:r>
        <w:rPr>
          <w:rFonts w:hint="eastAsia" w:ascii="Times New Roman" w:hAnsi="Times New Roman" w:eastAsia="仿宋_GB2312"/>
          <w:color w:val="000000" w:themeColor="text1"/>
          <w:sz w:val="32"/>
          <w:szCs w:val="32"/>
          <w14:textFill>
            <w14:solidFill>
              <w14:schemeClr w14:val="tx1"/>
            </w14:solidFill>
          </w14:textFill>
        </w:rPr>
        <w:t>推动群众体育活动开展，提高全民健身意识，健全群众体育组织网络和服务体系，建设体育锻炼的场地设施，夯实群众体育基础，指导群众经常性体育活动，提高全县人民健康水平。完善全县体育社团管理，规范和加强对基层体育社团组织的管理，形成群众自我组织、自我活动、自我管理和自我监督的机制。发展特色群众体育竞技文化旅游品牌，接续开展“龙脊跑山赛”等活动，把适合龙胜地理特色的体育赛事，办成具有国际影响力的品牌；结合红军长征过龙胜，开展“重走长征路跑山赛”活动，策划具有思想性、竞技性、国际化的体育赛事；策划开展“环南山云中草原”国际自行车竞技等赛事活动。</w:t>
      </w:r>
    </w:p>
    <w:p>
      <w:pP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p>
    <w:p>
      <w:pPr>
        <w:spacing w:line="560" w:lineRule="exact"/>
        <w:jc w:val="center"/>
        <w:rPr>
          <w:rFonts w:ascii="Times New Roman" w:hAnsi="Times New Roman"/>
          <w:color w:val="000000" w:themeColor="text1"/>
          <w:sz w:val="32"/>
          <w:szCs w:val="32"/>
          <w14:textFill>
            <w14:solidFill>
              <w14:schemeClr w14:val="tx1"/>
            </w14:solidFill>
          </w14:textFill>
        </w:rPr>
      </w:pPr>
      <w:r>
        <w:rPr>
          <w:rFonts w:hint="eastAsia" w:ascii="Times New Roman" w:hAnsi="Times New Roman" w:eastAsia="仿宋"/>
          <w:b/>
          <w:color w:val="000000" w:themeColor="text1"/>
          <w:sz w:val="32"/>
          <w:szCs w:val="32"/>
          <w14:textFill>
            <w14:solidFill>
              <w14:schemeClr w14:val="tx1"/>
            </w14:solidFill>
          </w14:textFill>
        </w:rPr>
        <w:t>专栏</w:t>
      </w:r>
      <w:r>
        <w:rPr>
          <w:rFonts w:ascii="Times New Roman" w:hAnsi="Times New Roman" w:eastAsia="仿宋"/>
          <w:b/>
          <w:color w:val="000000" w:themeColor="text1"/>
          <w:sz w:val="32"/>
          <w:szCs w:val="32"/>
          <w14:textFill>
            <w14:solidFill>
              <w14:schemeClr w14:val="tx1"/>
            </w14:solidFill>
          </w14:textFill>
        </w:rPr>
        <w:t>4</w:t>
      </w:r>
      <w:r>
        <w:rPr>
          <w:rFonts w:hint="eastAsia" w:ascii="Times New Roman" w:hAnsi="Times New Roman" w:eastAsia="仿宋"/>
          <w:b/>
          <w:color w:val="000000" w:themeColor="text1"/>
          <w:sz w:val="32"/>
          <w:szCs w:val="32"/>
          <w14:textFill>
            <w14:solidFill>
              <w14:schemeClr w14:val="tx1"/>
            </w14:solidFill>
          </w14:textFill>
        </w:rPr>
        <w:t xml:space="preserve">   旅游文化业重点项目</w:t>
      </w:r>
    </w:p>
    <w:p>
      <w:pP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color w:val="000000" w:themeColor="text1"/>
          <w:sz w:val="32"/>
          <w:szCs w:val="32"/>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80645</wp:posOffset>
                </wp:positionH>
                <wp:positionV relativeFrom="paragraph">
                  <wp:posOffset>116840</wp:posOffset>
                </wp:positionV>
                <wp:extent cx="5561965" cy="6050915"/>
                <wp:effectExtent l="4445" t="4445" r="15240" b="21590"/>
                <wp:wrapSquare wrapText="bothSides"/>
                <wp:docPr id="6" name="文本框 6"/>
                <wp:cNvGraphicFramePr/>
                <a:graphic xmlns:a="http://schemas.openxmlformats.org/drawingml/2006/main">
                  <a:graphicData uri="http://schemas.microsoft.com/office/word/2010/wordprocessingShape">
                    <wps:wsp>
                      <wps:cNvSpPr txBox="1"/>
                      <wps:spPr>
                        <a:xfrm>
                          <a:off x="0" y="0"/>
                          <a:ext cx="5561965" cy="605091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6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
                                <w:sz w:val="24"/>
                              </w:rPr>
                              <w:t>1.生态休闲度假游项目：</w:t>
                            </w:r>
                            <w:r>
                              <w:rPr>
                                <w:rFonts w:hint="eastAsia" w:ascii="仿宋" w:hAnsi="仿宋" w:eastAsia="仿宋" w:cs="仿宋"/>
                                <w:bCs/>
                                <w:sz w:val="24"/>
                              </w:rPr>
                              <w:t>龙胜县龙脊国家公园建设项目、龙胜温泉提质改造项目、龙胜县龙脊梯田景区创建国家5A级景区提档升级建设项目、龙胜县伟江河旅游开发项目（一）（二）（三）期、龙胜县南山云中草原旅游项目（含旅游基础设施建设项目）、龙</w:t>
                            </w:r>
                            <w:r>
                              <w:rPr>
                                <w:rFonts w:hint="eastAsia" w:ascii="仿宋" w:hAnsi="仿宋" w:eastAsia="仿宋" w:cs="仿宋"/>
                                <w:bCs/>
                                <w:color w:val="000000" w:themeColor="text1"/>
                                <w:sz w:val="24"/>
                                <w14:textFill>
                                  <w14:solidFill>
                                    <w14:schemeClr w14:val="tx1"/>
                                  </w14:solidFill>
                                </w14:textFill>
                              </w:rPr>
                              <w:t>胜县温泉国家森林公园、龙胜县温泉景区段浔江绿道建设、龙胜县伟江“一路梨花上南山”乡村旅游示范带建设项目、龙胜县温泉大峡谷国家级旅游度假区暨创5A级景区建设项目、龙胜县白石红山森林康养谷、龙胜县乐江镇生态旅游开发项目、龙胜泗水乡五星级乡村旅游区、马堤乡张家塘生态旅游示范区。</w:t>
                            </w:r>
                          </w:p>
                          <w:p>
                            <w:pPr>
                              <w:spacing w:line="36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2.民族文化体育旅游项目</w:t>
                            </w:r>
                            <w:r>
                              <w:rPr>
                                <w:rFonts w:hint="eastAsia" w:ascii="仿宋" w:hAnsi="仿宋" w:eastAsia="仿宋" w:cs="仿宋"/>
                                <w:bCs/>
                                <w:color w:val="000000" w:themeColor="text1"/>
                                <w:sz w:val="24"/>
                                <w14:textFill>
                                  <w14:solidFill>
                                    <w14:schemeClr w14:val="tx1"/>
                                  </w14:solidFill>
                                </w14:textFill>
                              </w:rPr>
                              <w:t>：龙胜县文化馆、图书馆、博物馆和影剧院建设项目，龙胜县泗水乡集镇特色旅游小镇建设、龙胜县多民族生态博物园建设项目、龙胜县民族文化园、龙胜县风情苗寨民俗文化旅游建设项目、龙胜县江底乡盘瑶文化休闲度假区建设项目、龙胜县泗水乡潘内村梯田景区建设、龙胜镇金结村洪门梯田生态旅游建设项目。</w:t>
                            </w:r>
                          </w:p>
                          <w:p>
                            <w:pPr>
                              <w:spacing w:line="36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3.红色文化旅游项目</w:t>
                            </w:r>
                            <w:r>
                              <w:rPr>
                                <w:rFonts w:hint="eastAsia" w:ascii="仿宋" w:hAnsi="仿宋" w:eastAsia="仿宋" w:cs="仿宋"/>
                                <w:bCs/>
                                <w:color w:val="000000" w:themeColor="text1"/>
                                <w:sz w:val="24"/>
                                <w14:textFill>
                                  <w14:solidFill>
                                    <w14:schemeClr w14:val="tx1"/>
                                  </w14:solidFill>
                                </w14:textFill>
                              </w:rPr>
                              <w:t>：红军在龙胜践行党的民族政策研学基地、龙胜县红色旅游文化基地建设、龙胜县中央纵队长征文化园项目、龙胜县红色文化保护开发利用项目、龙胜平等龙坪红色旅游提升建设项目、龙胜伟江乡“红色足迹在苗乡”红色旅游精品带打造建设项目、龙胜县马堤乡万人界红色旅游提升项目、乐江镇江口村河口阻击战红色旅游文化项目。</w:t>
                            </w:r>
                          </w:p>
                          <w:p>
                            <w:pPr>
                              <w:pStyle w:val="31"/>
                              <w:spacing w:line="360" w:lineRule="auto"/>
                              <w:jc w:val="both"/>
                              <w:rPr>
                                <w:rFonts w:ascii="仿宋" w:hAnsi="仿宋" w:eastAsia="仿宋" w:cs="仿宋"/>
                                <w:bCs/>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4.产业融合特色项目</w:t>
                            </w:r>
                            <w:r>
                              <w:rPr>
                                <w:rFonts w:hint="eastAsia" w:ascii="仿宋" w:hAnsi="仿宋" w:eastAsia="仿宋" w:cs="仿宋"/>
                                <w:bCs/>
                                <w:color w:val="000000" w:themeColor="text1"/>
                                <w14:textFill>
                                  <w14:solidFill>
                                    <w14:schemeClr w14:val="tx1"/>
                                  </w14:solidFill>
                                </w14:textFill>
                              </w:rPr>
                              <w:t>：有机农产品、鸡血玉等高端旅游产品加工项目、</w:t>
                            </w:r>
                            <w:r>
                              <w:rPr>
                                <w:rFonts w:hint="eastAsia" w:ascii="仿宋" w:hAnsi="仿宋" w:eastAsia="仿宋" w:cs="仿宋"/>
                                <w:color w:val="000000" w:themeColor="text1"/>
                                <w14:textFill>
                                  <w14:solidFill>
                                    <w14:schemeClr w14:val="tx1"/>
                                  </w14:solidFill>
                                </w14:textFill>
                              </w:rPr>
                              <w:t>中国长发博物馆康寿民族文化园项目</w:t>
                            </w:r>
                            <w:r>
                              <w:rPr>
                                <w:rFonts w:hint="eastAsia" w:ascii="仿宋" w:hAnsi="仿宋" w:eastAsia="仿宋" w:cs="仿宋"/>
                                <w:bCs/>
                                <w:color w:val="000000" w:themeColor="text1"/>
                                <w14:textFill>
                                  <w14:solidFill>
                                    <w14:schemeClr w14:val="tx1"/>
                                  </w14:solidFill>
                                </w14:textFill>
                              </w:rPr>
                              <w:t>。</w:t>
                            </w:r>
                          </w:p>
                          <w:p>
                            <w:pPr>
                              <w:pStyle w:val="31"/>
                              <w:spacing w:line="360" w:lineRule="auto"/>
                              <w:jc w:val="both"/>
                              <w:rPr>
                                <w:rFonts w:eastAsia="仿宋"/>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5.智慧旅游项目：</w:t>
                            </w:r>
                            <w:r>
                              <w:rPr>
                                <w:rFonts w:hint="eastAsia" w:ascii="仿宋" w:hAnsi="仿宋" w:eastAsia="仿宋" w:cs="仿宋"/>
                                <w:bCs/>
                                <w:color w:val="000000" w:themeColor="text1"/>
                                <w14:textFill>
                                  <w14:solidFill>
                                    <w14:schemeClr w14:val="tx1"/>
                                  </w14:solidFill>
                                </w14:textFill>
                              </w:rPr>
                              <w:t>龙脊景区智慧旅游项目，温泉景区智慧旅游项目。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35pt;margin-top:9.2pt;height:476.45pt;width:437.95pt;mso-wrap-distance-bottom:0pt;mso-wrap-distance-left:9pt;mso-wrap-distance-right:9pt;mso-wrap-distance-top:0pt;z-index:251659264;mso-width-relative:page;mso-height-relative:page;" filled="f" stroked="t" coordsize="21600,21600" o:gfxdata="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HoMpB3aAAAACQEA&#10;AA8AAAAAAAAAAQAgAAAAIgAAAGRycy9kb3ducmV2LnhtbFBLAQIUABQAAAAIAIdO4kAG4r4TUQIA&#10;AI8EAAAOAAAAAAAAAAEAIAAAACkBAABkcnMvZTJvRG9jLnhtbFBLBQYAAAAABgAGAFkBAADsBQAA&#10;AAA=&#10;">
                <v:fill on="f" focussize="0,0"/>
                <v:stroke weight="0.5pt" color="#000000 [3204]" joinstyle="round"/>
                <v:imagedata o:title=""/>
                <o:lock v:ext="edit" aspectratio="f"/>
                <v:textbox>
                  <w:txbxContent>
                    <w:p>
                      <w:pPr>
                        <w:spacing w:line="36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
                          <w:sz w:val="24"/>
                        </w:rPr>
                        <w:t>1.生态休闲度假游项目：</w:t>
                      </w:r>
                      <w:r>
                        <w:rPr>
                          <w:rFonts w:hint="eastAsia" w:ascii="仿宋" w:hAnsi="仿宋" w:eastAsia="仿宋" w:cs="仿宋"/>
                          <w:bCs/>
                          <w:sz w:val="24"/>
                        </w:rPr>
                        <w:t>龙胜县龙脊国家公园建设项目、龙胜温泉提质改造项目、龙胜县龙脊梯田景区创建国家5A级景区提档升级建设项目、龙胜县伟江河旅游开发项目（一）（二）（三）期、龙胜县南山云中草原旅游项目（含旅游基础设施建设项目）、龙</w:t>
                      </w:r>
                      <w:r>
                        <w:rPr>
                          <w:rFonts w:hint="eastAsia" w:ascii="仿宋" w:hAnsi="仿宋" w:eastAsia="仿宋" w:cs="仿宋"/>
                          <w:bCs/>
                          <w:color w:val="000000" w:themeColor="text1"/>
                          <w:sz w:val="24"/>
                          <w14:textFill>
                            <w14:solidFill>
                              <w14:schemeClr w14:val="tx1"/>
                            </w14:solidFill>
                          </w14:textFill>
                        </w:rPr>
                        <w:t>胜县温泉国家森林公园、龙胜县温泉景区段浔江绿道建设、龙胜县伟江“一路梨花上南山”乡村旅游示范带建设项目、龙胜县温泉大峡谷国家级旅游度假区暨创5A级景区建设项目、龙胜县白石红山森林康养谷、龙胜县乐江镇生态旅游开发项目、龙胜泗水乡五星级乡村旅游区、马堤乡张家塘生态旅游示范区。</w:t>
                      </w:r>
                    </w:p>
                    <w:p>
                      <w:pPr>
                        <w:spacing w:line="36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2.民族文化体育旅游项目</w:t>
                      </w:r>
                      <w:r>
                        <w:rPr>
                          <w:rFonts w:hint="eastAsia" w:ascii="仿宋" w:hAnsi="仿宋" w:eastAsia="仿宋" w:cs="仿宋"/>
                          <w:bCs/>
                          <w:color w:val="000000" w:themeColor="text1"/>
                          <w:sz w:val="24"/>
                          <w14:textFill>
                            <w14:solidFill>
                              <w14:schemeClr w14:val="tx1"/>
                            </w14:solidFill>
                          </w14:textFill>
                        </w:rPr>
                        <w:t>：龙胜县文化馆、图书馆、博物馆和影剧院建设项目，龙胜县泗水乡集镇特色旅游小镇建设、龙胜县多民族生态博物园建设项目、龙胜县民族文化园、龙胜县风情苗寨民俗文化旅游建设项目、龙胜县江底乡盘瑶文化休闲度假区建设项目、龙胜县泗水乡潘内村梯田景区建设、龙胜镇金结村洪门梯田生态旅游建设项目。</w:t>
                      </w:r>
                    </w:p>
                    <w:p>
                      <w:pPr>
                        <w:spacing w:line="36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3.红色文化旅游项目</w:t>
                      </w:r>
                      <w:r>
                        <w:rPr>
                          <w:rFonts w:hint="eastAsia" w:ascii="仿宋" w:hAnsi="仿宋" w:eastAsia="仿宋" w:cs="仿宋"/>
                          <w:bCs/>
                          <w:color w:val="000000" w:themeColor="text1"/>
                          <w:sz w:val="24"/>
                          <w14:textFill>
                            <w14:solidFill>
                              <w14:schemeClr w14:val="tx1"/>
                            </w14:solidFill>
                          </w14:textFill>
                        </w:rPr>
                        <w:t>：红军在龙胜践行党的民族政策研学基地、龙胜县红色旅游文化基地建设、龙胜县中央纵队长征文化园项目、龙胜县红色文化保护开发利用项目、龙胜平等龙坪红色旅游提升建设项目、龙胜伟江乡“红色足迹在苗乡”红色旅游精品带打造建设项目、龙胜县马堤乡万人界红色旅游提升项目、乐江镇江口村河口阻击战红色旅游文化项目。</w:t>
                      </w:r>
                    </w:p>
                    <w:p>
                      <w:pPr>
                        <w:pStyle w:val="31"/>
                        <w:spacing w:line="360" w:lineRule="auto"/>
                        <w:jc w:val="both"/>
                        <w:rPr>
                          <w:rFonts w:ascii="仿宋" w:hAnsi="仿宋" w:eastAsia="仿宋" w:cs="仿宋"/>
                          <w:bCs/>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4.产业融合特色项目</w:t>
                      </w:r>
                      <w:r>
                        <w:rPr>
                          <w:rFonts w:hint="eastAsia" w:ascii="仿宋" w:hAnsi="仿宋" w:eastAsia="仿宋" w:cs="仿宋"/>
                          <w:bCs/>
                          <w:color w:val="000000" w:themeColor="text1"/>
                          <w14:textFill>
                            <w14:solidFill>
                              <w14:schemeClr w14:val="tx1"/>
                            </w14:solidFill>
                          </w14:textFill>
                        </w:rPr>
                        <w:t>：有机农产品、鸡血玉等高端旅游产品加工项目、</w:t>
                      </w:r>
                      <w:r>
                        <w:rPr>
                          <w:rFonts w:hint="eastAsia" w:ascii="仿宋" w:hAnsi="仿宋" w:eastAsia="仿宋" w:cs="仿宋"/>
                          <w:color w:val="000000" w:themeColor="text1"/>
                          <w14:textFill>
                            <w14:solidFill>
                              <w14:schemeClr w14:val="tx1"/>
                            </w14:solidFill>
                          </w14:textFill>
                        </w:rPr>
                        <w:t>中国长发博物馆康寿民族文化园项目</w:t>
                      </w:r>
                      <w:r>
                        <w:rPr>
                          <w:rFonts w:hint="eastAsia" w:ascii="仿宋" w:hAnsi="仿宋" w:eastAsia="仿宋" w:cs="仿宋"/>
                          <w:bCs/>
                          <w:color w:val="000000" w:themeColor="text1"/>
                          <w14:textFill>
                            <w14:solidFill>
                              <w14:schemeClr w14:val="tx1"/>
                            </w14:solidFill>
                          </w14:textFill>
                        </w:rPr>
                        <w:t>。</w:t>
                      </w:r>
                    </w:p>
                    <w:p>
                      <w:pPr>
                        <w:pStyle w:val="31"/>
                        <w:spacing w:line="360" w:lineRule="auto"/>
                        <w:jc w:val="both"/>
                        <w:rPr>
                          <w:rFonts w:eastAsia="仿宋"/>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5.智慧旅游项目：</w:t>
                      </w:r>
                      <w:r>
                        <w:rPr>
                          <w:rFonts w:hint="eastAsia" w:ascii="仿宋" w:hAnsi="仿宋" w:eastAsia="仿宋" w:cs="仿宋"/>
                          <w:bCs/>
                          <w:color w:val="000000" w:themeColor="text1"/>
                          <w14:textFill>
                            <w14:solidFill>
                              <w14:schemeClr w14:val="tx1"/>
                            </w14:solidFill>
                          </w14:textFill>
                        </w:rPr>
                        <w:t>龙脊景区智慧旅游项目，温泉景区智慧旅游项目。</w:t>
                      </w:r>
                    </w:p>
                  </w:txbxContent>
                </v:textbox>
                <w10:wrap type="square"/>
              </v:shape>
            </w:pict>
          </mc:Fallback>
        </mc:AlternateContent>
      </w:r>
    </w:p>
    <w:p>
      <w:pPr>
        <w:pStyle w:val="4"/>
        <w:keepNext w:val="0"/>
        <w:keepLines w:val="0"/>
        <w:spacing w:before="0" w:after="0" w:line="560" w:lineRule="exact"/>
        <w:jc w:val="center"/>
        <w:rPr>
          <w:rFonts w:ascii="Times New Roman" w:hAnsi="Times New Roman" w:eastAsia="黑体" w:cs="Times New Roman"/>
          <w:b w:val="0"/>
          <w:color w:val="000000" w:themeColor="text1"/>
          <w14:textFill>
            <w14:solidFill>
              <w14:schemeClr w14:val="tx1"/>
            </w14:solidFill>
          </w14:textFill>
        </w:rPr>
      </w:pPr>
      <w:bookmarkStart w:id="158" w:name="_Toc61110792"/>
      <w:bookmarkStart w:id="159" w:name="_Toc3301"/>
      <w:bookmarkStart w:id="160" w:name="_Toc25781"/>
      <w:r>
        <w:rPr>
          <w:rFonts w:hint="eastAsia" w:ascii="Times New Roman" w:hAnsi="Times New Roman" w:eastAsia="黑体" w:cs="Times New Roman"/>
          <w:b w:val="0"/>
          <w:color w:val="000000" w:themeColor="text1"/>
          <w14:textFill>
            <w14:solidFill>
              <w14:schemeClr w14:val="tx1"/>
            </w14:solidFill>
          </w14:textFill>
        </w:rPr>
        <w:t>第七章  拓展生态内涵</w:t>
      </w:r>
      <w:bookmarkEnd w:id="148"/>
      <w:bookmarkEnd w:id="149"/>
      <w:r>
        <w:rPr>
          <w:rFonts w:hint="eastAsia" w:ascii="Times New Roman" w:hAnsi="Times New Roman" w:eastAsia="黑体" w:cs="Times New Roman"/>
          <w:b w:val="0"/>
          <w:color w:val="000000" w:themeColor="text1"/>
          <w14:textFill>
            <w14:solidFill>
              <w14:schemeClr w14:val="tx1"/>
            </w14:solidFill>
          </w14:textFill>
        </w:rPr>
        <w:t>，推进“两山”模式</w:t>
      </w:r>
      <w:bookmarkEnd w:id="158"/>
      <w:bookmarkEnd w:id="159"/>
      <w:bookmarkEnd w:id="160"/>
    </w:p>
    <w:p>
      <w:pPr>
        <w:spacing w:line="560" w:lineRule="exact"/>
        <w:ind w:firstLine="422" w:firstLineChars="200"/>
        <w:rPr>
          <w:rFonts w:ascii="Times New Roman" w:hAnsi="Times New Roman" w:eastAsia="仿宋_GB2312"/>
          <w:b/>
          <w:color w:val="000000" w:themeColor="text1"/>
          <w14:textFill>
            <w14:solidFill>
              <w14:schemeClr w14:val="tx1"/>
            </w14:solidFill>
          </w14:textFill>
        </w:rPr>
      </w:pPr>
    </w:p>
    <w:p>
      <w:pP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bookmarkStart w:id="161" w:name="_Hlk25673808"/>
      <w:r>
        <w:rPr>
          <w:rFonts w:hint="eastAsia" w:ascii="Times New Roman" w:hAnsi="Times New Roman" w:eastAsia="仿宋_GB2312"/>
          <w:color w:val="000000" w:themeColor="text1"/>
          <w:sz w:val="32"/>
          <w:szCs w:val="32"/>
          <w14:textFill>
            <w14:solidFill>
              <w14:schemeClr w14:val="tx1"/>
            </w14:solidFill>
          </w14:textFill>
        </w:rPr>
        <w:t>坚持经济与社会的和谐、人与自然的和谐共生，探索和推进“绿水青山就是金山银山”实践创新基地的发展新模式，丰富“两山”理论深刻内涵，以“两山”基地建设，促进龙胜生态环境的保护、巩固和利用，促进生态优势更好地向经济优势转化，进而巩固拓展脱贫攻坚成果和经济社会的可持续发展，树立全国少数民族山区贫困县实践“两山”理论的典范，打造一条产业兴、人民富、生态美的可持续发展龙胜之路。</w:t>
      </w:r>
    </w:p>
    <w:p>
      <w:pPr>
        <w:spacing w:line="560" w:lineRule="exact"/>
        <w:ind w:firstLine="420" w:firstLineChars="200"/>
        <w:rPr>
          <w:rFonts w:ascii="Times New Roman" w:hAnsi="Times New Roman" w:eastAsia="仿宋_GB2312"/>
          <w:color w:val="000000" w:themeColor="text1"/>
          <w14:textFill>
            <w14:solidFill>
              <w14:schemeClr w14:val="tx1"/>
            </w14:solidFill>
          </w14:textFill>
        </w:rPr>
      </w:pPr>
      <w:bookmarkStart w:id="162" w:name="_Toc61110793"/>
      <w:bookmarkStart w:id="163" w:name="_Toc1575"/>
    </w:p>
    <w:p>
      <w:pPr>
        <w:pStyle w:val="5"/>
        <w:keepNext w:val="0"/>
        <w:keepLines w:val="0"/>
        <w:spacing w:before="0" w:after="0" w:line="560" w:lineRule="exact"/>
        <w:jc w:val="center"/>
        <w:rPr>
          <w:rFonts w:ascii="Times New Roman" w:hAnsi="Times New Roman" w:eastAsia="黑体"/>
          <w:b w:val="0"/>
          <w:color w:val="000000" w:themeColor="text1"/>
          <w14:textFill>
            <w14:solidFill>
              <w14:schemeClr w14:val="tx1"/>
            </w14:solidFill>
          </w14:textFill>
        </w:rPr>
      </w:pPr>
      <w:bookmarkStart w:id="164" w:name="_Toc4143"/>
      <w:r>
        <w:rPr>
          <w:rFonts w:hint="eastAsia" w:ascii="Times New Roman" w:hAnsi="Times New Roman" w:eastAsia="黑体"/>
          <w:b w:val="0"/>
          <w:color w:val="000000" w:themeColor="text1"/>
          <w14:textFill>
            <w14:solidFill>
              <w14:schemeClr w14:val="tx1"/>
            </w14:solidFill>
          </w14:textFill>
        </w:rPr>
        <w:t>第一节  打造“两山”</w:t>
      </w:r>
      <w:bookmarkEnd w:id="162"/>
      <w:bookmarkEnd w:id="163"/>
      <w:r>
        <w:rPr>
          <w:rFonts w:hint="eastAsia" w:ascii="Times New Roman" w:hAnsi="Times New Roman" w:eastAsia="黑体"/>
          <w:b w:val="0"/>
          <w:color w:val="000000" w:themeColor="text1"/>
          <w14:textFill>
            <w14:solidFill>
              <w14:schemeClr w14:val="tx1"/>
            </w14:solidFill>
          </w14:textFill>
        </w:rPr>
        <w:t>示范县</w:t>
      </w:r>
      <w:bookmarkEnd w:id="164"/>
    </w:p>
    <w:p>
      <w:pP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p>
    <w:p>
      <w:pP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color w:val="000000" w:themeColor="text1"/>
          <w:sz w:val="32"/>
          <w:szCs w:val="32"/>
          <w14:textFill>
            <w14:solidFill>
              <w14:schemeClr w14:val="tx1"/>
            </w14:solidFill>
          </w14:textFill>
        </w:rPr>
        <w:t>坚持“生态立县，绿色发展”理念，依托和利用自然生态环境优势，探索和丰富“两山”理论深刻内涵，形成水源涵养型南岭山地森林及生物多样性国家生态功能区，并以“两山”基地建设，促进生态环境的保护与巩固，促进生态优势更好地向经济优势转化，进而巩固拓展脱贫攻坚成果和经济社会的可持续发展。到2025年，森林覆盖率达82.0%左右；林地保有量310万亩以上。</w:t>
      </w:r>
    </w:p>
    <w:p>
      <w:pP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color w:val="000000" w:themeColor="text1"/>
          <w:sz w:val="32"/>
          <w:szCs w:val="32"/>
          <w14:textFill>
            <w14:solidFill>
              <w14:schemeClr w14:val="tx1"/>
            </w14:solidFill>
          </w14:textFill>
        </w:rPr>
        <w:t>建立严格的森林资源保护制度，将自然保护地的核心保护区及天然林、公益林等重要地段纳入生态保护红线，形成具有区域特色的生态空间保护格局，提高生态系统的完整性。</w:t>
      </w:r>
      <w:r>
        <w:rPr>
          <w:rFonts w:hint="eastAsia" w:ascii="Times New Roman" w:hAnsi="Times New Roman" w:eastAsia="仿宋_GB2312"/>
          <w:b/>
          <w:bCs/>
          <w:color w:val="000000" w:themeColor="text1"/>
          <w:sz w:val="32"/>
          <w:szCs w:val="32"/>
          <w14:textFill>
            <w14:solidFill>
              <w14:schemeClr w14:val="tx1"/>
            </w14:solidFill>
          </w14:textFill>
        </w:rPr>
        <w:t>一是</w:t>
      </w:r>
      <w:r>
        <w:rPr>
          <w:rFonts w:hint="eastAsia" w:ascii="Times New Roman" w:hAnsi="Times New Roman" w:eastAsia="仿宋_GB2312"/>
          <w:color w:val="000000" w:themeColor="text1"/>
          <w:sz w:val="32"/>
          <w:szCs w:val="32"/>
          <w14:textFill>
            <w14:solidFill>
              <w14:schemeClr w14:val="tx1"/>
            </w14:solidFill>
          </w14:textFill>
        </w:rPr>
        <w:t>加快龙脊梯田国家湿地公园建设。推进景区的旅游经济开发和生态环境建设，对平安村、龙脊村、大寨村、小寨村等梯田进行修复及植被修复，有针对性地保护当地的生态环境。</w:t>
      </w:r>
      <w:r>
        <w:rPr>
          <w:rFonts w:hint="eastAsia" w:ascii="Times New Roman" w:hAnsi="Times New Roman" w:eastAsia="仿宋_GB2312"/>
          <w:b/>
          <w:bCs/>
          <w:color w:val="000000" w:themeColor="text1"/>
          <w:sz w:val="32"/>
          <w:szCs w:val="32"/>
          <w14:textFill>
            <w14:solidFill>
              <w14:schemeClr w14:val="tx1"/>
            </w14:solidFill>
          </w14:textFill>
        </w:rPr>
        <w:t>二是</w:t>
      </w:r>
      <w:r>
        <w:rPr>
          <w:rFonts w:hint="eastAsia" w:ascii="Times New Roman" w:hAnsi="Times New Roman" w:eastAsia="仿宋_GB2312"/>
          <w:color w:val="000000" w:themeColor="text1"/>
          <w:sz w:val="32"/>
          <w:szCs w:val="32"/>
          <w14:textFill>
            <w14:solidFill>
              <w14:schemeClr w14:val="tx1"/>
            </w14:solidFill>
          </w14:textFill>
        </w:rPr>
        <w:t>完善温泉国家森林公园配套基础设施，提升景区服务功能。</w:t>
      </w:r>
      <w:r>
        <w:rPr>
          <w:rFonts w:hint="eastAsia" w:ascii="Times New Roman" w:hAnsi="Times New Roman" w:eastAsia="仿宋_GB2312"/>
          <w:b/>
          <w:bCs/>
          <w:color w:val="000000" w:themeColor="text1"/>
          <w:sz w:val="32"/>
          <w:szCs w:val="32"/>
          <w14:textFill>
            <w14:solidFill>
              <w14:schemeClr w14:val="tx1"/>
            </w14:solidFill>
          </w14:textFill>
        </w:rPr>
        <w:t>三是</w:t>
      </w:r>
      <w:r>
        <w:rPr>
          <w:rFonts w:hint="eastAsia" w:ascii="Times New Roman" w:hAnsi="Times New Roman" w:eastAsia="仿宋_GB2312"/>
          <w:color w:val="000000" w:themeColor="text1"/>
          <w:sz w:val="32"/>
          <w:szCs w:val="32"/>
          <w14:textFill>
            <w14:solidFill>
              <w14:schemeClr w14:val="tx1"/>
            </w14:solidFill>
          </w14:textFill>
        </w:rPr>
        <w:t>加速南山云中草原景区建设。抓好南山风电场项目生态恢复工程，以及强化监管。</w:t>
      </w:r>
      <w:r>
        <w:rPr>
          <w:rFonts w:hint="eastAsia" w:ascii="Times New Roman" w:hAnsi="Times New Roman" w:eastAsia="仿宋_GB2312"/>
          <w:b/>
          <w:bCs/>
          <w:color w:val="000000" w:themeColor="text1"/>
          <w:sz w:val="32"/>
          <w:szCs w:val="32"/>
          <w14:textFill>
            <w14:solidFill>
              <w14:schemeClr w14:val="tx1"/>
            </w14:solidFill>
          </w14:textFill>
        </w:rPr>
        <w:t>四是</w:t>
      </w:r>
      <w:r>
        <w:rPr>
          <w:rFonts w:hint="eastAsia" w:ascii="Times New Roman" w:hAnsi="Times New Roman" w:eastAsia="仿宋_GB2312"/>
          <w:color w:val="000000" w:themeColor="text1"/>
          <w:sz w:val="32"/>
          <w:szCs w:val="32"/>
          <w14:textFill>
            <w14:solidFill>
              <w14:schemeClr w14:val="tx1"/>
            </w14:solidFill>
          </w14:textFill>
        </w:rPr>
        <w:t>协调解决花坪自然保护区历史遗留问题，利用林业行业优势，改善提高花坪保护区群众生活水平。</w:t>
      </w:r>
      <w:bookmarkStart w:id="165" w:name="_Toc14637"/>
      <w:r>
        <w:rPr>
          <w:rFonts w:hint="eastAsia" w:ascii="Times New Roman" w:hAnsi="Times New Roman" w:eastAsia="仿宋_GB2312"/>
          <w:b/>
          <w:bCs/>
          <w:color w:val="000000" w:themeColor="text1"/>
          <w:sz w:val="32"/>
          <w:szCs w:val="32"/>
          <w14:textFill>
            <w14:solidFill>
              <w14:schemeClr w14:val="tx1"/>
            </w14:solidFill>
          </w14:textFill>
        </w:rPr>
        <w:t>五是</w:t>
      </w:r>
      <w:r>
        <w:rPr>
          <w:rFonts w:hint="eastAsia" w:ascii="Times New Roman" w:hAnsi="Times New Roman" w:eastAsia="仿宋_GB2312"/>
          <w:color w:val="000000" w:themeColor="text1"/>
          <w:sz w:val="32"/>
          <w:szCs w:val="32"/>
          <w14:textFill>
            <w14:solidFill>
              <w14:schemeClr w14:val="tx1"/>
            </w14:solidFill>
          </w14:textFill>
        </w:rPr>
        <w:t>积极探索多种形式的“两山”转化模式，把资源优势转化为经济优势，大力发展生态旅游、生态农业、生态工业等，力争打造“两山”示范县。</w:t>
      </w:r>
    </w:p>
    <w:p>
      <w:pP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p>
    <w:p>
      <w:pPr>
        <w:pStyle w:val="5"/>
        <w:keepNext w:val="0"/>
        <w:keepLines w:val="0"/>
        <w:spacing w:before="0" w:after="0" w:line="560" w:lineRule="exact"/>
        <w:jc w:val="center"/>
        <w:rPr>
          <w:rFonts w:ascii="Times New Roman" w:hAnsi="Times New Roman" w:eastAsia="黑体"/>
          <w:b w:val="0"/>
          <w:color w:val="000000" w:themeColor="text1"/>
          <w14:textFill>
            <w14:solidFill>
              <w14:schemeClr w14:val="tx1"/>
            </w14:solidFill>
          </w14:textFill>
        </w:rPr>
      </w:pPr>
      <w:bookmarkStart w:id="166" w:name="_Toc31482"/>
      <w:r>
        <w:rPr>
          <w:rFonts w:hint="eastAsia" w:ascii="Times New Roman" w:hAnsi="Times New Roman" w:eastAsia="黑体"/>
          <w:b w:val="0"/>
          <w:color w:val="000000" w:themeColor="text1"/>
          <w14:textFill>
            <w14:solidFill>
              <w14:schemeClr w14:val="tx1"/>
            </w14:solidFill>
          </w14:textFill>
        </w:rPr>
        <w:t>第二节  加大生态环境保护</w:t>
      </w:r>
      <w:bookmarkEnd w:id="165"/>
      <w:bookmarkEnd w:id="166"/>
    </w:p>
    <w:p>
      <w:pPr>
        <w:tabs>
          <w:tab w:val="left" w:pos="908"/>
        </w:tabs>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p>
    <w:p>
      <w:pPr>
        <w:tabs>
          <w:tab w:val="left" w:pos="908"/>
        </w:tabs>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color w:val="000000" w:themeColor="text1"/>
          <w:sz w:val="32"/>
          <w:szCs w:val="32"/>
          <w14:textFill>
            <w14:solidFill>
              <w14:schemeClr w14:val="tx1"/>
            </w14:solidFill>
          </w14:textFill>
        </w:rPr>
        <w:t>持续保护山清水秀的生态环境，实现“绿水青山就是金山银山”的目标。做好环境质量持续改善。实施污染物总量，推进管理减排。将优化总量控制实施，加强市容环境卫生管理，加快农村生活污水专项治理，强化农业污染源防治与监管，提高治污减排与环境质量改善的相关性，将区域质量改善要求落实到机关、企事业单位。健全总量减排统计、监测和考核三大体系建设，使龙胜县展现出天蓝、山绿、地净、水清、空气新的“龙胜蓝”美丽景象。</w:t>
      </w:r>
    </w:p>
    <w:p>
      <w:pPr>
        <w:tabs>
          <w:tab w:val="left" w:pos="908"/>
        </w:tabs>
        <w:spacing w:line="560" w:lineRule="exact"/>
        <w:ind w:firstLine="643"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b/>
          <w:color w:val="000000" w:themeColor="text1"/>
          <w:sz w:val="32"/>
          <w:szCs w:val="32"/>
          <w14:textFill>
            <w14:solidFill>
              <w14:schemeClr w14:val="tx1"/>
            </w14:solidFill>
          </w14:textFill>
        </w:rPr>
        <w:t>一、加强水环境综合治理。</w:t>
      </w:r>
      <w:r>
        <w:rPr>
          <w:rFonts w:hint="eastAsia" w:ascii="Times New Roman" w:hAnsi="Times New Roman" w:eastAsia="仿宋_GB2312"/>
          <w:color w:val="000000" w:themeColor="text1"/>
          <w:sz w:val="32"/>
          <w:szCs w:val="32"/>
          <w14:textFill>
            <w14:solidFill>
              <w14:schemeClr w14:val="tx1"/>
            </w14:solidFill>
          </w14:textFill>
        </w:rPr>
        <w:t>加快集中式饮用水水源地的保护和规范化建设，持续开展饮用水水源地的环境污染防治，巩固饮用水水源保护区整治成果。加强污染源工业废水排放的监督与治理，改造不能达标的工业污水处理工艺。加大三门河的治理力度，对滑石、鸡血玉等开采、加工企业进行严格约束。鼓励企业建设污水深度处理设施。支持企业实行清洁生产和工业用水循环利用，发展节水型工业，提高工业用水重复利用率。加强农村生活污水处理设施建设和设施运行管理，完善农村污水统一收集、集中处理项目建设。落实垃圾分类处理。到2025年，地表水水质优于III类水体保持稳定，县城集中式饮用水水源地水质达标率100%，集中式饮用水水源地水质达标率100%，国控断面（交州站点）水质达到或优于Ⅱ类水体比例达到100%，其余地表水断面水质达到或优于Ⅲ类水体比例达到100%。</w:t>
      </w:r>
    </w:p>
    <w:p>
      <w:pPr>
        <w:pBdr>
          <w:bottom w:val="single" w:color="FFFFFF" w:sz="4" w:space="15"/>
        </w:pBdr>
        <w:spacing w:line="560" w:lineRule="exact"/>
        <w:ind w:firstLine="643"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b/>
          <w:color w:val="000000" w:themeColor="text1"/>
          <w:sz w:val="32"/>
          <w:szCs w:val="32"/>
          <w14:textFill>
            <w14:solidFill>
              <w14:schemeClr w14:val="tx1"/>
            </w14:solidFill>
          </w14:textFill>
        </w:rPr>
        <w:t>二、提升大气环境质量。</w:t>
      </w:r>
      <w:r>
        <w:rPr>
          <w:rFonts w:hint="eastAsia" w:ascii="Times New Roman" w:hAnsi="Times New Roman" w:eastAsia="仿宋_GB2312"/>
          <w:color w:val="000000" w:themeColor="text1"/>
          <w:sz w:val="32"/>
          <w:szCs w:val="32"/>
          <w14:textFill>
            <w14:solidFill>
              <w14:schemeClr w14:val="tx1"/>
            </w14:solidFill>
          </w14:textFill>
        </w:rPr>
        <w:t>抓好产业结构和布局调整优化、清洁能源使用、机动车尾气排放、非道路移动车辆上牌限行监管、VOCs（挥发性有机化合物）企业的治理、餐饮油烟排放、秸秆禁烧管控及奖惩机制的建立和城市道路及施工工地扬尘等关键环节，完善臭氧、一氧化碳、PM2.5和PM10大气复合污染物立体监测网络，推动大气污染向多因子、全方位、区域协同控制转变。建立巡查机制，严控高污染高能耗企业超标排放，严打露天焚烧行为。到2025年，城市空气质量优良天数比率、细颗粒物（PM2.5）浓度、县城区域环境噪声均值等控制在桂林市下达的指标内。</w:t>
      </w:r>
    </w:p>
    <w:p>
      <w:pPr>
        <w:pBdr>
          <w:bottom w:val="single" w:color="FFFFFF" w:sz="4" w:space="15"/>
        </w:pBdr>
        <w:spacing w:line="560" w:lineRule="exact"/>
        <w:ind w:firstLine="643"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b/>
          <w:color w:val="000000" w:themeColor="text1"/>
          <w:sz w:val="32"/>
          <w:szCs w:val="32"/>
          <w14:textFill>
            <w14:solidFill>
              <w14:schemeClr w14:val="tx1"/>
            </w14:solidFill>
          </w14:textFill>
        </w:rPr>
        <w:t>三、改善土壤环境质量。</w:t>
      </w:r>
      <w:r>
        <w:rPr>
          <w:rFonts w:hint="eastAsia" w:ascii="Times New Roman" w:hAnsi="Times New Roman" w:eastAsia="仿宋_GB2312"/>
          <w:color w:val="000000" w:themeColor="text1"/>
          <w:sz w:val="32"/>
          <w:szCs w:val="32"/>
          <w14:textFill>
            <w14:solidFill>
              <w14:schemeClr w14:val="tx1"/>
            </w14:solidFill>
          </w14:textFill>
        </w:rPr>
        <w:t>实施土壤污染防治，强化土壤污染风险管控；加强危险废物收集运输处置全过程监管；推进垃圾分类处置；加强信息化监管和转移处置实时监控，强化部门联防联控，严厉打击固体废物非法转移和倾倒处置行为；强化重点工矿企业的重金属污染物排放及周边环境中的重金属监测，有效防控环境风险。到2025年，耕地土壤环境质量达标率不低于81.8%，受污染耕地安全利用率和污染地块安全利用率达到90%，新增建设用地土壤环境安全保障率达100%，县城和乡镇生活垃圾无害化处理率分别达到100%和95%，规模化畜禽养殖和养殖小区粪污综合利用率高于80%。</w:t>
      </w:r>
    </w:p>
    <w:p>
      <w:pPr>
        <w:pBdr>
          <w:bottom w:val="single" w:color="FFFFFF" w:sz="4" w:space="15"/>
        </w:pBdr>
        <w:spacing w:line="560" w:lineRule="exact"/>
        <w:ind w:firstLine="643" w:firstLineChars="200"/>
        <w:textAlignment w:val="baseline"/>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b/>
          <w:color w:val="000000" w:themeColor="text1"/>
          <w:sz w:val="32"/>
          <w:szCs w:val="32"/>
          <w14:textFill>
            <w14:solidFill>
              <w14:schemeClr w14:val="tx1"/>
            </w14:solidFill>
          </w14:textFill>
        </w:rPr>
        <w:t>四、加强核与辐射安全管理。</w:t>
      </w:r>
      <w:r>
        <w:rPr>
          <w:rFonts w:hint="eastAsia" w:ascii="Times New Roman" w:hAnsi="Times New Roman" w:eastAsia="仿宋_GB2312"/>
          <w:color w:val="000000" w:themeColor="text1"/>
          <w:sz w:val="32"/>
          <w:szCs w:val="32"/>
          <w14:textFill>
            <w14:solidFill>
              <w14:schemeClr w14:val="tx1"/>
            </w14:solidFill>
          </w14:textFill>
        </w:rPr>
        <w:t>强化核安全监管体系和监管能力建设，推进核安全法治进程，落实核安全规划，依法从严监管，开展放射源安全专项检查行动，核实放射源生产、销售、使用情况，排查安全风险，废旧放射源实现安全处置，避免发生放射性污染环境事件。</w:t>
      </w:r>
      <w:bookmarkStart w:id="167" w:name="_Toc61110794"/>
      <w:bookmarkStart w:id="168" w:name="_Toc24937"/>
    </w:p>
    <w:p>
      <w:pPr>
        <w:spacing w:line="560" w:lineRule="exact"/>
        <w:jc w:val="center"/>
        <w:rPr>
          <w:rFonts w:ascii="Times New Roman" w:hAnsi="Times New Roman" w:eastAsia="楷体_GB2312"/>
          <w:color w:val="000000" w:themeColor="text1"/>
          <w14:textFill>
            <w14:solidFill>
              <w14:schemeClr w14:val="tx1"/>
            </w14:solidFill>
          </w14:textFill>
        </w:rPr>
      </w:pPr>
    </w:p>
    <w:p>
      <w:pPr>
        <w:pStyle w:val="5"/>
        <w:keepNext w:val="0"/>
        <w:keepLines w:val="0"/>
        <w:spacing w:before="0" w:after="0" w:line="560" w:lineRule="exact"/>
        <w:jc w:val="center"/>
        <w:rPr>
          <w:rFonts w:ascii="Times New Roman" w:hAnsi="Times New Roman" w:eastAsia="黑体"/>
          <w:b w:val="0"/>
          <w:color w:val="000000" w:themeColor="text1"/>
          <w14:textFill>
            <w14:solidFill>
              <w14:schemeClr w14:val="tx1"/>
            </w14:solidFill>
          </w14:textFill>
        </w:rPr>
      </w:pPr>
      <w:bookmarkStart w:id="169" w:name="_Toc32609"/>
      <w:r>
        <w:rPr>
          <w:rFonts w:hint="eastAsia" w:ascii="Times New Roman" w:hAnsi="Times New Roman" w:eastAsia="黑体"/>
          <w:b w:val="0"/>
          <w:color w:val="000000" w:themeColor="text1"/>
          <w14:textFill>
            <w14:solidFill>
              <w14:schemeClr w14:val="tx1"/>
            </w14:solidFill>
          </w14:textFill>
        </w:rPr>
        <w:t>第三节  大力发展生态经济</w:t>
      </w:r>
      <w:bookmarkEnd w:id="167"/>
      <w:bookmarkEnd w:id="168"/>
      <w:bookmarkEnd w:id="169"/>
    </w:p>
    <w:p>
      <w:pPr>
        <w:pBdr>
          <w:bottom w:val="single" w:color="FFFFFF" w:sz="4" w:space="15"/>
        </w:pBd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p>
    <w:p>
      <w:pPr>
        <w:pBdr>
          <w:bottom w:val="single" w:color="FFFFFF" w:sz="4" w:space="15"/>
        </w:pBd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color w:val="000000" w:themeColor="text1"/>
          <w:sz w:val="32"/>
          <w:szCs w:val="32"/>
          <w14:textFill>
            <w14:solidFill>
              <w14:schemeClr w14:val="tx1"/>
            </w14:solidFill>
          </w14:textFill>
        </w:rPr>
        <w:t>坚持生态建设产业化、产业发展生态化，大力发展生态工业、生态农业、生态服务业，推动绿色经济、有机经济、循环经济一体化，生态人居、生态环境、生态文化同步建设，加快把生态产业打造成新的支柱产业，使生态优势转化为经济发展优势。推广应用高效绿色技术。培育和发展符合国家产业导向、市场前景广阔、可持续发展优势明显的战略性新兴产业。优化能源结构，提高可再生能源在能源消费中的比重。调整农业产业结构，做强做优油茶、茶叶、果蔬和特色种植、养殖业。大力发展无公害农产品、绿色食品和有机产品，建立有机食品和绿色食品基地。大力发展休闲观光、健康养生等产业，把低碳理念贯穿于吃住行游购娱旅游元素之中，培育低碳酒店、低碳景区、低碳社区等。</w:t>
      </w:r>
      <w:bookmarkStart w:id="170" w:name="_Toc5064"/>
    </w:p>
    <w:p>
      <w:pPr>
        <w:pStyle w:val="5"/>
        <w:keepNext w:val="0"/>
        <w:keepLines w:val="0"/>
        <w:spacing w:before="0" w:after="0" w:line="560" w:lineRule="exact"/>
        <w:jc w:val="center"/>
        <w:rPr>
          <w:rFonts w:ascii="Times New Roman" w:hAnsi="Times New Roman" w:eastAsia="黑体"/>
          <w:b w:val="0"/>
          <w:color w:val="000000" w:themeColor="text1"/>
          <w14:textFill>
            <w14:solidFill>
              <w14:schemeClr w14:val="tx1"/>
            </w14:solidFill>
          </w14:textFill>
        </w:rPr>
      </w:pPr>
      <w:bookmarkStart w:id="171" w:name="_Toc61110795"/>
      <w:bookmarkStart w:id="172" w:name="_Toc3005"/>
      <w:bookmarkStart w:id="173" w:name="_Toc16008"/>
      <w:r>
        <w:rPr>
          <w:rFonts w:hint="eastAsia" w:ascii="Times New Roman" w:hAnsi="Times New Roman" w:eastAsia="黑体"/>
          <w:b w:val="0"/>
          <w:color w:val="000000" w:themeColor="text1"/>
          <w14:textFill>
            <w14:solidFill>
              <w14:schemeClr w14:val="tx1"/>
            </w14:solidFill>
          </w14:textFill>
        </w:rPr>
        <w:t>第四节  促进低碳消费</w:t>
      </w:r>
      <w:bookmarkEnd w:id="170"/>
      <w:bookmarkEnd w:id="171"/>
      <w:bookmarkEnd w:id="172"/>
      <w:bookmarkEnd w:id="173"/>
    </w:p>
    <w:p>
      <w:pPr>
        <w:pBdr>
          <w:bottom w:val="single" w:color="FFFFFF" w:sz="4" w:space="15"/>
        </w:pBd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p>
    <w:p>
      <w:pPr>
        <w:pBdr>
          <w:bottom w:val="single" w:color="FFFFFF" w:sz="4" w:space="15"/>
        </w:pBd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color w:val="000000" w:themeColor="text1"/>
          <w:sz w:val="32"/>
          <w:szCs w:val="32"/>
          <w14:textFill>
            <w14:solidFill>
              <w14:schemeClr w14:val="tx1"/>
            </w14:solidFill>
          </w14:textFill>
        </w:rPr>
        <w:t>推行资源节约、环境友好的消费方式。加强生态文明宣传，倡导环保生活方式，改善居民绿色消费环境、提高居民绿色消费意识，引导消费者选择经济适用的绿色环保产品，提倡绿色出行、低碳出行方式。编制二氧化碳排放达峰行动方案，制定二氧化碳排放达峰路线图、时间表和具体措施，推进低碳社区建设，加强社区低碳生活配套设施建设，打造社区商业低碳供应链。推广可再生能源建筑应用，鼓励采用低碳技术和低碳设备，执行更严格的绿色建筑和建筑节能标准。强化节水节能节材节地措施，建设节约型社会。探索创新生态管理体制机制，从制度上保护生态环境。</w:t>
      </w:r>
    </w:p>
    <w:p>
      <w:pPr>
        <w:adjustRightInd w:val="0"/>
        <w:snapToGrid w:val="0"/>
        <w:jc w:val="center"/>
        <w:rPr>
          <w:rFonts w:ascii="Times New Roman" w:hAnsi="Times New Roman" w:eastAsia="仿宋"/>
          <w:b/>
          <w:color w:val="000000" w:themeColor="text1"/>
          <w:sz w:val="28"/>
          <w:szCs w:val="28"/>
          <w14:textFill>
            <w14:solidFill>
              <w14:schemeClr w14:val="tx1"/>
            </w14:solidFill>
          </w14:textFill>
        </w:rPr>
      </w:pPr>
      <w:r>
        <w:rPr>
          <w:rFonts w:ascii="Times New Roman" w:hAnsi="Times New Roman"/>
          <w:color w:val="000000" w:themeColor="text1"/>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-122555</wp:posOffset>
                </wp:positionH>
                <wp:positionV relativeFrom="paragraph">
                  <wp:posOffset>337820</wp:posOffset>
                </wp:positionV>
                <wp:extent cx="5828665" cy="1809750"/>
                <wp:effectExtent l="0" t="0" r="19685" b="19050"/>
                <wp:wrapSquare wrapText="bothSides"/>
                <wp:docPr id="9" name="文本框 9"/>
                <wp:cNvGraphicFramePr/>
                <a:graphic xmlns:a="http://schemas.openxmlformats.org/drawingml/2006/main">
                  <a:graphicData uri="http://schemas.microsoft.com/office/word/2010/wordprocessingShape">
                    <wps:wsp>
                      <wps:cNvSpPr txBox="1"/>
                      <wps:spPr>
                        <a:xfrm>
                          <a:off x="0" y="0"/>
                          <a:ext cx="5828665" cy="180975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pStyle w:val="31"/>
                              <w:spacing w:line="360" w:lineRule="auto"/>
                              <w:rPr>
                                <w:rFonts w:ascii="仿宋" w:hAnsi="仿宋" w:eastAsia="仿宋" w:cs="仿宋"/>
                                <w:color w:val="auto"/>
                                <w:kern w:val="2"/>
                              </w:rPr>
                            </w:pPr>
                            <w:r>
                              <w:rPr>
                                <w:rFonts w:hint="eastAsia" w:ascii="仿宋" w:hAnsi="仿宋" w:eastAsia="仿宋" w:cs="仿宋"/>
                                <w:b/>
                                <w:bCs/>
                              </w:rPr>
                              <w:t>1.环境治理：</w:t>
                            </w:r>
                            <w:r>
                              <w:rPr>
                                <w:rFonts w:hint="eastAsia" w:ascii="仿宋" w:hAnsi="仿宋" w:eastAsia="仿宋" w:cs="仿宋"/>
                              </w:rPr>
                              <w:t>龙胜县三门河整治、龙胜县饮用水水源保护区治理、龙胜县农村人居环境整治基础设施建设项目、</w:t>
                            </w:r>
                            <w:r>
                              <w:rPr>
                                <w:rFonts w:hint="eastAsia" w:ascii="仿宋" w:hAnsi="仿宋" w:eastAsia="仿宋" w:cs="仿宋"/>
                                <w:color w:val="auto"/>
                                <w:kern w:val="2"/>
                              </w:rPr>
                              <w:t>龙胜县南山草原生态修复项目、</w:t>
                            </w:r>
                            <w:r>
                              <w:rPr>
                                <w:rFonts w:hint="eastAsia" w:ascii="仿宋" w:hAnsi="仿宋" w:eastAsia="仿宋" w:cs="仿宋"/>
                              </w:rPr>
                              <w:t>龙胜县大气污染防治项目。</w:t>
                            </w:r>
                          </w:p>
                          <w:p>
                            <w:pPr>
                              <w:pStyle w:val="31"/>
                              <w:spacing w:line="360" w:lineRule="auto"/>
                              <w:rPr>
                                <w:rFonts w:ascii="仿宋" w:hAnsi="仿宋" w:eastAsia="仿宋" w:cs="仿宋"/>
                                <w:color w:val="auto"/>
                                <w:kern w:val="2"/>
                              </w:rPr>
                            </w:pPr>
                            <w:r>
                              <w:rPr>
                                <w:rFonts w:hint="eastAsia" w:ascii="仿宋" w:hAnsi="仿宋" w:eastAsia="仿宋" w:cs="仿宋"/>
                                <w:b/>
                                <w:bCs/>
                                <w:color w:val="auto"/>
                                <w:kern w:val="2"/>
                              </w:rPr>
                              <w:t>2.垃圾处理：</w:t>
                            </w:r>
                            <w:r>
                              <w:rPr>
                                <w:rFonts w:hint="eastAsia" w:ascii="仿宋" w:hAnsi="仿宋" w:eastAsia="仿宋" w:cs="仿宋"/>
                                <w:color w:val="auto"/>
                                <w:kern w:val="2"/>
                              </w:rPr>
                              <w:t>龙胜县拉麻垃圾场封场项目、龙胜县垃圾分类分拣综合处理中心项目、龙胜县城建筑垃圾消纳场建设项目。</w:t>
                            </w:r>
                          </w:p>
                          <w:p>
                            <w:pPr>
                              <w:pStyle w:val="31"/>
                              <w:spacing w:line="360" w:lineRule="auto"/>
                              <w:rPr>
                                <w:rFonts w:ascii="仿宋" w:hAnsi="仿宋" w:eastAsia="仿宋" w:cs="仿宋"/>
                                <w:color w:val="auto"/>
                                <w:kern w:val="2"/>
                              </w:rPr>
                            </w:pPr>
                            <w:r>
                              <w:rPr>
                                <w:rFonts w:hint="eastAsia" w:ascii="仿宋" w:hAnsi="仿宋" w:eastAsia="仿宋" w:cs="仿宋"/>
                                <w:b/>
                                <w:bCs/>
                                <w:color w:val="auto"/>
                                <w:kern w:val="2"/>
                              </w:rPr>
                              <w:t>3.污水处理：</w:t>
                            </w:r>
                            <w:r>
                              <w:rPr>
                                <w:rFonts w:hint="eastAsia" w:ascii="仿宋" w:hAnsi="仿宋" w:eastAsia="仿宋" w:cs="仿宋"/>
                                <w:color w:val="auto"/>
                                <w:kern w:val="2"/>
                              </w:rPr>
                              <w:t>龙胜县污水处理厂二期及配套管网工程、龙胜县乡镇污水设施建设项目、农村污水整治项目、龙胜县镇级污水处理厂新增官网项目。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65pt;margin-top:26.6pt;height:142.5pt;width:458.95pt;mso-wrap-distance-bottom:0pt;mso-wrap-distance-left:9pt;mso-wrap-distance-right:9pt;mso-wrap-distance-top:0pt;z-index:251664384;mso-width-relative:page;mso-height-relative:page;" filled="f" stroked="t" coordsize="21600,21600" o:gfxdata="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Gnv7UzbAAAA&#10;CgEAAA8AAAAAAAAAAQAgAAAAIgAAAGRycy9kb3ducmV2LnhtbFBLAQIUABQAAAAIAIdO4kAbR6CG&#10;UwIAAI8EAAAOAAAAAAAAAAEAIAAAACoBAABkcnMvZTJvRG9jLnhtbFBLBQYAAAAABgAGAFkBAADv&#10;BQAAAAA=&#10;">
                <v:fill on="f" focussize="0,0"/>
                <v:stroke weight="0.5pt" color="#000000 [3204]" joinstyle="round"/>
                <v:imagedata o:title=""/>
                <o:lock v:ext="edit" aspectratio="f"/>
                <v:textbox>
                  <w:txbxContent>
                    <w:p>
                      <w:pPr>
                        <w:pStyle w:val="31"/>
                        <w:spacing w:line="360" w:lineRule="auto"/>
                        <w:rPr>
                          <w:rFonts w:ascii="仿宋" w:hAnsi="仿宋" w:eastAsia="仿宋" w:cs="仿宋"/>
                          <w:color w:val="auto"/>
                          <w:kern w:val="2"/>
                        </w:rPr>
                      </w:pPr>
                      <w:r>
                        <w:rPr>
                          <w:rFonts w:hint="eastAsia" w:ascii="仿宋" w:hAnsi="仿宋" w:eastAsia="仿宋" w:cs="仿宋"/>
                          <w:b/>
                          <w:bCs/>
                        </w:rPr>
                        <w:t>1.环境治理：</w:t>
                      </w:r>
                      <w:r>
                        <w:rPr>
                          <w:rFonts w:hint="eastAsia" w:ascii="仿宋" w:hAnsi="仿宋" w:eastAsia="仿宋" w:cs="仿宋"/>
                        </w:rPr>
                        <w:t>龙胜县三门河整治、龙胜县饮用水水源保护区治理、龙胜县农村人居环境整治基础设施建设项目、</w:t>
                      </w:r>
                      <w:r>
                        <w:rPr>
                          <w:rFonts w:hint="eastAsia" w:ascii="仿宋" w:hAnsi="仿宋" w:eastAsia="仿宋" w:cs="仿宋"/>
                          <w:color w:val="auto"/>
                          <w:kern w:val="2"/>
                        </w:rPr>
                        <w:t>龙胜县南山草原生态修复项目、</w:t>
                      </w:r>
                      <w:r>
                        <w:rPr>
                          <w:rFonts w:hint="eastAsia" w:ascii="仿宋" w:hAnsi="仿宋" w:eastAsia="仿宋" w:cs="仿宋"/>
                        </w:rPr>
                        <w:t>龙胜县大气污染防治项目。</w:t>
                      </w:r>
                    </w:p>
                    <w:p>
                      <w:pPr>
                        <w:pStyle w:val="31"/>
                        <w:spacing w:line="360" w:lineRule="auto"/>
                        <w:rPr>
                          <w:rFonts w:ascii="仿宋" w:hAnsi="仿宋" w:eastAsia="仿宋" w:cs="仿宋"/>
                          <w:color w:val="auto"/>
                          <w:kern w:val="2"/>
                        </w:rPr>
                      </w:pPr>
                      <w:r>
                        <w:rPr>
                          <w:rFonts w:hint="eastAsia" w:ascii="仿宋" w:hAnsi="仿宋" w:eastAsia="仿宋" w:cs="仿宋"/>
                          <w:b/>
                          <w:bCs/>
                          <w:color w:val="auto"/>
                          <w:kern w:val="2"/>
                        </w:rPr>
                        <w:t>2.垃圾处理：</w:t>
                      </w:r>
                      <w:r>
                        <w:rPr>
                          <w:rFonts w:hint="eastAsia" w:ascii="仿宋" w:hAnsi="仿宋" w:eastAsia="仿宋" w:cs="仿宋"/>
                          <w:color w:val="auto"/>
                          <w:kern w:val="2"/>
                        </w:rPr>
                        <w:t>龙胜县拉麻垃圾场封场项目、龙胜县垃圾分类分拣综合处理中心项目、龙胜县城建筑垃圾消纳场建设项目。</w:t>
                      </w:r>
                    </w:p>
                    <w:p>
                      <w:pPr>
                        <w:pStyle w:val="31"/>
                        <w:spacing w:line="360" w:lineRule="auto"/>
                        <w:rPr>
                          <w:rFonts w:ascii="仿宋" w:hAnsi="仿宋" w:eastAsia="仿宋" w:cs="仿宋"/>
                          <w:color w:val="auto"/>
                          <w:kern w:val="2"/>
                        </w:rPr>
                      </w:pPr>
                      <w:r>
                        <w:rPr>
                          <w:rFonts w:hint="eastAsia" w:ascii="仿宋" w:hAnsi="仿宋" w:eastAsia="仿宋" w:cs="仿宋"/>
                          <w:b/>
                          <w:bCs/>
                          <w:color w:val="auto"/>
                          <w:kern w:val="2"/>
                        </w:rPr>
                        <w:t>3.污水处理：</w:t>
                      </w:r>
                      <w:r>
                        <w:rPr>
                          <w:rFonts w:hint="eastAsia" w:ascii="仿宋" w:hAnsi="仿宋" w:eastAsia="仿宋" w:cs="仿宋"/>
                          <w:color w:val="auto"/>
                          <w:kern w:val="2"/>
                        </w:rPr>
                        <w:t>龙胜县污水处理厂二期及配套管网工程、龙胜县乡镇污水设施建设项目、农村污水整治项目、龙胜县镇级污水处理厂新增官网项目。</w:t>
                      </w:r>
                    </w:p>
                  </w:txbxContent>
                </v:textbox>
                <w10:wrap type="square"/>
              </v:shape>
            </w:pict>
          </mc:Fallback>
        </mc:AlternateContent>
      </w:r>
      <w:r>
        <w:rPr>
          <w:rFonts w:hint="eastAsia" w:ascii="Times New Roman" w:hAnsi="Times New Roman" w:eastAsia="仿宋"/>
          <w:b/>
          <w:color w:val="000000" w:themeColor="text1"/>
          <w:sz w:val="28"/>
          <w:szCs w:val="28"/>
          <w14:textFill>
            <w14:solidFill>
              <w14:schemeClr w14:val="tx1"/>
            </w14:solidFill>
          </w14:textFill>
        </w:rPr>
        <w:t>专栏</w:t>
      </w:r>
      <w:r>
        <w:rPr>
          <w:rFonts w:ascii="Times New Roman" w:hAnsi="Times New Roman" w:eastAsia="仿宋"/>
          <w:b/>
          <w:color w:val="000000" w:themeColor="text1"/>
          <w:sz w:val="28"/>
          <w:szCs w:val="28"/>
          <w14:textFill>
            <w14:solidFill>
              <w14:schemeClr w14:val="tx1"/>
            </w14:solidFill>
          </w14:textFill>
        </w:rPr>
        <w:t>5</w:t>
      </w:r>
      <w:r>
        <w:rPr>
          <w:rFonts w:hint="eastAsia" w:ascii="Times New Roman" w:hAnsi="Times New Roman" w:eastAsia="仿宋"/>
          <w:b/>
          <w:color w:val="000000" w:themeColor="text1"/>
          <w:sz w:val="28"/>
          <w:szCs w:val="28"/>
          <w14:textFill>
            <w14:solidFill>
              <w14:schemeClr w14:val="tx1"/>
            </w14:solidFill>
          </w14:textFill>
        </w:rPr>
        <w:t xml:space="preserve">  环境保护和生态建设工程</w:t>
      </w:r>
    </w:p>
    <w:bookmarkEnd w:id="150"/>
    <w:bookmarkEnd w:id="151"/>
    <w:bookmarkEnd w:id="161"/>
    <w:p>
      <w:pPr>
        <w:pStyle w:val="2"/>
        <w:ind w:left="0" w:leftChars="0"/>
        <w:rPr>
          <w:rFonts w:ascii="Times New Roman" w:hAnsi="Times New Roman"/>
          <w:color w:val="000000" w:themeColor="text1"/>
          <w14:textFill>
            <w14:solidFill>
              <w14:schemeClr w14:val="tx1"/>
            </w14:solidFill>
          </w14:textFill>
        </w:rPr>
      </w:pPr>
      <w:bookmarkStart w:id="174" w:name="_Toc27132"/>
      <w:bookmarkStart w:id="175" w:name="_Toc25215"/>
      <w:bookmarkStart w:id="176" w:name="_Toc19740"/>
      <w:bookmarkStart w:id="177" w:name="_Toc61110796"/>
      <w:bookmarkStart w:id="178" w:name="_Toc29119"/>
      <w:bookmarkStart w:id="179" w:name="_Toc25369"/>
    </w:p>
    <w:p>
      <w:pPr>
        <w:rPr>
          <w:rFonts w:ascii="Times New Roman" w:hAnsi="Times New Roman"/>
        </w:rPr>
      </w:pPr>
    </w:p>
    <w:p>
      <w:pPr>
        <w:pStyle w:val="4"/>
        <w:keepNext w:val="0"/>
        <w:keepLines w:val="0"/>
        <w:spacing w:before="0" w:after="0" w:line="560" w:lineRule="exact"/>
        <w:jc w:val="center"/>
        <w:rPr>
          <w:rFonts w:ascii="Times New Roman" w:hAnsi="Times New Roman" w:eastAsia="黑体" w:cs="Times New Roman"/>
          <w:b w:val="0"/>
          <w:color w:val="000000" w:themeColor="text1"/>
          <w14:textFill>
            <w14:solidFill>
              <w14:schemeClr w14:val="tx1"/>
            </w14:solidFill>
          </w14:textFill>
        </w:rPr>
      </w:pPr>
      <w:bookmarkStart w:id="180" w:name="_Toc3056"/>
      <w:r>
        <w:rPr>
          <w:rFonts w:hint="eastAsia" w:ascii="Times New Roman" w:hAnsi="Times New Roman" w:eastAsia="黑体" w:cs="Times New Roman"/>
          <w:b w:val="0"/>
          <w:color w:val="000000" w:themeColor="text1"/>
          <w14:textFill>
            <w14:solidFill>
              <w14:schemeClr w14:val="tx1"/>
            </w14:solidFill>
          </w14:textFill>
        </w:rPr>
        <w:t>第八章  完善</w:t>
      </w:r>
      <w:bookmarkEnd w:id="174"/>
      <w:bookmarkEnd w:id="175"/>
      <w:r>
        <w:rPr>
          <w:rFonts w:hint="eastAsia" w:ascii="Times New Roman" w:hAnsi="Times New Roman" w:eastAsia="黑体" w:cs="Times New Roman"/>
          <w:b w:val="0"/>
          <w:color w:val="000000" w:themeColor="text1"/>
          <w14:textFill>
            <w14:solidFill>
              <w14:schemeClr w14:val="tx1"/>
            </w14:solidFill>
          </w14:textFill>
        </w:rPr>
        <w:t>基础建设 提升发展支撑</w:t>
      </w:r>
      <w:bookmarkEnd w:id="176"/>
      <w:bookmarkEnd w:id="177"/>
      <w:bookmarkEnd w:id="180"/>
    </w:p>
    <w:p>
      <w:pP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bookmarkStart w:id="181" w:name="_Toc57045011"/>
      <w:bookmarkStart w:id="182" w:name="_Toc57045107"/>
    </w:p>
    <w:p>
      <w:pP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color w:val="000000" w:themeColor="text1"/>
          <w:sz w:val="32"/>
          <w:szCs w:val="32"/>
          <w14:textFill>
            <w14:solidFill>
              <w14:schemeClr w14:val="tx1"/>
            </w14:solidFill>
          </w14:textFill>
        </w:rPr>
        <w:t>抓住交通强国建设和乡村振兴两个历史性机遇，坚持创新、协调、绿色、开放、共享的新发展理念，建设“四个交通”（综合交通、智慧交通、绿色交通和平安交通）。深入贯彻落实“精细化服务、精准化管理”的工作理念，推进“四好农村路”建设，为实现全域旅游提供坚实的交通运输保障。加速水利基础设施建设，新型基础设施建设和生活基础设施提质等。</w:t>
      </w:r>
    </w:p>
    <w:p>
      <w:pP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p>
    <w:p>
      <w:pPr>
        <w:pStyle w:val="5"/>
        <w:keepNext w:val="0"/>
        <w:keepLines w:val="0"/>
        <w:spacing w:before="0" w:after="0" w:line="560" w:lineRule="exact"/>
        <w:jc w:val="center"/>
        <w:rPr>
          <w:rFonts w:ascii="Times New Roman" w:hAnsi="Times New Roman" w:eastAsia="黑体"/>
          <w:b w:val="0"/>
          <w:color w:val="000000" w:themeColor="text1"/>
          <w14:textFill>
            <w14:solidFill>
              <w14:schemeClr w14:val="tx1"/>
            </w14:solidFill>
          </w14:textFill>
        </w:rPr>
      </w:pPr>
      <w:bookmarkStart w:id="183" w:name="_Toc15524"/>
      <w:bookmarkStart w:id="184" w:name="_Toc61110797"/>
      <w:bookmarkStart w:id="185" w:name="_Toc29519"/>
      <w:r>
        <w:rPr>
          <w:rFonts w:hint="eastAsia" w:ascii="Times New Roman" w:hAnsi="Times New Roman" w:eastAsia="黑体"/>
          <w:b w:val="0"/>
          <w:color w:val="000000" w:themeColor="text1"/>
          <w14:textFill>
            <w14:solidFill>
              <w14:schemeClr w14:val="tx1"/>
            </w14:solidFill>
          </w14:textFill>
        </w:rPr>
        <w:t>第一节  强化交通基础设施建设</w:t>
      </w:r>
      <w:bookmarkEnd w:id="181"/>
      <w:bookmarkEnd w:id="182"/>
      <w:bookmarkEnd w:id="183"/>
      <w:bookmarkEnd w:id="184"/>
      <w:bookmarkEnd w:id="185"/>
    </w:p>
    <w:p>
      <w:pPr>
        <w:spacing w:line="560" w:lineRule="exact"/>
        <w:ind w:firstLine="640" w:firstLineChars="200"/>
        <w:rPr>
          <w:rFonts w:ascii="Times New Roman" w:hAnsi="Times New Roman" w:eastAsia="仿宋_GB2312"/>
          <w:bCs/>
          <w:color w:val="000000" w:themeColor="text1"/>
          <w:sz w:val="32"/>
          <w:szCs w:val="32"/>
          <w14:textFill>
            <w14:solidFill>
              <w14:schemeClr w14:val="tx1"/>
            </w14:solidFill>
          </w14:textFill>
        </w:rPr>
      </w:pPr>
    </w:p>
    <w:p>
      <w:pPr>
        <w:spacing w:line="560" w:lineRule="exact"/>
        <w:ind w:firstLine="643"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b/>
          <w:color w:val="000000" w:themeColor="text1"/>
          <w:sz w:val="32"/>
          <w:szCs w:val="32"/>
          <w14:textFill>
            <w14:solidFill>
              <w14:schemeClr w14:val="tx1"/>
            </w14:solidFill>
          </w14:textFill>
        </w:rPr>
        <w:t>一、发挥大交通关键作用。</w:t>
      </w:r>
      <w:r>
        <w:rPr>
          <w:rFonts w:hint="eastAsia" w:ascii="Times New Roman" w:hAnsi="Times New Roman" w:eastAsia="仿宋_GB2312"/>
          <w:color w:val="000000" w:themeColor="text1"/>
          <w:sz w:val="32"/>
          <w:szCs w:val="32"/>
          <w14:textFill>
            <w14:solidFill>
              <w14:schemeClr w14:val="tx1"/>
            </w14:solidFill>
          </w14:textFill>
        </w:rPr>
        <w:t>因势而谋、开拓思路、创新举措，建设功能完善的综合交通网络，营造良好的建设发展环境，加快龙胜交通基础设施建设步伐，发挥交通先行的带动作用。</w:t>
      </w:r>
      <w:r>
        <w:rPr>
          <w:rFonts w:hint="eastAsia" w:ascii="Times New Roman" w:hAnsi="Times New Roman" w:eastAsia="仿宋_GB2312"/>
          <w:b/>
          <w:bCs/>
          <w:color w:val="000000" w:themeColor="text1"/>
          <w:sz w:val="32"/>
          <w:szCs w:val="32"/>
          <w14:textFill>
            <w14:solidFill>
              <w14:schemeClr w14:val="tx1"/>
            </w14:solidFill>
          </w14:textFill>
        </w:rPr>
        <w:t>一是</w:t>
      </w:r>
      <w:r>
        <w:rPr>
          <w:rFonts w:hint="eastAsia" w:ascii="Times New Roman" w:hAnsi="Times New Roman" w:eastAsia="仿宋_GB2312"/>
          <w:color w:val="000000" w:themeColor="text1"/>
          <w:sz w:val="32"/>
          <w:szCs w:val="32"/>
          <w14:textFill>
            <w14:solidFill>
              <w14:schemeClr w14:val="tx1"/>
            </w14:solidFill>
          </w14:textFill>
        </w:rPr>
        <w:t>做好龙胜外循环和内循环两大方面的交通建设，打通西南地区交通出海门户。争取张吉怀高铁南延至桂林（桂怀高铁）经过龙胜并设站点，串联鄂西、湘西、广西等地众多著名旅游风景区的黄金旅游线路，实现旅游产业和铁路运营效益共赢发展。</w:t>
      </w:r>
      <w:r>
        <w:rPr>
          <w:rFonts w:hint="eastAsia" w:ascii="Times New Roman" w:hAnsi="Times New Roman" w:eastAsia="仿宋_GB2312"/>
          <w:b/>
          <w:bCs/>
          <w:color w:val="000000" w:themeColor="text1"/>
          <w:sz w:val="32"/>
          <w:szCs w:val="32"/>
          <w14:textFill>
            <w14:solidFill>
              <w14:schemeClr w14:val="tx1"/>
            </w14:solidFill>
          </w14:textFill>
        </w:rPr>
        <w:t>二是</w:t>
      </w:r>
      <w:r>
        <w:rPr>
          <w:rFonts w:hint="eastAsia" w:ascii="Times New Roman" w:hAnsi="Times New Roman" w:eastAsia="仿宋_GB2312"/>
          <w:color w:val="000000" w:themeColor="text1"/>
          <w:sz w:val="32"/>
          <w:szCs w:val="32"/>
          <w14:textFill>
            <w14:solidFill>
              <w14:schemeClr w14:val="tx1"/>
            </w14:solidFill>
          </w14:textFill>
        </w:rPr>
        <w:t>重点抓好龙胜—峒中口岸高速公路（马堤芙蓉至县城段）、龙胜—峒中口岸高速公路（龙胜至融安段）、灌阳至湖南通道高速公路（江底至平等段）等重大交通项目建设，新增高速公路通车里程107公里，全县高速公路通车里程将累计达154公里以上。</w:t>
      </w:r>
      <w:r>
        <w:rPr>
          <w:rFonts w:hint="eastAsia" w:ascii="Times New Roman" w:hAnsi="Times New Roman" w:eastAsia="仿宋_GB2312"/>
          <w:b/>
          <w:bCs/>
          <w:color w:val="000000" w:themeColor="text1"/>
          <w:sz w:val="32"/>
          <w:szCs w:val="32"/>
          <w14:textFill>
            <w14:solidFill>
              <w14:schemeClr w14:val="tx1"/>
            </w14:solidFill>
          </w14:textFill>
        </w:rPr>
        <w:t>三是</w:t>
      </w:r>
      <w:r>
        <w:rPr>
          <w:rFonts w:hint="eastAsia" w:ascii="Times New Roman" w:hAnsi="Times New Roman" w:eastAsia="仿宋_GB2312"/>
          <w:color w:val="000000" w:themeColor="text1"/>
          <w:sz w:val="32"/>
          <w:szCs w:val="32"/>
          <w14:textFill>
            <w14:solidFill>
              <w14:schemeClr w14:val="tx1"/>
            </w14:solidFill>
          </w14:textFill>
        </w:rPr>
        <w:t>构建“全域旅游”互联互通的交通网络，加快推进瓢里至平等野牛坳公路、交洲至古坪矿区公路、龙脊旅游大环线公路、八滩至伟江二级公路等建设，推进与周边地区铁路、公路等基础设施互联互通，构建联通内外、安全通畅的交通网络。加大县乡交通、物流枢纽等新型基础设施投资力度，形成与龙胜县经济社会发展和各族人民美好生活水平相适应的交通网。到2025年对321国道高速路口至龙脊景区大门段，按一级公路标准扩宽改建，全长5.8公里；实施地方联网公路15条共334公里，以及实施江底乡、三门镇等乡镇绕城公路（二级路）建设。</w:t>
      </w:r>
    </w:p>
    <w:p>
      <w:pPr>
        <w:spacing w:line="560" w:lineRule="exact"/>
        <w:ind w:firstLine="643"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b/>
          <w:color w:val="000000" w:themeColor="text1"/>
          <w:sz w:val="32"/>
          <w:szCs w:val="32"/>
          <w14:textFill>
            <w14:solidFill>
              <w14:schemeClr w14:val="tx1"/>
            </w14:solidFill>
          </w14:textFill>
        </w:rPr>
        <w:t>二、发展城市公共交通事业。</w:t>
      </w:r>
      <w:r>
        <w:rPr>
          <w:rFonts w:hint="eastAsia" w:ascii="Times New Roman" w:hAnsi="Times New Roman" w:eastAsia="仿宋_GB2312"/>
          <w:color w:val="000000" w:themeColor="text1"/>
          <w:sz w:val="32"/>
          <w:szCs w:val="32"/>
          <w14:textFill>
            <w14:solidFill>
              <w14:schemeClr w14:val="tx1"/>
            </w14:solidFill>
          </w14:textFill>
        </w:rPr>
        <w:t>强化道路路网工程建设，发展公交系统和智能交通指挥系统。在旧城区改造和桑江北区加快公共停车系统建设，促进停车系统产业化发展。加快快速道路系统建设，加强次干路和支路改造建设，优化路网结构和功能，改善“微循环”系统，构筑等级合理的道路网络。加强路网交通系统智慧化建设，实现交通智能化管理。</w:t>
      </w:r>
    </w:p>
    <w:p>
      <w:pPr>
        <w:spacing w:line="560" w:lineRule="exact"/>
        <w:ind w:firstLine="643"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b/>
          <w:color w:val="000000" w:themeColor="text1"/>
          <w:sz w:val="32"/>
          <w:szCs w:val="32"/>
          <w14:textFill>
            <w14:solidFill>
              <w14:schemeClr w14:val="tx1"/>
            </w14:solidFill>
          </w14:textFill>
        </w:rPr>
        <w:t>三、提升城乡干线通达能力。</w:t>
      </w:r>
      <w:r>
        <w:rPr>
          <w:rFonts w:hint="eastAsia" w:ascii="Times New Roman" w:hAnsi="Times New Roman" w:eastAsia="仿宋_GB2312"/>
          <w:color w:val="000000" w:themeColor="text1"/>
          <w:sz w:val="32"/>
          <w:szCs w:val="32"/>
          <w14:textFill>
            <w14:solidFill>
              <w14:schemeClr w14:val="tx1"/>
            </w14:solidFill>
          </w14:textFill>
        </w:rPr>
        <w:t>完善县城对外运输通道，结合乡村振兴战略，科学统筹城乡线路，以“四好农村公路”建设为目标，推动“村村通硬化道路”建设项目基础上，向“组组通硬化道路”延伸，打通“最后一公里”；推进农村公路“改直加宽”及完善安全生命防护工程等建设，加快农村公路基础设施管护体制改革试点工作，推进“路长制”管养体系，确保安全畅通。推进龙胜生态旅游大环线建设，支持3A旅游景区通三级公路、4A以上旅游景区通二级路，提升全县旅游交通条件，打造一路一景、一村一特色等生态旅游扶贫公路路网，展现交通设施支撑龙胜县全域旅游效率之韵味。</w:t>
      </w:r>
    </w:p>
    <w:p>
      <w:pPr>
        <w:spacing w:line="560" w:lineRule="exact"/>
        <w:rPr>
          <w:rFonts w:ascii="Times New Roman" w:hAnsi="Times New Roman" w:eastAsia="仿宋"/>
          <w:b/>
          <w:bCs/>
          <w:color w:val="000000" w:themeColor="text1"/>
          <w:sz w:val="28"/>
          <w:szCs w:val="28"/>
          <w14:textFill>
            <w14:solidFill>
              <w14:schemeClr w14:val="tx1"/>
            </w14:solidFill>
          </w14:textFill>
        </w:rPr>
      </w:pPr>
      <w:r>
        <w:rPr>
          <w:rFonts w:hint="eastAsia" w:ascii="Times New Roman" w:hAnsi="Times New Roman" w:eastAsia="仿宋"/>
          <w:b/>
          <w:bCs/>
          <w:color w:val="000000" w:themeColor="text1"/>
          <w:sz w:val="28"/>
          <w:szCs w:val="28"/>
          <w14:textFill>
            <w14:solidFill>
              <w14:schemeClr w14:val="tx1"/>
            </w14:solidFill>
          </w14:textFill>
        </w:rPr>
        <w:br w:type="page"/>
      </w:r>
    </w:p>
    <w:p>
      <w:pPr>
        <w:adjustRightInd w:val="0"/>
        <w:snapToGrid w:val="0"/>
        <w:spacing w:line="520" w:lineRule="exact"/>
        <w:ind w:firstLine="643" w:firstLineChars="200"/>
        <w:jc w:val="center"/>
        <w:rPr>
          <w:rFonts w:ascii="Times New Roman" w:hAnsi="Times New Roman" w:eastAsia="仿宋_GB2312"/>
          <w:b/>
          <w:bCs/>
          <w:color w:val="000000" w:themeColor="text1"/>
          <w:sz w:val="32"/>
          <w:szCs w:val="32"/>
          <w14:textFill>
            <w14:solidFill>
              <w14:schemeClr w14:val="tx1"/>
            </w14:solidFill>
          </w14:textFill>
        </w:rPr>
      </w:pPr>
      <w:r>
        <w:rPr>
          <w:rFonts w:hint="eastAsia" w:ascii="Times New Roman" w:hAnsi="Times New Roman" w:eastAsia="仿宋_GB2312"/>
          <w:b/>
          <w:bCs/>
          <w:color w:val="000000" w:themeColor="text1"/>
          <w:sz w:val="32"/>
          <w:szCs w:val="32"/>
          <w14:textFill>
            <w14:solidFill>
              <w14:schemeClr w14:val="tx1"/>
            </w14:solidFill>
          </w14:textFill>
        </w:rPr>
        <w:t>专栏6 交通基础设施重大项目工程</w:t>
      </w:r>
      <w:bookmarkStart w:id="186" w:name="_Toc30211"/>
      <w:bookmarkStart w:id="187" w:name="_Toc24422"/>
      <w:bookmarkStart w:id="188" w:name="_Toc11874"/>
      <w:bookmarkStart w:id="189" w:name="_Toc57045012"/>
      <w:bookmarkStart w:id="190" w:name="_Toc18150"/>
      <w:bookmarkStart w:id="191" w:name="_Toc17656"/>
      <w:bookmarkStart w:id="192" w:name="_Toc57045108"/>
      <w:bookmarkStart w:id="193" w:name="_Toc61110798"/>
    </w:p>
    <w:p>
      <w:pPr>
        <w:adjustRightInd w:val="0"/>
        <w:snapToGrid w:val="0"/>
        <w:spacing w:line="520" w:lineRule="exact"/>
        <w:jc w:val="center"/>
        <w:rPr>
          <w:rFonts w:ascii="Times New Roman" w:hAnsi="Times New Roman" w:eastAsia="仿宋_GB2312"/>
          <w:color w:val="000000" w:themeColor="text1"/>
          <w14:textFill>
            <w14:solidFill>
              <w14:schemeClr w14:val="tx1"/>
            </w14:solidFill>
          </w14:textFill>
        </w:rPr>
      </w:pPr>
      <w:r>
        <w:rPr>
          <w:rFonts w:hint="eastAsia" w:ascii="Times New Roman" w:hAnsi="Times New Roman" w:eastAsia="仿宋_GB2312"/>
          <w:color w:val="000000" w:themeColor="text1"/>
          <w14:textFill>
            <w14:solidFill>
              <w14:schemeClr w14:val="tx1"/>
            </w14:solidFill>
          </w14:textFill>
        </w:rPr>
        <mc:AlternateContent>
          <mc:Choice Requires="wps">
            <w:drawing>
              <wp:anchor distT="0" distB="0" distL="114300" distR="114300" simplePos="0" relativeHeight="251669504" behindDoc="1" locked="0" layoutInCell="1" allowOverlap="1">
                <wp:simplePos x="0" y="0"/>
                <wp:positionH relativeFrom="margin">
                  <wp:posOffset>-27305</wp:posOffset>
                </wp:positionH>
                <wp:positionV relativeFrom="page">
                  <wp:posOffset>1447800</wp:posOffset>
                </wp:positionV>
                <wp:extent cx="5762625" cy="2781935"/>
                <wp:effectExtent l="4445" t="4445" r="5080" b="13970"/>
                <wp:wrapTopAndBottom/>
                <wp:docPr id="7" name="文本框 7"/>
                <wp:cNvGraphicFramePr/>
                <a:graphic xmlns:a="http://schemas.openxmlformats.org/drawingml/2006/main">
                  <a:graphicData uri="http://schemas.microsoft.com/office/word/2010/wordprocessingShape">
                    <wps:wsp>
                      <wps:cNvSpPr txBox="1"/>
                      <wps:spPr>
                        <a:xfrm>
                          <a:off x="0" y="0"/>
                          <a:ext cx="5762625" cy="278193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adjustRightInd w:val="0"/>
                              <w:spacing w:line="300" w:lineRule="auto"/>
                              <w:rPr>
                                <w:rFonts w:ascii="仿宋" w:hAnsi="仿宋" w:eastAsia="仿宋" w:cs="仿宋"/>
                                <w:b/>
                                <w:bCs/>
                                <w:sz w:val="24"/>
                              </w:rPr>
                            </w:pPr>
                            <w:r>
                              <w:rPr>
                                <w:rFonts w:hint="eastAsia" w:ascii="仿宋" w:hAnsi="仿宋" w:eastAsia="仿宋" w:cs="仿宋"/>
                                <w:b/>
                                <w:bCs/>
                                <w:sz w:val="24"/>
                              </w:rPr>
                              <w:t>1.高速铁路：</w:t>
                            </w:r>
                            <w:r>
                              <w:rPr>
                                <w:rFonts w:hint="eastAsia" w:ascii="仿宋" w:hAnsi="仿宋" w:eastAsia="仿宋" w:cs="仿宋"/>
                                <w:color w:val="000000"/>
                                <w:kern w:val="0"/>
                                <w:sz w:val="24"/>
                              </w:rPr>
                              <w:t>张吉怀高铁南延至桂林（怀桂高铁）客运专线项目。</w:t>
                            </w:r>
                          </w:p>
                          <w:p>
                            <w:pPr>
                              <w:pStyle w:val="31"/>
                              <w:spacing w:line="300" w:lineRule="auto"/>
                              <w:rPr>
                                <w:rFonts w:ascii="仿宋" w:hAnsi="仿宋" w:eastAsia="仿宋" w:cs="仿宋"/>
                              </w:rPr>
                            </w:pPr>
                            <w:r>
                              <w:rPr>
                                <w:rFonts w:ascii="仿宋" w:hAnsi="仿宋" w:eastAsia="仿宋" w:cs="仿宋"/>
                                <w:b/>
                                <w:bCs/>
                                <w:color w:val="auto"/>
                                <w:kern w:val="2"/>
                              </w:rPr>
                              <w:t>2</w:t>
                            </w:r>
                            <w:r>
                              <w:rPr>
                                <w:rFonts w:hint="eastAsia" w:ascii="仿宋" w:hAnsi="仿宋" w:eastAsia="仿宋" w:cs="仿宋"/>
                                <w:b/>
                                <w:bCs/>
                                <w:color w:val="auto"/>
                                <w:kern w:val="2"/>
                              </w:rPr>
                              <w:t>.高速公路：</w:t>
                            </w:r>
                            <w:r>
                              <w:rPr>
                                <w:rFonts w:hint="eastAsia" w:ascii="仿宋" w:hAnsi="仿宋" w:eastAsia="仿宋" w:cs="仿宋"/>
                                <w:color w:val="000000" w:themeColor="text1"/>
                                <w14:textFill>
                                  <w14:solidFill>
                                    <w14:schemeClr w14:val="tx1"/>
                                  </w14:solidFill>
                                </w14:textFill>
                              </w:rPr>
                              <w:t>龙胜-峒中口岸高速公路（马堤芙蓉至县城段）、龙胜-峒中口岸高速公路（龙胜至融安段）、灌阳至湖南通道高速公路（江底至平等段）。</w:t>
                            </w:r>
                          </w:p>
                          <w:p>
                            <w:pPr>
                              <w:pStyle w:val="31"/>
                              <w:spacing w:line="300" w:lineRule="auto"/>
                              <w:rPr>
                                <w:rFonts w:ascii="仿宋" w:hAnsi="仿宋" w:eastAsia="仿宋" w:cs="仿宋"/>
                              </w:rPr>
                            </w:pPr>
                            <w:r>
                              <w:rPr>
                                <w:rFonts w:ascii="仿宋" w:hAnsi="仿宋" w:eastAsia="仿宋" w:cs="仿宋"/>
                                <w:b/>
                                <w:bCs/>
                                <w:color w:val="auto"/>
                                <w:kern w:val="2"/>
                              </w:rPr>
                              <w:t>3</w:t>
                            </w:r>
                            <w:r>
                              <w:rPr>
                                <w:rFonts w:hint="eastAsia" w:ascii="仿宋" w:hAnsi="仿宋" w:eastAsia="仿宋" w:cs="仿宋"/>
                                <w:b/>
                                <w:bCs/>
                                <w:color w:val="auto"/>
                                <w:kern w:val="2"/>
                              </w:rPr>
                              <w:t>.其他公路交通设施：</w:t>
                            </w:r>
                            <w:r>
                              <w:rPr>
                                <w:rFonts w:hint="eastAsia" w:ascii="仿宋" w:hAnsi="仿宋" w:eastAsia="仿宋" w:cs="仿宋"/>
                              </w:rPr>
                              <w:t>龙胜县龙脊梯田风景名胜区大循环公路、龙胜县县城绕城公路、龙胜县生态旅游大环线公路、龙胜县瓢里至平等至野牛坳二级路、桂三高速公路龙胜县城段出口至龙脊景区大门一级公路、龙胜县瓢里交洲至区矿公路改建、龙胜县伟江潘寨至决支公路改造工程、龙胜县龙脊景区大门至大寨二级公路、龙胜县</w:t>
                            </w:r>
                            <w:r>
                              <w:rPr>
                                <w:rFonts w:hint="eastAsia" w:ascii="仿宋" w:hAnsi="仿宋" w:eastAsia="仿宋" w:cs="仿宋"/>
                                <w:color w:val="000000" w:themeColor="text1"/>
                                <w14:textFill>
                                  <w14:solidFill>
                                    <w14:schemeClr w14:val="tx1"/>
                                  </w14:solidFill>
                                </w14:textFill>
                              </w:rPr>
                              <w:t>龙甸</w:t>
                            </w:r>
                            <w:r>
                              <w:rPr>
                                <w:rFonts w:hint="eastAsia" w:ascii="仿宋" w:hAnsi="仿宋" w:eastAsia="仿宋" w:cs="仿宋"/>
                              </w:rPr>
                              <w:t>至伟江二级路、龙胜县江底渡江—彭祖坪—龙家公路改造工程、桂林市龙胜县江底至灵川青狮潭四级公路、龙胜县江底至兴安盐铺公路（龙胜段）、高速公路龙胜北出口至县城连接线（金龙桥至排坊）、龙胜县野牛坳—湖南二级路（小江）、龙胜县江底乡绕城公路、龙胜县三门镇绕城公路项目、马堤芙蓉横水至东升红军飞行会议旧址公路项目。</w:t>
                            </w:r>
                          </w:p>
                          <w:p>
                            <w:pPr>
                              <w:pStyle w:val="31"/>
                              <w:ind w:firstLine="562" w:firstLineChars="200"/>
                              <w:rPr>
                                <w:rFonts w:ascii="仿宋" w:hAnsi="仿宋" w:eastAsia="仿宋" w:cs="仿宋"/>
                                <w:b/>
                                <w:bCs/>
                                <w:color w:val="auto"/>
                                <w:kern w:val="2"/>
                                <w:sz w:val="28"/>
                                <w:szCs w:val="28"/>
                              </w:rPr>
                            </w:pPr>
                          </w:p>
                          <w:p>
                            <w:pPr>
                              <w:pStyle w:val="31"/>
                              <w:ind w:firstLine="562" w:firstLineChars="200"/>
                              <w:rPr>
                                <w:rFonts w:ascii="仿宋" w:hAnsi="仿宋" w:eastAsia="仿宋" w:cs="仿宋"/>
                                <w:b/>
                                <w:bCs/>
                                <w:color w:val="auto"/>
                                <w:kern w:val="2"/>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5pt;margin-top:114pt;height:219.05pt;width:453.75pt;mso-position-horizontal-relative:margin;mso-position-vertical-relative:page;mso-wrap-distance-bottom:0pt;mso-wrap-distance-top:0pt;z-index:-251646976;mso-width-relative:page;mso-height-relative:page;" filled="f" stroked="t" coordsize="21600,21600" o:gfxdata="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NXJJ3HbAAAA&#10;CgEAAA8AAAAAAAAAAQAgAAAAIgAAAGRycy9kb3ducmV2LnhtbFBLAQIUABQAAAAIAIdO4kC5pF7n&#10;UwIAAI8EAAAOAAAAAAAAAAEAIAAAACoBAABkcnMvZTJvRG9jLnhtbFBLBQYAAAAABgAGAFkBAADv&#10;BQAAAAA=&#10;">
                <v:fill on="f" focussize="0,0"/>
                <v:stroke weight="0.5pt" color="#000000 [3204]" joinstyle="round"/>
                <v:imagedata o:title=""/>
                <o:lock v:ext="edit" aspectratio="f"/>
                <v:textbox>
                  <w:txbxContent>
                    <w:p>
                      <w:pPr>
                        <w:adjustRightInd w:val="0"/>
                        <w:spacing w:line="300" w:lineRule="auto"/>
                        <w:rPr>
                          <w:rFonts w:ascii="仿宋" w:hAnsi="仿宋" w:eastAsia="仿宋" w:cs="仿宋"/>
                          <w:b/>
                          <w:bCs/>
                          <w:sz w:val="24"/>
                        </w:rPr>
                      </w:pPr>
                      <w:r>
                        <w:rPr>
                          <w:rFonts w:hint="eastAsia" w:ascii="仿宋" w:hAnsi="仿宋" w:eastAsia="仿宋" w:cs="仿宋"/>
                          <w:b/>
                          <w:bCs/>
                          <w:sz w:val="24"/>
                        </w:rPr>
                        <w:t>1.高速铁路：</w:t>
                      </w:r>
                      <w:r>
                        <w:rPr>
                          <w:rFonts w:hint="eastAsia" w:ascii="仿宋" w:hAnsi="仿宋" w:eastAsia="仿宋" w:cs="仿宋"/>
                          <w:color w:val="000000"/>
                          <w:kern w:val="0"/>
                          <w:sz w:val="24"/>
                        </w:rPr>
                        <w:t>张吉怀高铁南延至桂林（怀桂高铁）客运专线项目。</w:t>
                      </w:r>
                    </w:p>
                    <w:p>
                      <w:pPr>
                        <w:pStyle w:val="31"/>
                        <w:spacing w:line="300" w:lineRule="auto"/>
                        <w:rPr>
                          <w:rFonts w:ascii="仿宋" w:hAnsi="仿宋" w:eastAsia="仿宋" w:cs="仿宋"/>
                        </w:rPr>
                      </w:pPr>
                      <w:r>
                        <w:rPr>
                          <w:rFonts w:ascii="仿宋" w:hAnsi="仿宋" w:eastAsia="仿宋" w:cs="仿宋"/>
                          <w:b/>
                          <w:bCs/>
                          <w:color w:val="auto"/>
                          <w:kern w:val="2"/>
                        </w:rPr>
                        <w:t>2</w:t>
                      </w:r>
                      <w:r>
                        <w:rPr>
                          <w:rFonts w:hint="eastAsia" w:ascii="仿宋" w:hAnsi="仿宋" w:eastAsia="仿宋" w:cs="仿宋"/>
                          <w:b/>
                          <w:bCs/>
                          <w:color w:val="auto"/>
                          <w:kern w:val="2"/>
                        </w:rPr>
                        <w:t>.高速公路：</w:t>
                      </w:r>
                      <w:r>
                        <w:rPr>
                          <w:rFonts w:hint="eastAsia" w:ascii="仿宋" w:hAnsi="仿宋" w:eastAsia="仿宋" w:cs="仿宋"/>
                          <w:color w:val="000000" w:themeColor="text1"/>
                          <w14:textFill>
                            <w14:solidFill>
                              <w14:schemeClr w14:val="tx1"/>
                            </w14:solidFill>
                          </w14:textFill>
                        </w:rPr>
                        <w:t>龙胜-峒中口岸高速公路（马堤芙蓉至县城段）、龙胜-峒中口岸高速公路（龙胜至融安段）、灌阳至湖南通道高速公路（江底至平等段）。</w:t>
                      </w:r>
                    </w:p>
                    <w:p>
                      <w:pPr>
                        <w:pStyle w:val="31"/>
                        <w:spacing w:line="300" w:lineRule="auto"/>
                        <w:rPr>
                          <w:rFonts w:ascii="仿宋" w:hAnsi="仿宋" w:eastAsia="仿宋" w:cs="仿宋"/>
                        </w:rPr>
                      </w:pPr>
                      <w:r>
                        <w:rPr>
                          <w:rFonts w:ascii="仿宋" w:hAnsi="仿宋" w:eastAsia="仿宋" w:cs="仿宋"/>
                          <w:b/>
                          <w:bCs/>
                          <w:color w:val="auto"/>
                          <w:kern w:val="2"/>
                        </w:rPr>
                        <w:t>3</w:t>
                      </w:r>
                      <w:r>
                        <w:rPr>
                          <w:rFonts w:hint="eastAsia" w:ascii="仿宋" w:hAnsi="仿宋" w:eastAsia="仿宋" w:cs="仿宋"/>
                          <w:b/>
                          <w:bCs/>
                          <w:color w:val="auto"/>
                          <w:kern w:val="2"/>
                        </w:rPr>
                        <w:t>.其他公路交通设施：</w:t>
                      </w:r>
                      <w:r>
                        <w:rPr>
                          <w:rFonts w:hint="eastAsia" w:ascii="仿宋" w:hAnsi="仿宋" w:eastAsia="仿宋" w:cs="仿宋"/>
                        </w:rPr>
                        <w:t>龙胜县龙脊梯田风景名胜区大循环公路、龙胜县县城绕城公路、龙胜县生态旅游大环线公路、龙胜县瓢里至平等至野牛坳二级路、桂三高速公路龙胜县城段出口至龙脊景区大门一级公路、龙胜县瓢里交洲至区矿公路改建、龙胜县伟江潘寨至决支公路改造工程、龙胜县龙脊景区大门至大寨二级公路、龙胜县</w:t>
                      </w:r>
                      <w:r>
                        <w:rPr>
                          <w:rFonts w:hint="eastAsia" w:ascii="仿宋" w:hAnsi="仿宋" w:eastAsia="仿宋" w:cs="仿宋"/>
                          <w:color w:val="000000" w:themeColor="text1"/>
                          <w14:textFill>
                            <w14:solidFill>
                              <w14:schemeClr w14:val="tx1"/>
                            </w14:solidFill>
                          </w14:textFill>
                        </w:rPr>
                        <w:t>龙甸</w:t>
                      </w:r>
                      <w:r>
                        <w:rPr>
                          <w:rFonts w:hint="eastAsia" w:ascii="仿宋" w:hAnsi="仿宋" w:eastAsia="仿宋" w:cs="仿宋"/>
                        </w:rPr>
                        <w:t>至伟江二级路、龙胜县江底渡江—彭祖坪—龙家公路改造工程、桂林市龙胜县江底至灵川青狮潭四级公路、龙胜县江底至兴安盐铺公路（龙胜段）、高速公路龙胜北出口至县城连接线（金龙桥至排坊）、龙胜县野牛坳—湖南二级路（小江）、龙胜县江底乡绕城公路、龙胜县三门镇绕城公路项目、马堤芙蓉横水至东升红军飞行会议旧址公路项目。</w:t>
                      </w:r>
                    </w:p>
                    <w:p>
                      <w:pPr>
                        <w:pStyle w:val="31"/>
                        <w:ind w:firstLine="562" w:firstLineChars="200"/>
                        <w:rPr>
                          <w:rFonts w:ascii="仿宋" w:hAnsi="仿宋" w:eastAsia="仿宋" w:cs="仿宋"/>
                          <w:b/>
                          <w:bCs/>
                          <w:color w:val="auto"/>
                          <w:kern w:val="2"/>
                          <w:sz w:val="28"/>
                          <w:szCs w:val="28"/>
                        </w:rPr>
                      </w:pPr>
                    </w:p>
                    <w:p>
                      <w:pPr>
                        <w:pStyle w:val="31"/>
                        <w:ind w:firstLine="562" w:firstLineChars="200"/>
                        <w:rPr>
                          <w:rFonts w:ascii="仿宋" w:hAnsi="仿宋" w:eastAsia="仿宋" w:cs="仿宋"/>
                          <w:b/>
                          <w:bCs/>
                          <w:color w:val="auto"/>
                          <w:kern w:val="2"/>
                          <w:sz w:val="28"/>
                          <w:szCs w:val="28"/>
                        </w:rPr>
                      </w:pPr>
                    </w:p>
                  </w:txbxContent>
                </v:textbox>
                <w10:wrap type="topAndBottom"/>
              </v:shape>
            </w:pict>
          </mc:Fallback>
        </mc:AlternateContent>
      </w:r>
    </w:p>
    <w:p>
      <w:pPr>
        <w:jc w:val="center"/>
        <w:rPr>
          <w:rFonts w:ascii="Times New Roman" w:hAnsi="Times New Roman"/>
          <w:b/>
          <w:bCs/>
          <w:color w:val="000000" w:themeColor="text1"/>
          <w:sz w:val="22"/>
          <w:szCs w:val="28"/>
          <w14:textFill>
            <w14:solidFill>
              <w14:schemeClr w14:val="tx1"/>
            </w14:solidFill>
          </w14:textFill>
        </w:rPr>
      </w:pPr>
      <w:r>
        <w:rPr>
          <w:rFonts w:hint="eastAsia" w:ascii="Times New Roman" w:hAnsi="Times New Roman" w:eastAsia="仿宋_GB2312"/>
          <w:b/>
          <w:bCs/>
          <w:color w:val="000000" w:themeColor="text1"/>
          <w:sz w:val="36"/>
          <w:szCs w:val="28"/>
          <w14:textFill>
            <w14:solidFill>
              <w14:schemeClr w14:val="tx1"/>
            </w14:solidFill>
          </w14:textFill>
        </w:rPr>
        <w:t>龙胜县高铁、高速公路示意图</w:t>
      </w:r>
    </w:p>
    <w:p>
      <w:pPr>
        <w:jc w:val="center"/>
        <w:rPr>
          <w:rFonts w:ascii="Times New Roman" w:hAnsi="Times New Roman" w:eastAsia="黑体"/>
          <w:b/>
          <w:bCs/>
          <w:color w:val="000000" w:themeColor="text1"/>
          <w:sz w:val="32"/>
          <w:szCs w:val="32"/>
          <w14:textFill>
            <w14:solidFill>
              <w14:schemeClr w14:val="tx1"/>
            </w14:solidFill>
          </w14:textFill>
        </w:rPr>
      </w:pPr>
      <w:r>
        <w:rPr>
          <w:rFonts w:hint="eastAsia" w:ascii="Times New Roman" w:hAnsi="Times New Roman" w:eastAsia="黑体"/>
          <w:b/>
          <w:bCs/>
          <w:color w:val="000000" w:themeColor="text1"/>
          <w:sz w:val="32"/>
          <w:szCs w:val="32"/>
          <w14:textFill>
            <w14:solidFill>
              <w14:schemeClr w14:val="tx1"/>
            </w14:solidFill>
          </w14:textFill>
        </w:rPr>
        <w:drawing>
          <wp:inline distT="0" distB="0" distL="114300" distR="114300">
            <wp:extent cx="5718175" cy="4692015"/>
            <wp:effectExtent l="0" t="0" r="15875" b="13335"/>
            <wp:docPr id="8" name="图片 8" descr="5bb700a69253ed178b12770a10a8b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bb700a69253ed178b12770a10a8bf2"/>
                    <pic:cNvPicPr>
                      <a:picLocks noChangeAspect="1"/>
                    </pic:cNvPicPr>
                  </pic:nvPicPr>
                  <pic:blipFill>
                    <a:blip r:embed="rId12"/>
                    <a:srcRect t="4173"/>
                    <a:stretch>
                      <a:fillRect/>
                    </a:stretch>
                  </pic:blipFill>
                  <pic:spPr>
                    <a:xfrm>
                      <a:off x="0" y="0"/>
                      <a:ext cx="5718175" cy="4692015"/>
                    </a:xfrm>
                    <a:prstGeom prst="rect">
                      <a:avLst/>
                    </a:prstGeom>
                  </pic:spPr>
                </pic:pic>
              </a:graphicData>
            </a:graphic>
          </wp:inline>
        </w:drawing>
      </w:r>
    </w:p>
    <w:p>
      <w:pPr>
        <w:pStyle w:val="5"/>
        <w:keepNext w:val="0"/>
        <w:keepLines w:val="0"/>
        <w:spacing w:before="0" w:after="0" w:line="560" w:lineRule="exact"/>
        <w:jc w:val="center"/>
        <w:rPr>
          <w:rFonts w:ascii="Times New Roman" w:hAnsi="Times New Roman" w:eastAsia="黑体"/>
          <w:b w:val="0"/>
          <w:color w:val="000000" w:themeColor="text1"/>
          <w14:textFill>
            <w14:solidFill>
              <w14:schemeClr w14:val="tx1"/>
            </w14:solidFill>
          </w14:textFill>
        </w:rPr>
      </w:pPr>
      <w:bookmarkStart w:id="194" w:name="_Toc15842"/>
      <w:r>
        <w:rPr>
          <w:rFonts w:hint="eastAsia" w:ascii="Times New Roman" w:hAnsi="Times New Roman" w:eastAsia="黑体"/>
          <w:b w:val="0"/>
          <w:color w:val="000000" w:themeColor="text1"/>
          <w14:textFill>
            <w14:solidFill>
              <w14:schemeClr w14:val="tx1"/>
            </w14:solidFill>
          </w14:textFill>
        </w:rPr>
        <w:t>第二节  补齐水利设施建设短板</w:t>
      </w:r>
      <w:bookmarkEnd w:id="186"/>
      <w:bookmarkEnd w:id="187"/>
      <w:bookmarkEnd w:id="188"/>
      <w:bookmarkEnd w:id="189"/>
      <w:bookmarkEnd w:id="190"/>
      <w:bookmarkEnd w:id="191"/>
      <w:bookmarkEnd w:id="192"/>
      <w:bookmarkEnd w:id="193"/>
      <w:bookmarkEnd w:id="194"/>
    </w:p>
    <w:p>
      <w:pP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p>
    <w:p>
      <w:pP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color w:val="000000" w:themeColor="text1"/>
          <w:sz w:val="32"/>
          <w:szCs w:val="32"/>
          <w14:textFill>
            <w14:solidFill>
              <w14:schemeClr w14:val="tx1"/>
            </w14:solidFill>
          </w14:textFill>
        </w:rPr>
        <w:t>做好水源地保护、水土流失综合治理、农村饮水安全、中小河流治理、水资源保护等工作。</w:t>
      </w:r>
    </w:p>
    <w:p>
      <w:pP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color w:val="000000" w:themeColor="text1"/>
          <w:sz w:val="32"/>
          <w:szCs w:val="32"/>
          <w14:textFill>
            <w14:solidFill>
              <w14:schemeClr w14:val="tx1"/>
            </w14:solidFill>
          </w14:textFill>
        </w:rPr>
        <w:t>一、加快乡镇应急备用水源等水资源工程建设，强化水资源配置能力和水安全保障能力。加强水生态保护与修复，加快中小河流治理、水源地保护建设，统筹推进山洪沟治理、重点涝区治理、农村水电增效扩容改造、小流域水土保持、水环境综合治理及水毁河堤修复等工程建设，完善防洪减灾体系，提升全县防汛减灾能力。</w:t>
      </w:r>
    </w:p>
    <w:p>
      <w:pP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楷体_GB2312"/>
          <w:color w:val="000000" w:themeColor="text1"/>
          <w:sz w:val="32"/>
          <w:szCs w:val="32"/>
          <w14:textFill>
            <w14:solidFill>
              <w14:schemeClr w14:val="tx1"/>
            </w14:solidFill>
          </w14:textFill>
        </w:rPr>
        <w:t>二、</w:t>
      </w:r>
      <w:r>
        <w:rPr>
          <w:rFonts w:hint="eastAsia" w:ascii="Times New Roman" w:hAnsi="Times New Roman" w:eastAsia="仿宋_GB2312"/>
          <w:color w:val="000000" w:themeColor="text1"/>
          <w:sz w:val="32"/>
          <w:szCs w:val="32"/>
          <w14:textFill>
            <w14:solidFill>
              <w14:schemeClr w14:val="tx1"/>
            </w14:solidFill>
          </w14:textFill>
        </w:rPr>
        <w:t>加强乡（镇）、农村高标准自来水水厂建设，以城乡供水一体化、规模化建设为重点，推进农村供水工程提标升级。采取“抓两头带中间”的方式，“建大、并中、减小”，着力构建“一乡（镇）一网”、“多村一网”的农村供水格局，建立完善“从源头到龙头”的农村供水体系和管理体系，实现乡（镇）、农村饮水工程标准化、智能化、企业化建设管理，进一步提升供水保障水平。</w:t>
      </w:r>
    </w:p>
    <w:p>
      <w:pP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楷体_GB2312"/>
          <w:color w:val="000000" w:themeColor="text1"/>
          <w:sz w:val="32"/>
          <w:szCs w:val="32"/>
          <w14:textFill>
            <w14:solidFill>
              <w14:schemeClr w14:val="tx1"/>
            </w14:solidFill>
          </w14:textFill>
        </w:rPr>
        <w:t>三、</w:t>
      </w:r>
      <w:r>
        <w:rPr>
          <w:rFonts w:hint="eastAsia" w:ascii="Times New Roman" w:hAnsi="Times New Roman" w:eastAsia="仿宋_GB2312"/>
          <w:color w:val="000000" w:themeColor="text1"/>
          <w:sz w:val="32"/>
          <w:szCs w:val="32"/>
          <w14:textFill>
            <w14:solidFill>
              <w14:schemeClr w14:val="tx1"/>
            </w14:solidFill>
          </w14:textFill>
        </w:rPr>
        <w:t>加强水利行业监管设施体系建设。主要完善河流管理范围确权划界、增加信息化管理设施，完善河长制信息化管理系统平台；“空天地”一体化监测监控体系；加强农村饮水安全运行管理指导和监管及基层水利服务体系建设；加强山洪灾害防治系统运行维护，基层防汛抗旱组织体系建设，水利水电工程质量与安全管理能力建设；组织开展水利业务培训和水利行政法规宣传、教育等。建立水资源保护体系、水生态环境保护体系和水利发展服务体系，建设节水型社会，为全县经济建设和乡村振兴提供强有力的水利支撑。</w:t>
      </w:r>
    </w:p>
    <w:p>
      <w:pP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楷体_GB2312"/>
          <w:color w:val="000000" w:themeColor="text1"/>
          <w:sz w:val="32"/>
          <w:szCs w:val="32"/>
          <w14:textFill>
            <w14:solidFill>
              <w14:schemeClr w14:val="tx1"/>
            </w14:solidFill>
          </w14:textFill>
        </w:rPr>
        <w:t>四、</w:t>
      </w:r>
      <w:r>
        <w:rPr>
          <w:rFonts w:hint="eastAsia" w:ascii="Times New Roman" w:hAnsi="Times New Roman" w:eastAsia="仿宋_GB2312"/>
          <w:color w:val="000000" w:themeColor="text1"/>
          <w:sz w:val="32"/>
          <w:szCs w:val="32"/>
          <w14:textFill>
            <w14:solidFill>
              <w14:schemeClr w14:val="tx1"/>
            </w14:solidFill>
          </w14:textFill>
        </w:rPr>
        <w:t>积极推行智慧水利建设，提升水安全保障能力，促进水利事业发展。到2025年，治理中小河流河长达到52km以上，新建防洪堤、护岸分别达到9km、45km以上，河道疏浚48km，治理山洪沟17km，重点涝区治理沟渠50km。对全县9个乡镇集镇区域建造应急备用水源，补充乡镇应急备用日供水量500m</w:t>
      </w:r>
      <w:r>
        <w:rPr>
          <w:rFonts w:hint="eastAsia" w:ascii="Times New Roman" w:hAnsi="Times New Roman" w:eastAsia="仿宋_GB2312"/>
          <w:color w:val="000000" w:themeColor="text1"/>
          <w:sz w:val="32"/>
          <w:szCs w:val="32"/>
          <w:vertAlign w:val="superscript"/>
          <w14:textFill>
            <w14:solidFill>
              <w14:schemeClr w14:val="tx1"/>
            </w14:solidFill>
          </w14:textFill>
        </w:rPr>
        <w:t>3</w:t>
      </w:r>
      <w:r>
        <w:rPr>
          <w:rFonts w:hint="eastAsia" w:ascii="Times New Roman" w:hAnsi="Times New Roman" w:eastAsia="仿宋_GB2312"/>
          <w:color w:val="000000" w:themeColor="text1"/>
          <w:sz w:val="32"/>
          <w:szCs w:val="32"/>
          <w14:textFill>
            <w14:solidFill>
              <w14:schemeClr w14:val="tx1"/>
            </w14:solidFill>
          </w14:textFill>
        </w:rPr>
        <w:t>；继续推广集中式规模供水，提高农村集中供水率和自来水普及率，提高农村群众的用水方便程度，进而提升农村生活环境卫生质量。加大实施农田水利水源设施及引水干渠建设等，补齐灌溉基础设施，调节和改良农田水分布和地区农田水利条件，使之满足农业生产发展的需要，促进农业增产与农民增收。农村水电增效扩容装机容量4870千瓦。实施9个生态清洁型小流域建设封育治理。实施生态护岸、截污管道、水源地保护、修复水毁护岸、水域岸线整治、水生态修复河等工程。</w:t>
      </w:r>
    </w:p>
    <w:p>
      <w:pPr>
        <w:pStyle w:val="31"/>
        <w:autoSpaceDE/>
        <w:autoSpaceDN/>
        <w:adjustRightInd/>
        <w:spacing w:line="560" w:lineRule="exact"/>
        <w:jc w:val="center"/>
        <w:rPr>
          <w:rFonts w:ascii="Times New Roman" w:hAnsi="Times New Roman" w:eastAsia="仿宋_GB2312"/>
          <w:b/>
          <w:bCs/>
          <w:color w:val="000000" w:themeColor="text1"/>
          <w:sz w:val="32"/>
          <w:szCs w:val="32"/>
          <w14:textFill>
            <w14:solidFill>
              <w14:schemeClr w14:val="tx1"/>
            </w14:solidFill>
          </w14:textFill>
        </w:rPr>
      </w:pPr>
      <w:r>
        <w:rPr>
          <w:rFonts w:hint="eastAsia" w:ascii="Times New Roman" w:hAnsi="Times New Roman" w:eastAsia="仿宋_GB2312"/>
          <w:b/>
          <w:bCs/>
          <w:color w:val="000000" w:themeColor="text1"/>
          <w:sz w:val="32"/>
          <w:szCs w:val="32"/>
          <w14:textFill>
            <w14:solidFill>
              <w14:schemeClr w14:val="tx1"/>
            </w14:solidFill>
          </w14:textFill>
        </w:rPr>
        <w:t>专栏7  水利基础设施重大项目工程</w:t>
      </w:r>
    </w:p>
    <w:tbl>
      <w:tblPr>
        <w:tblStyle w:val="23"/>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1" w:type="dxa"/>
          </w:tcPr>
          <w:p>
            <w:pPr>
              <w:adjustRightInd w:val="0"/>
              <w:snapToGrid w:val="0"/>
              <w:spacing w:line="300" w:lineRule="auto"/>
              <w:rPr>
                <w:rFonts w:ascii="Times New Roman" w:hAnsi="Times New Roman" w:eastAsia="仿宋_GB2312"/>
                <w:color w:val="000000" w:themeColor="text1"/>
                <w:sz w:val="24"/>
                <w14:textFill>
                  <w14:solidFill>
                    <w14:schemeClr w14:val="tx1"/>
                  </w14:solidFill>
                </w14:textFill>
              </w:rPr>
            </w:pPr>
            <w:bookmarkStart w:id="195" w:name="_Toc57045109"/>
            <w:bookmarkStart w:id="196" w:name="_Toc57045013"/>
            <w:bookmarkStart w:id="197" w:name="_Toc20679"/>
            <w:bookmarkStart w:id="198" w:name="_Toc23936"/>
            <w:bookmarkStart w:id="199" w:name="_Toc21883"/>
            <w:bookmarkStart w:id="200" w:name="_Toc17539"/>
            <w:bookmarkStart w:id="201" w:name="_Toc28457"/>
            <w:bookmarkStart w:id="202" w:name="_Toc61110799"/>
            <w:r>
              <w:rPr>
                <w:rFonts w:hint="eastAsia" w:ascii="Times New Roman" w:hAnsi="Times New Roman" w:eastAsia="仿宋_GB2312"/>
                <w:b/>
                <w:bCs/>
                <w:color w:val="000000" w:themeColor="text1"/>
                <w:sz w:val="24"/>
                <w14:textFill>
                  <w14:solidFill>
                    <w14:schemeClr w14:val="tx1"/>
                  </w14:solidFill>
                </w14:textFill>
              </w:rPr>
              <w:t>1.中小河流治理：</w:t>
            </w:r>
            <w:r>
              <w:rPr>
                <w:rFonts w:hint="eastAsia" w:ascii="Times New Roman" w:hAnsi="Times New Roman" w:eastAsia="仿宋_GB2312"/>
                <w:color w:val="000000" w:themeColor="text1"/>
                <w:sz w:val="24"/>
                <w14:textFill>
                  <w14:solidFill>
                    <w14:schemeClr w14:val="tx1"/>
                  </w14:solidFill>
                </w14:textFill>
              </w:rPr>
              <w:t>龙胜县中小河流治理、龙胜县流域河道疏浚项目。</w:t>
            </w:r>
          </w:p>
          <w:p>
            <w:pPr>
              <w:adjustRightInd w:val="0"/>
              <w:snapToGrid w:val="0"/>
              <w:spacing w:line="300" w:lineRule="auto"/>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b/>
                <w:bCs/>
                <w:color w:val="000000" w:themeColor="text1"/>
                <w:sz w:val="24"/>
                <w14:textFill>
                  <w14:solidFill>
                    <w14:schemeClr w14:val="tx1"/>
                  </w14:solidFill>
                </w14:textFill>
              </w:rPr>
              <w:t>2.山洪灾害防治：</w:t>
            </w:r>
            <w:r>
              <w:rPr>
                <w:rFonts w:hint="eastAsia" w:ascii="Times New Roman" w:hAnsi="Times New Roman" w:eastAsia="仿宋_GB2312"/>
                <w:color w:val="000000" w:themeColor="text1"/>
                <w:sz w:val="24"/>
                <w14:textFill>
                  <w14:solidFill>
                    <w14:schemeClr w14:val="tx1"/>
                  </w14:solidFill>
                </w14:textFill>
              </w:rPr>
              <w:t>龙胜县山洪沟防治治理项目。</w:t>
            </w:r>
          </w:p>
          <w:p>
            <w:pPr>
              <w:adjustRightInd w:val="0"/>
              <w:snapToGrid w:val="0"/>
              <w:spacing w:line="300" w:lineRule="auto"/>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b/>
                <w:bCs/>
                <w:color w:val="000000" w:themeColor="text1"/>
                <w:sz w:val="24"/>
                <w14:textFill>
                  <w14:solidFill>
                    <w14:schemeClr w14:val="tx1"/>
                  </w14:solidFill>
                </w14:textFill>
              </w:rPr>
              <w:t>3.重点涝区治理：</w:t>
            </w:r>
            <w:r>
              <w:rPr>
                <w:rFonts w:hint="eastAsia" w:ascii="Times New Roman" w:hAnsi="Times New Roman" w:eastAsia="仿宋_GB2312"/>
                <w:color w:val="000000" w:themeColor="text1"/>
                <w:sz w:val="24"/>
                <w14:textFill>
                  <w14:solidFill>
                    <w14:schemeClr w14:val="tx1"/>
                  </w14:solidFill>
                </w14:textFill>
              </w:rPr>
              <w:t>龙胜县重点涝区治理项目。</w:t>
            </w:r>
          </w:p>
          <w:p>
            <w:pPr>
              <w:adjustRightInd w:val="0"/>
              <w:snapToGrid w:val="0"/>
              <w:spacing w:line="300" w:lineRule="auto"/>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b/>
                <w:bCs/>
                <w:color w:val="000000" w:themeColor="text1"/>
                <w:sz w:val="24"/>
                <w14:textFill>
                  <w14:solidFill>
                    <w14:schemeClr w14:val="tx1"/>
                  </w14:solidFill>
                </w14:textFill>
              </w:rPr>
              <w:t>4.水</w:t>
            </w:r>
            <w:r>
              <w:rPr>
                <w:rFonts w:hint="eastAsia" w:ascii="Times New Roman" w:hAnsi="Times New Roman" w:eastAsia="仿宋_GB2312"/>
                <w:b/>
                <w:bCs/>
                <w:color w:val="000000" w:themeColor="text1"/>
                <w:sz w:val="24"/>
                <w:lang w:eastAsia="zh-CN"/>
                <w14:textFill>
                  <w14:solidFill>
                    <w14:schemeClr w14:val="tx1"/>
                  </w14:solidFill>
                </w14:textFill>
              </w:rPr>
              <w:t>资源配置</w:t>
            </w:r>
            <w:r>
              <w:rPr>
                <w:rFonts w:hint="eastAsia" w:ascii="Times New Roman" w:hAnsi="Times New Roman" w:eastAsia="仿宋_GB2312"/>
                <w:color w:val="000000" w:themeColor="text1"/>
                <w:sz w:val="24"/>
                <w14:textFill>
                  <w14:solidFill>
                    <w14:schemeClr w14:val="tx1"/>
                  </w14:solidFill>
                </w14:textFill>
              </w:rPr>
              <w:t>：龙胜县乡（镇）应急备用水源项目。</w:t>
            </w:r>
          </w:p>
          <w:p>
            <w:pPr>
              <w:adjustRightInd w:val="0"/>
              <w:snapToGrid w:val="0"/>
              <w:spacing w:line="300" w:lineRule="auto"/>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b/>
                <w:bCs/>
                <w:color w:val="000000" w:themeColor="text1"/>
                <w:sz w:val="24"/>
                <w14:textFill>
                  <w14:solidFill>
                    <w14:schemeClr w14:val="tx1"/>
                  </w14:solidFill>
                </w14:textFill>
              </w:rPr>
              <w:t>5.农村水利：</w:t>
            </w:r>
            <w:r>
              <w:rPr>
                <w:rFonts w:hint="eastAsia" w:ascii="Times New Roman" w:hAnsi="Times New Roman" w:eastAsia="仿宋_GB2312"/>
                <w:color w:val="000000" w:themeColor="text1"/>
                <w:sz w:val="24"/>
                <w14:textFill>
                  <w14:solidFill>
                    <w14:schemeClr w14:val="tx1"/>
                  </w14:solidFill>
                </w14:textFill>
              </w:rPr>
              <w:t>龙胜县农村饮水安全巩固提升项目、龙胜县农田水利蓄水灌溉及引水干渠配套项目、龙胜县农村水电增效扩容改造项目。</w:t>
            </w:r>
          </w:p>
          <w:p>
            <w:pPr>
              <w:adjustRightInd w:val="0"/>
              <w:snapToGrid w:val="0"/>
              <w:spacing w:line="300" w:lineRule="auto"/>
              <w:rPr>
                <w:rFonts w:ascii="Times New Roman" w:hAnsi="Times New Roman" w:eastAsia="仿宋_GB2312"/>
                <w:color w:val="000000" w:themeColor="text1"/>
                <w:sz w:val="24"/>
                <w14:textFill>
                  <w14:solidFill>
                    <w14:schemeClr w14:val="tx1"/>
                  </w14:solidFill>
                </w14:textFill>
              </w:rPr>
            </w:pPr>
            <w:r>
              <w:rPr>
                <w:rFonts w:hint="eastAsia" w:ascii="Times New Roman" w:hAnsi="Times New Roman" w:eastAsia="仿宋_GB2312"/>
                <w:b/>
                <w:bCs/>
                <w:color w:val="000000" w:themeColor="text1"/>
                <w:sz w:val="24"/>
                <w14:textFill>
                  <w14:solidFill>
                    <w14:schemeClr w14:val="tx1"/>
                  </w14:solidFill>
                </w14:textFill>
              </w:rPr>
              <w:t>6.水资源保护与河湖生态修复：</w:t>
            </w:r>
            <w:r>
              <w:rPr>
                <w:rFonts w:hint="eastAsia" w:ascii="Times New Roman" w:hAnsi="Times New Roman" w:eastAsia="仿宋_GB2312"/>
                <w:color w:val="000000" w:themeColor="text1"/>
                <w:sz w:val="24"/>
                <w14:textFill>
                  <w14:solidFill>
                    <w14:schemeClr w14:val="tx1"/>
                  </w14:solidFill>
                </w14:textFill>
              </w:rPr>
              <w:t>龙胜县小流域水土流失综合治理项目、龙胜县水毁修复项目、龙胜县水域岸线整治保护项目、龙胜县水生态修复项目。</w:t>
            </w:r>
          </w:p>
          <w:p>
            <w:pPr>
              <w:adjustRightInd w:val="0"/>
              <w:snapToGrid w:val="0"/>
              <w:spacing w:line="300" w:lineRule="auto"/>
              <w:rPr>
                <w:rFonts w:ascii="Times New Roman" w:hAnsi="Times New Roman" w:eastAsia="仿宋_GB2312"/>
                <w:color w:val="000000" w:themeColor="text1"/>
                <w:kern w:val="0"/>
                <w:sz w:val="32"/>
                <w:szCs w:val="32"/>
                <w14:textFill>
                  <w14:solidFill>
                    <w14:schemeClr w14:val="tx1"/>
                  </w14:solidFill>
                </w14:textFill>
              </w:rPr>
            </w:pPr>
            <w:r>
              <w:rPr>
                <w:rFonts w:hint="eastAsia" w:ascii="Times New Roman" w:hAnsi="Times New Roman" w:eastAsia="仿宋_GB2312"/>
                <w:b/>
                <w:bCs/>
                <w:color w:val="000000" w:themeColor="text1"/>
                <w:sz w:val="24"/>
                <w14:textFill>
                  <w14:solidFill>
                    <w14:schemeClr w14:val="tx1"/>
                  </w14:solidFill>
                </w14:textFill>
              </w:rPr>
              <w:t>7.水利行业能力提升：</w:t>
            </w:r>
            <w:r>
              <w:rPr>
                <w:rFonts w:hint="eastAsia" w:ascii="Times New Roman" w:hAnsi="Times New Roman" w:eastAsia="仿宋_GB2312"/>
                <w:color w:val="000000" w:themeColor="text1"/>
                <w:sz w:val="24"/>
                <w14:textFill>
                  <w14:solidFill>
                    <w14:schemeClr w14:val="tx1"/>
                  </w14:solidFill>
                </w14:textFill>
              </w:rPr>
              <w:t>完善河流管理范围确权划界、增加信息化管理设施，河长制信息化管理系统平台；“空天地”一体化监测监控体系；基层水利服务体系建设；水利水电工程质量与安全管理能力建设等，建立水资源保护体系、水生态环境保护体系和水利发展服务体系。</w:t>
            </w:r>
          </w:p>
        </w:tc>
      </w:tr>
    </w:tbl>
    <w:p>
      <w:pPr>
        <w:pStyle w:val="5"/>
        <w:keepNext w:val="0"/>
        <w:keepLines w:val="0"/>
        <w:spacing w:before="0" w:after="0" w:line="560" w:lineRule="exact"/>
        <w:jc w:val="center"/>
        <w:rPr>
          <w:rFonts w:ascii="Times New Roman" w:hAnsi="Times New Roman" w:eastAsia="黑体"/>
          <w:b w:val="0"/>
          <w:color w:val="000000" w:themeColor="text1"/>
          <w14:textFill>
            <w14:solidFill>
              <w14:schemeClr w14:val="tx1"/>
            </w14:solidFill>
          </w14:textFill>
        </w:rPr>
      </w:pPr>
      <w:bookmarkStart w:id="203" w:name="_Toc19911"/>
      <w:r>
        <w:rPr>
          <w:rFonts w:hint="eastAsia" w:ascii="Times New Roman" w:hAnsi="Times New Roman" w:eastAsia="黑体"/>
          <w:b w:val="0"/>
          <w:color w:val="000000" w:themeColor="text1"/>
          <w14:textFill>
            <w14:solidFill>
              <w14:schemeClr w14:val="tx1"/>
            </w14:solidFill>
          </w14:textFill>
        </w:rPr>
        <w:t>第三节  推进新型基础设施建设</w:t>
      </w:r>
      <w:bookmarkEnd w:id="195"/>
      <w:bookmarkEnd w:id="196"/>
      <w:bookmarkEnd w:id="197"/>
      <w:bookmarkEnd w:id="198"/>
      <w:bookmarkEnd w:id="199"/>
      <w:bookmarkEnd w:id="200"/>
      <w:bookmarkEnd w:id="201"/>
      <w:bookmarkEnd w:id="202"/>
      <w:bookmarkEnd w:id="203"/>
    </w:p>
    <w:p>
      <w:pP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p>
    <w:p>
      <w:pP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color w:val="000000" w:themeColor="text1"/>
          <w:sz w:val="32"/>
          <w:szCs w:val="32"/>
          <w14:textFill>
            <w14:solidFill>
              <w14:schemeClr w14:val="tx1"/>
            </w14:solidFill>
          </w14:textFill>
        </w:rPr>
        <w:t>适应新一代信息技术发展需求，推动信息基础设施与城市公共设施同部署同安排，促进全县信息管线、铁塔基站、室内分布系统等基础资源的开放和共享。加强光纤网络建设，提升宽带用户接入速率和普及水平，推进城乡深度覆盖4G网络，促进5G网络城市全覆盖、高速公路实现5G布局。大力发展人工智能、工业互联网、物联网、大数据中心、新能源汽车充电桩、特高压等新型基础设施，提升在线教育、远程医疗等新业态新模式的新基建支撑能力，强化基于IPv6</w:t>
      </w:r>
      <w:r>
        <w:rPr>
          <w:rStyle w:val="30"/>
          <w:rFonts w:hint="eastAsia" w:ascii="Times New Roman" w:hAnsi="Times New Roman" w:eastAsia="仿宋_GB2312"/>
          <w:color w:val="000000" w:themeColor="text1"/>
          <w:sz w:val="32"/>
          <w:szCs w:val="32"/>
          <w14:textFill>
            <w14:solidFill>
              <w14:schemeClr w14:val="tx1"/>
            </w14:solidFill>
          </w14:textFill>
        </w:rPr>
        <w:footnoteReference w:id="9"/>
      </w:r>
      <w:r>
        <w:rPr>
          <w:rFonts w:hint="eastAsia" w:ascii="Times New Roman" w:hAnsi="Times New Roman" w:eastAsia="仿宋_GB2312"/>
          <w:color w:val="000000" w:themeColor="text1"/>
          <w:sz w:val="32"/>
          <w:szCs w:val="32"/>
          <w14:textFill>
            <w14:solidFill>
              <w14:schemeClr w14:val="tx1"/>
            </w14:solidFill>
          </w14:textFill>
        </w:rPr>
        <w:t>网络的终端协同创新发展。打造物联、数联、智联三位一体的新型城域物联专网，推进物联应用服务创新。建设完善支撑本地数字政府、前沿数字产业发展、实体经济数字化应用的云数据中心。探索布局无人机、无人配送物流系统、无人化防疫系统等无人化配套设施，加快智慧城市、智慧乡村、智慧园区、智慧交通建设。</w:t>
      </w:r>
    </w:p>
    <w:p>
      <w:pPr>
        <w:spacing w:line="560" w:lineRule="exact"/>
        <w:ind w:firstLine="420" w:firstLineChars="200"/>
        <w:rPr>
          <w:rFonts w:ascii="Times New Roman" w:hAnsi="Times New Roman" w:eastAsia="黑体"/>
          <w:color w:val="000000" w:themeColor="text1"/>
          <w14:textFill>
            <w14:solidFill>
              <w14:schemeClr w14:val="tx1"/>
            </w14:solidFill>
          </w14:textFill>
        </w:rPr>
      </w:pPr>
      <w:bookmarkStart w:id="204" w:name="_Toc4239"/>
      <w:bookmarkStart w:id="205" w:name="_Toc3898"/>
      <w:bookmarkStart w:id="206" w:name="_Toc57045110"/>
      <w:bookmarkStart w:id="207" w:name="_Toc57045014"/>
      <w:bookmarkStart w:id="208" w:name="_Toc2224"/>
      <w:bookmarkStart w:id="209" w:name="_Toc61110800"/>
    </w:p>
    <w:p>
      <w:pPr>
        <w:pStyle w:val="5"/>
        <w:keepNext w:val="0"/>
        <w:keepLines w:val="0"/>
        <w:spacing w:before="0" w:after="0" w:line="560" w:lineRule="exact"/>
        <w:jc w:val="center"/>
        <w:rPr>
          <w:rFonts w:ascii="Times New Roman" w:hAnsi="Times New Roman" w:eastAsia="楷体_GB2312"/>
          <w:b w:val="0"/>
          <w:color w:val="000000" w:themeColor="text1"/>
          <w14:textFill>
            <w14:solidFill>
              <w14:schemeClr w14:val="tx1"/>
            </w14:solidFill>
          </w14:textFill>
        </w:rPr>
      </w:pPr>
      <w:bookmarkStart w:id="210" w:name="_Toc14894"/>
      <w:r>
        <w:rPr>
          <w:rFonts w:hint="eastAsia" w:ascii="Times New Roman" w:hAnsi="Times New Roman" w:eastAsia="黑体"/>
          <w:b w:val="0"/>
          <w:color w:val="000000" w:themeColor="text1"/>
          <w14:textFill>
            <w14:solidFill>
              <w14:schemeClr w14:val="tx1"/>
            </w14:solidFill>
          </w14:textFill>
        </w:rPr>
        <w:t>第四节  促进</w:t>
      </w:r>
      <w:bookmarkEnd w:id="204"/>
      <w:bookmarkEnd w:id="205"/>
      <w:r>
        <w:rPr>
          <w:rFonts w:hint="eastAsia" w:ascii="Times New Roman" w:hAnsi="Times New Roman" w:eastAsia="黑体"/>
          <w:b w:val="0"/>
          <w:color w:val="000000" w:themeColor="text1"/>
          <w14:textFill>
            <w14:solidFill>
              <w14:schemeClr w14:val="tx1"/>
            </w14:solidFill>
          </w14:textFill>
        </w:rPr>
        <w:t>生活基础设施提质升级</w:t>
      </w:r>
      <w:bookmarkEnd w:id="206"/>
      <w:bookmarkEnd w:id="207"/>
      <w:bookmarkEnd w:id="208"/>
      <w:bookmarkEnd w:id="209"/>
      <w:bookmarkEnd w:id="210"/>
    </w:p>
    <w:p>
      <w:pP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p>
    <w:p>
      <w:pP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color w:val="000000" w:themeColor="text1"/>
          <w:sz w:val="32"/>
          <w:szCs w:val="32"/>
          <w14:textFill>
            <w14:solidFill>
              <w14:schemeClr w14:val="tx1"/>
            </w14:solidFill>
          </w14:textFill>
        </w:rPr>
        <w:t>按照“产业兴旺、生态宜居、乡村文明、治理有效、生活富裕”要求，精准施策，提升“龙胜”品质和人居环境质量。</w:t>
      </w:r>
      <w:r>
        <w:rPr>
          <w:rFonts w:hint="eastAsia" w:ascii="Times New Roman" w:hAnsi="Times New Roman" w:eastAsia="仿宋_GB2312"/>
          <w:b/>
          <w:bCs/>
          <w:color w:val="000000" w:themeColor="text1"/>
          <w:sz w:val="32"/>
          <w:szCs w:val="32"/>
          <w14:textFill>
            <w14:solidFill>
              <w14:schemeClr w14:val="tx1"/>
            </w14:solidFill>
          </w14:textFill>
        </w:rPr>
        <w:t>一是</w:t>
      </w:r>
      <w:r>
        <w:rPr>
          <w:rFonts w:hint="eastAsia" w:ascii="Times New Roman" w:hAnsi="Times New Roman" w:eastAsia="仿宋_GB2312"/>
          <w:color w:val="000000" w:themeColor="text1"/>
          <w:sz w:val="32"/>
          <w:szCs w:val="32"/>
          <w14:textFill>
            <w14:solidFill>
              <w14:schemeClr w14:val="tx1"/>
            </w14:solidFill>
          </w14:textFill>
        </w:rPr>
        <w:t>推进县城老城区基础设施改造提升、县城第二水厂（管网）、县污水处理厂二期、县城燃气储备站及市政供气燃气管道、充电桩等项目建设。</w:t>
      </w:r>
      <w:r>
        <w:rPr>
          <w:rFonts w:hint="eastAsia" w:ascii="Times New Roman" w:hAnsi="Times New Roman" w:eastAsia="仿宋_GB2312"/>
          <w:b/>
          <w:bCs/>
          <w:color w:val="000000" w:themeColor="text1"/>
          <w:sz w:val="32"/>
          <w:szCs w:val="32"/>
          <w14:textFill>
            <w14:solidFill>
              <w14:schemeClr w14:val="tx1"/>
            </w14:solidFill>
          </w14:textFill>
        </w:rPr>
        <w:t>二是</w:t>
      </w:r>
      <w:r>
        <w:rPr>
          <w:rFonts w:hint="eastAsia" w:ascii="Times New Roman" w:hAnsi="Times New Roman" w:eastAsia="仿宋_GB2312"/>
          <w:color w:val="000000" w:themeColor="text1"/>
          <w:sz w:val="32"/>
          <w:szCs w:val="32"/>
          <w14:textFill>
            <w14:solidFill>
              <w14:schemeClr w14:val="tx1"/>
            </w14:solidFill>
          </w14:textFill>
        </w:rPr>
        <w:t>全力推进县城盛园路、长田路棚户区改造项目，推动城中村、老旧小区升级改造。</w:t>
      </w:r>
      <w:r>
        <w:rPr>
          <w:rFonts w:hint="eastAsia" w:ascii="Times New Roman" w:hAnsi="Times New Roman" w:eastAsia="仿宋_GB2312"/>
          <w:b/>
          <w:bCs/>
          <w:color w:val="000000" w:themeColor="text1"/>
          <w:sz w:val="32"/>
          <w:szCs w:val="32"/>
          <w14:textFill>
            <w14:solidFill>
              <w14:schemeClr w14:val="tx1"/>
            </w14:solidFill>
          </w14:textFill>
        </w:rPr>
        <w:t>三是</w:t>
      </w:r>
      <w:r>
        <w:rPr>
          <w:rFonts w:hint="eastAsia" w:ascii="Times New Roman" w:hAnsi="Times New Roman" w:eastAsia="仿宋_GB2312"/>
          <w:color w:val="000000" w:themeColor="text1"/>
          <w:sz w:val="32"/>
          <w:szCs w:val="32"/>
          <w14:textFill>
            <w14:solidFill>
              <w14:schemeClr w14:val="tx1"/>
            </w14:solidFill>
          </w14:textFill>
        </w:rPr>
        <w:t>加快龙脊大道管网、路网、环卫设施、公共服务设施等建设，实现新区功能完善。</w:t>
      </w:r>
      <w:r>
        <w:rPr>
          <w:rFonts w:hint="eastAsia" w:ascii="Times New Roman" w:hAnsi="Times New Roman" w:eastAsia="仿宋_GB2312"/>
          <w:b/>
          <w:bCs/>
          <w:color w:val="000000" w:themeColor="text1"/>
          <w:sz w:val="32"/>
          <w:szCs w:val="32"/>
          <w14:textFill>
            <w14:solidFill>
              <w14:schemeClr w14:val="tx1"/>
            </w14:solidFill>
          </w14:textFill>
        </w:rPr>
        <w:t>四是</w:t>
      </w:r>
      <w:r>
        <w:rPr>
          <w:rFonts w:hint="eastAsia" w:ascii="Times New Roman" w:hAnsi="Times New Roman" w:eastAsia="仿宋_GB2312"/>
          <w:color w:val="000000" w:themeColor="text1"/>
          <w:sz w:val="32"/>
          <w:szCs w:val="32"/>
          <w14:textFill>
            <w14:solidFill>
              <w14:schemeClr w14:val="tx1"/>
            </w14:solidFill>
          </w14:textFill>
        </w:rPr>
        <w:t>做好城区环境卫生设施提级扩能、市政公用设施提档升级、公共服务设施提标扩面、产业配套设施提质增效工作，提升城区品质、环境质量和综合承载能力。</w:t>
      </w:r>
      <w:r>
        <w:rPr>
          <w:rFonts w:hint="eastAsia" w:ascii="Times New Roman" w:hAnsi="Times New Roman" w:eastAsia="仿宋_GB2312"/>
          <w:b/>
          <w:bCs/>
          <w:color w:val="000000" w:themeColor="text1"/>
          <w:sz w:val="32"/>
          <w:szCs w:val="32"/>
          <w14:textFill>
            <w14:solidFill>
              <w14:schemeClr w14:val="tx1"/>
            </w14:solidFill>
          </w14:textFill>
        </w:rPr>
        <w:t>五是</w:t>
      </w:r>
      <w:r>
        <w:rPr>
          <w:rFonts w:hint="eastAsia" w:ascii="Times New Roman" w:hAnsi="Times New Roman" w:eastAsia="仿宋_GB2312"/>
          <w:color w:val="000000" w:themeColor="text1"/>
          <w:sz w:val="32"/>
          <w:szCs w:val="32"/>
          <w14:textFill>
            <w14:solidFill>
              <w14:schemeClr w14:val="tx1"/>
            </w14:solidFill>
          </w14:textFill>
        </w:rPr>
        <w:t>建设覆盖全县城乡生活垃圾处理系统，探索城乡一体化垃圾处理运作模式，持续改善农村人居环境。</w:t>
      </w:r>
    </w:p>
    <w:p>
      <w:pP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p>
    <w:p>
      <w:pPr>
        <w:pStyle w:val="5"/>
        <w:keepNext w:val="0"/>
        <w:keepLines w:val="0"/>
        <w:spacing w:before="0" w:after="0" w:line="560" w:lineRule="exact"/>
        <w:jc w:val="center"/>
        <w:rPr>
          <w:rFonts w:ascii="Times New Roman" w:hAnsi="Times New Roman" w:eastAsia="黑体"/>
          <w:b w:val="0"/>
          <w:color w:val="000000" w:themeColor="text1"/>
          <w14:textFill>
            <w14:solidFill>
              <w14:schemeClr w14:val="tx1"/>
            </w14:solidFill>
          </w14:textFill>
        </w:rPr>
      </w:pPr>
      <w:bookmarkStart w:id="211" w:name="_Toc8167"/>
      <w:r>
        <w:rPr>
          <w:rFonts w:hint="eastAsia" w:ascii="Times New Roman" w:hAnsi="Times New Roman" w:eastAsia="黑体"/>
          <w:b w:val="0"/>
          <w:color w:val="000000" w:themeColor="text1"/>
          <w14:textFill>
            <w14:solidFill>
              <w14:schemeClr w14:val="tx1"/>
            </w14:solidFill>
          </w14:textFill>
        </w:rPr>
        <w:t>第五节  加大电力基础设施改造力度</w:t>
      </w:r>
      <w:bookmarkEnd w:id="211"/>
    </w:p>
    <w:p>
      <w:pPr>
        <w:spacing w:line="560" w:lineRule="exact"/>
        <w:jc w:val="center"/>
        <w:rPr>
          <w:rFonts w:ascii="Times New Roman" w:hAnsi="Times New Roman" w:eastAsia="楷体_GB2312"/>
          <w:color w:val="000000" w:themeColor="text1"/>
          <w14:textFill>
            <w14:solidFill>
              <w14:schemeClr w14:val="tx1"/>
            </w14:solidFill>
          </w14:textFill>
        </w:rPr>
      </w:pPr>
    </w:p>
    <w:p>
      <w:pP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color w:val="000000" w:themeColor="text1"/>
          <w:sz w:val="32"/>
          <w:szCs w:val="32"/>
          <w14:textFill>
            <w14:solidFill>
              <w14:schemeClr w14:val="tx1"/>
            </w14:solidFill>
          </w14:textFill>
        </w:rPr>
        <w:t>以电力先行做保障，助力工业、乡村、文旅三大振兴，将电力发展建设列入统一规划，避免重复开挖和施工；着手解决县域内电力负荷需求剧增，部分电力设备重过载等问题，在用地预审环节给予政策性支持，加大电力改造力度；合理布局新增变电站站址位置以及线路廊道用地资源，强化电网建设与重要生产园区、生活小区、文旅景区的融合发展，充分考虑电力设施的美观性，弱化电力设施对环境的负面影响；细化调整所有线路分布，合理布局规划线路走向及电力廊道，以“预可研深度”结合政府片区控规做出适当调整，做好预留预控，降低规划选址及施工建设的阻力；结合电动汽车充电设施以及综合能源项目建设内容，助力绿色低碳发展。</w:t>
      </w:r>
    </w:p>
    <w:p>
      <w:pPr>
        <w:pStyle w:val="2"/>
        <w:spacing w:line="560" w:lineRule="exact"/>
        <w:rPr>
          <w:rFonts w:ascii="Times New Roman" w:hAnsi="Times New Roman"/>
          <w:color w:val="FF0000"/>
        </w:rPr>
        <w:sectPr>
          <w:footerReference r:id="rId9" w:type="default"/>
          <w:footnotePr>
            <w:numFmt w:val="decimalEnclosedCircleChinese"/>
          </w:footnotePr>
          <w:pgSz w:w="11906" w:h="16838"/>
          <w:pgMar w:top="1587" w:right="1304" w:bottom="1304" w:left="1588" w:header="851" w:footer="850" w:gutter="0"/>
          <w:cols w:space="0" w:num="1"/>
          <w:docGrid w:type="lines" w:linePitch="312" w:charSpace="0"/>
        </w:sectPr>
      </w:pPr>
    </w:p>
    <w:p>
      <w:pPr>
        <w:pStyle w:val="4"/>
        <w:keepNext w:val="0"/>
        <w:keepLines w:val="0"/>
        <w:spacing w:before="0" w:after="0" w:line="560" w:lineRule="exact"/>
        <w:jc w:val="center"/>
        <w:rPr>
          <w:rFonts w:ascii="Times New Roman" w:hAnsi="Times New Roman" w:eastAsia="黑体" w:cs="Times New Roman"/>
          <w:b w:val="0"/>
          <w:color w:val="000000" w:themeColor="text1"/>
          <w14:textFill>
            <w14:solidFill>
              <w14:schemeClr w14:val="tx1"/>
            </w14:solidFill>
          </w14:textFill>
        </w:rPr>
      </w:pPr>
      <w:bookmarkStart w:id="212" w:name="_Toc61110801"/>
      <w:bookmarkStart w:id="213" w:name="_Toc3718"/>
      <w:bookmarkStart w:id="214" w:name="_Toc12385"/>
      <w:r>
        <w:rPr>
          <w:rFonts w:hint="eastAsia" w:ascii="Times New Roman" w:hAnsi="Times New Roman" w:eastAsia="黑体" w:cs="Times New Roman"/>
          <w:b w:val="0"/>
          <w:color w:val="000000" w:themeColor="text1"/>
          <w14:textFill>
            <w14:solidFill>
              <w14:schemeClr w14:val="tx1"/>
            </w14:solidFill>
          </w14:textFill>
        </w:rPr>
        <w:t>第九章  强化城乡统筹 推进城乡融合</w:t>
      </w:r>
      <w:bookmarkEnd w:id="212"/>
      <w:bookmarkEnd w:id="213"/>
      <w:bookmarkEnd w:id="214"/>
    </w:p>
    <w:p>
      <w:pP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p>
    <w:p>
      <w:pP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color w:val="000000" w:themeColor="text1"/>
          <w:sz w:val="32"/>
          <w:szCs w:val="32"/>
          <w14:textFill>
            <w14:solidFill>
              <w14:schemeClr w14:val="tx1"/>
            </w14:solidFill>
          </w14:textFill>
        </w:rPr>
        <w:t>加快构建以县城为主导的城镇体系建设，重点推进新型城镇化建设，提高小城镇综合承载能力，促进小城镇扩容提质，实现产城融合，增强城镇对乡村振兴的辐射带动力，以繁荣县域经济、建设美丽乡村，推动城乡共同繁荣发展。实施农业转移人口市民化行动、城乡统筹水平提升行动、产城融合促进行动、要素保障行动，实现城乡居民基本权益平等化、城乡公共服务均等化、城乡居民收入均衡化、城乡要素配置合理化和城乡产业发展融合化。到2025年，常住人口城镇化率达到40%以上。</w:t>
      </w:r>
      <w:bookmarkStart w:id="215" w:name="_Toc23073"/>
      <w:bookmarkStart w:id="216" w:name="_Toc20310"/>
    </w:p>
    <w:p>
      <w:pPr>
        <w:spacing w:line="560" w:lineRule="exact"/>
        <w:ind w:firstLine="420" w:firstLineChars="200"/>
        <w:rPr>
          <w:rFonts w:ascii="Times New Roman" w:hAnsi="Times New Roman" w:eastAsia="黑体"/>
          <w:color w:val="000000" w:themeColor="text1"/>
          <w14:textFill>
            <w14:solidFill>
              <w14:schemeClr w14:val="tx1"/>
            </w14:solidFill>
          </w14:textFill>
        </w:rPr>
      </w:pPr>
      <w:bookmarkStart w:id="217" w:name="_Toc61110802"/>
      <w:bookmarkStart w:id="218" w:name="_Toc16159"/>
    </w:p>
    <w:p>
      <w:pPr>
        <w:pStyle w:val="5"/>
        <w:keepNext w:val="0"/>
        <w:keepLines w:val="0"/>
        <w:spacing w:before="0" w:after="0" w:line="560" w:lineRule="exact"/>
        <w:jc w:val="center"/>
        <w:rPr>
          <w:rFonts w:ascii="Times New Roman" w:hAnsi="Times New Roman" w:eastAsia="黑体"/>
          <w:b w:val="0"/>
          <w:color w:val="000000" w:themeColor="text1"/>
          <w14:textFill>
            <w14:solidFill>
              <w14:schemeClr w14:val="tx1"/>
            </w14:solidFill>
          </w14:textFill>
        </w:rPr>
      </w:pPr>
      <w:bookmarkStart w:id="219" w:name="_Toc12976"/>
      <w:r>
        <w:rPr>
          <w:rFonts w:hint="eastAsia" w:ascii="Times New Roman" w:hAnsi="Times New Roman" w:eastAsia="黑体"/>
          <w:b w:val="0"/>
          <w:color w:val="000000" w:themeColor="text1"/>
          <w14:textFill>
            <w14:solidFill>
              <w14:schemeClr w14:val="tx1"/>
            </w14:solidFill>
          </w14:textFill>
        </w:rPr>
        <w:t>第一节  提升县城核心功能</w:t>
      </w:r>
      <w:bookmarkEnd w:id="215"/>
      <w:bookmarkEnd w:id="216"/>
      <w:bookmarkEnd w:id="217"/>
      <w:bookmarkEnd w:id="218"/>
      <w:bookmarkEnd w:id="219"/>
    </w:p>
    <w:p>
      <w:pP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p>
    <w:p>
      <w:pP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color w:val="000000" w:themeColor="text1"/>
          <w:sz w:val="32"/>
          <w:szCs w:val="32"/>
          <w14:textFill>
            <w14:solidFill>
              <w14:schemeClr w14:val="tx1"/>
            </w14:solidFill>
          </w14:textFill>
        </w:rPr>
        <w:t>实施扩大县城建设战略，突出生态特色、文化特色和民族特色，优化空间结构，加强基础设施建设，发展特色产业，强化产业、服务和居住等功能，促进经济发展和人口集聚，推动县城环境大改善和品质大提升，把县城建成设施齐全、功能完善、经济活跃、环境优美、和谐宜居的中心县城，打造县城4A级景区。</w:t>
      </w:r>
    </w:p>
    <w:p>
      <w:pPr>
        <w:spacing w:line="560" w:lineRule="exact"/>
        <w:ind w:firstLine="643"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b/>
          <w:bCs/>
          <w:color w:val="000000" w:themeColor="text1"/>
          <w:sz w:val="32"/>
          <w:szCs w:val="32"/>
          <w14:textFill>
            <w14:solidFill>
              <w14:schemeClr w14:val="tx1"/>
            </w14:solidFill>
          </w14:textFill>
        </w:rPr>
        <w:t>一、完善城市服务功能。</w:t>
      </w:r>
      <w:r>
        <w:rPr>
          <w:rFonts w:hint="eastAsia" w:ascii="Times New Roman" w:hAnsi="Times New Roman" w:eastAsia="仿宋_GB2312"/>
          <w:color w:val="000000" w:themeColor="text1"/>
          <w:sz w:val="32"/>
          <w:szCs w:val="32"/>
          <w14:textFill>
            <w14:solidFill>
              <w14:schemeClr w14:val="tx1"/>
            </w14:solidFill>
          </w14:textFill>
        </w:rPr>
        <w:t>始终把县城经济实力和其经济辐射功能放在首位，以优势产品和主导产业为龙头，增加县城民族文化元素，立足于“天蓝、地绿、水清、宜居、宜业、宜游、宜商”的产城融合、产城互动发展理念，加大县城的扩建改造力度，推进和带动特色经济的发展。发展以信息服务业、文化创意、商务服务为主的现代服务业集聚区和楼宇经济，提升游客接待能力和综合服务水平，重点建设基础设施，拉大县城框架，完善城市功能，增强县城综合承载能力。高标准规划建设县城龙脊大道新区及县城民族体育休闲公园。</w:t>
      </w:r>
    </w:p>
    <w:p>
      <w:pPr>
        <w:spacing w:line="560" w:lineRule="exact"/>
        <w:ind w:firstLine="643"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b/>
          <w:bCs/>
          <w:color w:val="000000" w:themeColor="text1"/>
          <w:sz w:val="32"/>
          <w:szCs w:val="32"/>
          <w14:textFill>
            <w14:solidFill>
              <w14:schemeClr w14:val="tx1"/>
            </w14:solidFill>
          </w14:textFill>
        </w:rPr>
        <w:t>二、加强城市管理。</w:t>
      </w:r>
      <w:r>
        <w:rPr>
          <w:rFonts w:hint="eastAsia" w:ascii="Times New Roman" w:hAnsi="Times New Roman" w:eastAsia="仿宋_GB2312"/>
          <w:color w:val="000000" w:themeColor="text1"/>
          <w:sz w:val="32"/>
          <w:szCs w:val="32"/>
          <w14:textFill>
            <w14:solidFill>
              <w14:schemeClr w14:val="tx1"/>
            </w14:solidFill>
          </w14:textFill>
        </w:rPr>
        <w:t>加强城市园林绿化、路灯、景观灯、公厕、给排水、供电、排污、垃圾处理及通天然气等市政基础建设和管理，加大政府购买公共服务力度。推动管理扁平化，面向基层下沉管理职责、落实管理任务，实施社区网格化管理。提升城镇的综合承载力，利用大数据信息，推进智慧城市建设。加强城镇综合管理，规范交通经营秩序，改善施工现场环境，对违法行为探索共享监控系统，健全联席机制、举报奖励等</w:t>
      </w:r>
      <w:bookmarkStart w:id="220" w:name="_Toc22251"/>
      <w:bookmarkStart w:id="221" w:name="_Toc3180"/>
      <w:r>
        <w:rPr>
          <w:rFonts w:hint="eastAsia" w:ascii="Times New Roman" w:hAnsi="Times New Roman" w:eastAsia="仿宋_GB2312"/>
          <w:color w:val="000000" w:themeColor="text1"/>
          <w:sz w:val="32"/>
          <w:szCs w:val="32"/>
          <w14:textFill>
            <w14:solidFill>
              <w14:schemeClr w14:val="tx1"/>
            </w14:solidFill>
          </w14:textFill>
        </w:rPr>
        <w:t>制度。</w:t>
      </w:r>
    </w:p>
    <w:p>
      <w:pPr>
        <w:pStyle w:val="31"/>
        <w:autoSpaceDE/>
        <w:autoSpaceDN/>
        <w:adjustRightInd/>
        <w:spacing w:line="560" w:lineRule="exact"/>
        <w:jc w:val="center"/>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color w:val="000000" w:themeColor="text1"/>
          <w:sz w:val="32"/>
          <w:szCs w:val="32"/>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1270</wp:posOffset>
                </wp:positionH>
                <wp:positionV relativeFrom="paragraph">
                  <wp:posOffset>416560</wp:posOffset>
                </wp:positionV>
                <wp:extent cx="5680710" cy="2676525"/>
                <wp:effectExtent l="0" t="0" r="15240" b="28575"/>
                <wp:wrapSquare wrapText="bothSides"/>
                <wp:docPr id="11" name="文本框 11"/>
                <wp:cNvGraphicFramePr/>
                <a:graphic xmlns:a="http://schemas.openxmlformats.org/drawingml/2006/main">
                  <a:graphicData uri="http://schemas.microsoft.com/office/word/2010/wordprocessingShape">
                    <wps:wsp>
                      <wps:cNvSpPr txBox="1"/>
                      <wps:spPr>
                        <a:xfrm>
                          <a:off x="0" y="0"/>
                          <a:ext cx="5680710" cy="267652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288" w:lineRule="auto"/>
                              <w:rPr>
                                <w:rFonts w:ascii="仿宋" w:hAnsi="仿宋" w:eastAsia="仿宋" w:cs="仿宋"/>
                                <w:sz w:val="24"/>
                              </w:rPr>
                            </w:pPr>
                            <w:r>
                              <w:rPr>
                                <w:rFonts w:hint="eastAsia" w:ascii="仿宋" w:hAnsi="仿宋" w:eastAsia="仿宋" w:cs="仿宋"/>
                                <w:b/>
                                <w:bCs/>
                                <w:sz w:val="24"/>
                              </w:rPr>
                              <w:t>1.市政道路（含管网）</w:t>
                            </w:r>
                            <w:r>
                              <w:rPr>
                                <w:rFonts w:hint="eastAsia" w:ascii="仿宋" w:hAnsi="仿宋" w:eastAsia="仿宋" w:cs="仿宋"/>
                                <w:sz w:val="24"/>
                              </w:rPr>
                              <w:t>：龙胜县城老城区市政基础设施建设项目；龙胜县寻江北岸污水管网建设工程（教厂至勒黄大桥段）；龙胜县污水管网工程（拐江大桥至高速路口段）；龙胜县老城区雨污管网整治工程；龙胜县桑江北岸片区雨污水混接整治项目。</w:t>
                            </w:r>
                          </w:p>
                          <w:p>
                            <w:pPr>
                              <w:adjustRightInd w:val="0"/>
                              <w:snapToGrid w:val="0"/>
                              <w:spacing w:line="288" w:lineRule="auto"/>
                              <w:rPr>
                                <w:rFonts w:ascii="仿宋" w:hAnsi="仿宋" w:eastAsia="仿宋" w:cs="仿宋"/>
                                <w:sz w:val="24"/>
                              </w:rPr>
                            </w:pPr>
                            <w:r>
                              <w:rPr>
                                <w:rFonts w:hint="eastAsia" w:ascii="仿宋" w:hAnsi="仿宋" w:eastAsia="仿宋" w:cs="仿宋"/>
                                <w:b/>
                                <w:bCs/>
                                <w:sz w:val="24"/>
                              </w:rPr>
                              <w:t>2.市政桥梁维护和改造：</w:t>
                            </w:r>
                            <w:r>
                              <w:rPr>
                                <w:rFonts w:hint="eastAsia" w:ascii="仿宋" w:hAnsi="仿宋" w:eastAsia="仿宋" w:cs="仿宋"/>
                                <w:sz w:val="24"/>
                              </w:rPr>
                              <w:t>龙胜县玉龙桥改建项目。</w:t>
                            </w:r>
                          </w:p>
                          <w:p>
                            <w:pPr>
                              <w:adjustRightInd w:val="0"/>
                              <w:snapToGrid w:val="0"/>
                              <w:spacing w:line="288" w:lineRule="auto"/>
                              <w:rPr>
                                <w:rFonts w:ascii="仿宋" w:hAnsi="仿宋" w:eastAsia="仿宋" w:cs="仿宋"/>
                                <w:sz w:val="24"/>
                              </w:rPr>
                            </w:pPr>
                            <w:r>
                              <w:rPr>
                                <w:rFonts w:hint="eastAsia" w:ascii="仿宋" w:hAnsi="仿宋" w:eastAsia="仿宋" w:cs="仿宋"/>
                                <w:b/>
                                <w:sz w:val="24"/>
                              </w:rPr>
                              <w:t>3.园林绿化：</w:t>
                            </w:r>
                            <w:r>
                              <w:rPr>
                                <w:rFonts w:hint="eastAsia" w:ascii="仿宋" w:hAnsi="仿宋" w:eastAsia="仿宋" w:cs="仿宋"/>
                                <w:sz w:val="24"/>
                              </w:rPr>
                              <w:t>龙胜县城沿江景观绿化建设改造项目。</w:t>
                            </w:r>
                          </w:p>
                          <w:p>
                            <w:pPr>
                              <w:adjustRightInd w:val="0"/>
                              <w:snapToGrid w:val="0"/>
                              <w:spacing w:line="288" w:lineRule="auto"/>
                              <w:rPr>
                                <w:rFonts w:ascii="仿宋" w:hAnsi="仿宋" w:eastAsia="仿宋" w:cs="仿宋"/>
                                <w:sz w:val="24"/>
                              </w:rPr>
                            </w:pPr>
                            <w:r>
                              <w:rPr>
                                <w:rFonts w:hint="eastAsia" w:ascii="仿宋" w:hAnsi="仿宋" w:eastAsia="仿宋" w:cs="仿宋"/>
                                <w:b/>
                                <w:bCs/>
                                <w:sz w:val="24"/>
                              </w:rPr>
                              <w:t>4.亮化照明节能</w:t>
                            </w:r>
                            <w:r>
                              <w:rPr>
                                <w:rFonts w:hint="eastAsia" w:ascii="仿宋" w:hAnsi="仿宋" w:eastAsia="仿宋" w:cs="仿宋"/>
                                <w:sz w:val="24"/>
                              </w:rPr>
                              <w:t>：龙胜县城景观亮化照明节能建设改造项目。</w:t>
                            </w:r>
                          </w:p>
                          <w:p>
                            <w:pPr>
                              <w:adjustRightInd w:val="0"/>
                              <w:snapToGrid w:val="0"/>
                              <w:spacing w:line="288" w:lineRule="auto"/>
                              <w:rPr>
                                <w:rFonts w:ascii="仿宋" w:hAnsi="仿宋" w:eastAsia="仿宋" w:cs="仿宋"/>
                                <w:sz w:val="24"/>
                              </w:rPr>
                            </w:pPr>
                            <w:r>
                              <w:rPr>
                                <w:rFonts w:hint="eastAsia" w:ascii="仿宋" w:hAnsi="仿宋" w:eastAsia="仿宋" w:cs="仿宋"/>
                                <w:b/>
                                <w:sz w:val="24"/>
                              </w:rPr>
                              <w:t>5.环卫设施：</w:t>
                            </w:r>
                            <w:r>
                              <w:rPr>
                                <w:rFonts w:hint="eastAsia" w:ascii="仿宋" w:hAnsi="仿宋" w:eastAsia="仿宋" w:cs="仿宋"/>
                                <w:sz w:val="24"/>
                              </w:rPr>
                              <w:t>龙脊大道垃圾中转站、龙胜县城公厕新（建）项目、龙胜县垃圾分类分拣综合处理中心项目。</w:t>
                            </w:r>
                          </w:p>
                          <w:p>
                            <w:pPr>
                              <w:adjustRightInd w:val="0"/>
                              <w:snapToGrid w:val="0"/>
                              <w:spacing w:line="288" w:lineRule="auto"/>
                              <w:rPr>
                                <w:rFonts w:ascii="仿宋" w:hAnsi="仿宋" w:eastAsia="仿宋" w:cs="仿宋"/>
                                <w:sz w:val="24"/>
                              </w:rPr>
                            </w:pPr>
                            <w:r>
                              <w:rPr>
                                <w:rFonts w:hint="eastAsia" w:ascii="仿宋" w:hAnsi="仿宋" w:eastAsia="仿宋" w:cs="仿宋"/>
                                <w:b/>
                                <w:bCs/>
                                <w:sz w:val="24"/>
                              </w:rPr>
                              <w:t>6.供气：</w:t>
                            </w:r>
                            <w:r>
                              <w:rPr>
                                <w:rFonts w:hint="eastAsia" w:ascii="仿宋" w:hAnsi="仿宋" w:eastAsia="仿宋" w:cs="仿宋"/>
                                <w:sz w:val="24"/>
                              </w:rPr>
                              <w:t>龙胜县天然气储备站和管网工程项目。</w:t>
                            </w:r>
                          </w:p>
                          <w:p>
                            <w:pPr>
                              <w:pStyle w:val="31"/>
                              <w:spacing w:line="288" w:lineRule="auto"/>
                              <w:rPr>
                                <w:rFonts w:ascii="仿宋" w:hAnsi="仿宋" w:eastAsia="仿宋" w:cs="仿宋"/>
                                <w:color w:val="auto"/>
                                <w:kern w:val="2"/>
                              </w:rPr>
                            </w:pPr>
                            <w:r>
                              <w:rPr>
                                <w:rFonts w:hint="eastAsia" w:ascii="仿宋" w:hAnsi="仿宋" w:eastAsia="仿宋" w:cs="仿宋"/>
                                <w:b/>
                                <w:bCs/>
                                <w:color w:val="auto"/>
                                <w:kern w:val="2"/>
                              </w:rPr>
                              <w:t>7.供水：</w:t>
                            </w:r>
                            <w:r>
                              <w:rPr>
                                <w:rFonts w:hint="eastAsia" w:ascii="仿宋" w:hAnsi="仿宋" w:eastAsia="仿宋" w:cs="仿宋"/>
                                <w:color w:val="auto"/>
                                <w:kern w:val="2"/>
                              </w:rPr>
                              <w:t>县城第二水厂及其管网项目。</w:t>
                            </w:r>
                          </w:p>
                          <w:p>
                            <w:pPr>
                              <w:pStyle w:val="31"/>
                              <w:spacing w:line="288" w:lineRule="auto"/>
                            </w:pPr>
                            <w:r>
                              <w:rPr>
                                <w:rFonts w:hint="eastAsia" w:ascii="仿宋" w:hAnsi="仿宋" w:eastAsia="仿宋" w:cs="仿宋"/>
                                <w:b/>
                                <w:color w:val="auto"/>
                                <w:kern w:val="2"/>
                              </w:rPr>
                              <w:t>8.智慧城市：</w:t>
                            </w:r>
                            <w:r>
                              <w:rPr>
                                <w:rFonts w:hint="eastAsia" w:ascii="仿宋" w:hAnsi="仿宋" w:eastAsia="仿宋" w:cs="仿宋"/>
                                <w:color w:val="auto"/>
                                <w:kern w:val="2"/>
                              </w:rPr>
                              <w:t>龙胜县城智慧城市建设项目。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1pt;margin-top:32.8pt;height:210.75pt;width:447.3pt;mso-wrap-distance-bottom:0pt;mso-wrap-distance-left:9pt;mso-wrap-distance-right:9pt;mso-wrap-distance-top:0pt;z-index:251660288;mso-width-relative:page;mso-height-relative:page;" filled="f" stroked="t" coordsize="21600,21600" o:gfxdata="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6jSkp2AAAAAcBAAAP&#10;AAAAAAAAAAEAIAAAACIAAABkcnMvZG93bnJldi54bWxQSwECFAAUAAAACACHTuJAAU/fuFECAACR&#10;BAAADgAAAAAAAAABACAAAAAnAQAAZHJzL2Uyb0RvYy54bWxQSwUGAAAAAAYABgBZAQAA6gUAAAAA&#10;">
                <v:fill on="f" focussize="0,0"/>
                <v:stroke weight="0.5pt" color="#000000 [3204]" joinstyle="round"/>
                <v:imagedata o:title=""/>
                <o:lock v:ext="edit" aspectratio="f"/>
                <v:textbox>
                  <w:txbxContent>
                    <w:p>
                      <w:pPr>
                        <w:adjustRightInd w:val="0"/>
                        <w:snapToGrid w:val="0"/>
                        <w:spacing w:line="288" w:lineRule="auto"/>
                        <w:rPr>
                          <w:rFonts w:ascii="仿宋" w:hAnsi="仿宋" w:eastAsia="仿宋" w:cs="仿宋"/>
                          <w:sz w:val="24"/>
                        </w:rPr>
                      </w:pPr>
                      <w:r>
                        <w:rPr>
                          <w:rFonts w:hint="eastAsia" w:ascii="仿宋" w:hAnsi="仿宋" w:eastAsia="仿宋" w:cs="仿宋"/>
                          <w:b/>
                          <w:bCs/>
                          <w:sz w:val="24"/>
                        </w:rPr>
                        <w:t>1.市政道路（含管网）</w:t>
                      </w:r>
                      <w:r>
                        <w:rPr>
                          <w:rFonts w:hint="eastAsia" w:ascii="仿宋" w:hAnsi="仿宋" w:eastAsia="仿宋" w:cs="仿宋"/>
                          <w:sz w:val="24"/>
                        </w:rPr>
                        <w:t>：龙胜县城老城区市政基础设施建设项目；龙胜县寻江北岸污水管网建设工程（教厂至勒黄大桥段）；龙胜县污水管网工程（拐江大桥至高速路口段）；龙胜县老城区雨污管网整治工程；龙胜县桑江北岸片区雨污水混接整治项目。</w:t>
                      </w:r>
                    </w:p>
                    <w:p>
                      <w:pPr>
                        <w:adjustRightInd w:val="0"/>
                        <w:snapToGrid w:val="0"/>
                        <w:spacing w:line="288" w:lineRule="auto"/>
                        <w:rPr>
                          <w:rFonts w:ascii="仿宋" w:hAnsi="仿宋" w:eastAsia="仿宋" w:cs="仿宋"/>
                          <w:sz w:val="24"/>
                        </w:rPr>
                      </w:pPr>
                      <w:r>
                        <w:rPr>
                          <w:rFonts w:hint="eastAsia" w:ascii="仿宋" w:hAnsi="仿宋" w:eastAsia="仿宋" w:cs="仿宋"/>
                          <w:b/>
                          <w:bCs/>
                          <w:sz w:val="24"/>
                        </w:rPr>
                        <w:t>2.市政桥梁维护和改造：</w:t>
                      </w:r>
                      <w:r>
                        <w:rPr>
                          <w:rFonts w:hint="eastAsia" w:ascii="仿宋" w:hAnsi="仿宋" w:eastAsia="仿宋" w:cs="仿宋"/>
                          <w:sz w:val="24"/>
                        </w:rPr>
                        <w:t>龙胜县玉龙桥改建项目。</w:t>
                      </w:r>
                    </w:p>
                    <w:p>
                      <w:pPr>
                        <w:adjustRightInd w:val="0"/>
                        <w:snapToGrid w:val="0"/>
                        <w:spacing w:line="288" w:lineRule="auto"/>
                        <w:rPr>
                          <w:rFonts w:ascii="仿宋" w:hAnsi="仿宋" w:eastAsia="仿宋" w:cs="仿宋"/>
                          <w:sz w:val="24"/>
                        </w:rPr>
                      </w:pPr>
                      <w:r>
                        <w:rPr>
                          <w:rFonts w:hint="eastAsia" w:ascii="仿宋" w:hAnsi="仿宋" w:eastAsia="仿宋" w:cs="仿宋"/>
                          <w:b/>
                          <w:sz w:val="24"/>
                        </w:rPr>
                        <w:t>3.园林绿化：</w:t>
                      </w:r>
                      <w:r>
                        <w:rPr>
                          <w:rFonts w:hint="eastAsia" w:ascii="仿宋" w:hAnsi="仿宋" w:eastAsia="仿宋" w:cs="仿宋"/>
                          <w:sz w:val="24"/>
                        </w:rPr>
                        <w:t>龙胜县城沿江景观绿化建设改造项目。</w:t>
                      </w:r>
                    </w:p>
                    <w:p>
                      <w:pPr>
                        <w:adjustRightInd w:val="0"/>
                        <w:snapToGrid w:val="0"/>
                        <w:spacing w:line="288" w:lineRule="auto"/>
                        <w:rPr>
                          <w:rFonts w:ascii="仿宋" w:hAnsi="仿宋" w:eastAsia="仿宋" w:cs="仿宋"/>
                          <w:sz w:val="24"/>
                        </w:rPr>
                      </w:pPr>
                      <w:r>
                        <w:rPr>
                          <w:rFonts w:hint="eastAsia" w:ascii="仿宋" w:hAnsi="仿宋" w:eastAsia="仿宋" w:cs="仿宋"/>
                          <w:b/>
                          <w:bCs/>
                          <w:sz w:val="24"/>
                        </w:rPr>
                        <w:t>4.亮化照明节能</w:t>
                      </w:r>
                      <w:r>
                        <w:rPr>
                          <w:rFonts w:hint="eastAsia" w:ascii="仿宋" w:hAnsi="仿宋" w:eastAsia="仿宋" w:cs="仿宋"/>
                          <w:sz w:val="24"/>
                        </w:rPr>
                        <w:t>：龙胜县城景观亮化照明节能建设改造项目。</w:t>
                      </w:r>
                    </w:p>
                    <w:p>
                      <w:pPr>
                        <w:adjustRightInd w:val="0"/>
                        <w:snapToGrid w:val="0"/>
                        <w:spacing w:line="288" w:lineRule="auto"/>
                        <w:rPr>
                          <w:rFonts w:ascii="仿宋" w:hAnsi="仿宋" w:eastAsia="仿宋" w:cs="仿宋"/>
                          <w:sz w:val="24"/>
                        </w:rPr>
                      </w:pPr>
                      <w:r>
                        <w:rPr>
                          <w:rFonts w:hint="eastAsia" w:ascii="仿宋" w:hAnsi="仿宋" w:eastAsia="仿宋" w:cs="仿宋"/>
                          <w:b/>
                          <w:sz w:val="24"/>
                        </w:rPr>
                        <w:t>5.环卫设施：</w:t>
                      </w:r>
                      <w:r>
                        <w:rPr>
                          <w:rFonts w:hint="eastAsia" w:ascii="仿宋" w:hAnsi="仿宋" w:eastAsia="仿宋" w:cs="仿宋"/>
                          <w:sz w:val="24"/>
                        </w:rPr>
                        <w:t>龙脊大道垃圾中转站、龙胜县城公厕新（建）项目、龙胜县垃圾分类分拣综合处理中心项目。</w:t>
                      </w:r>
                    </w:p>
                    <w:p>
                      <w:pPr>
                        <w:adjustRightInd w:val="0"/>
                        <w:snapToGrid w:val="0"/>
                        <w:spacing w:line="288" w:lineRule="auto"/>
                        <w:rPr>
                          <w:rFonts w:ascii="仿宋" w:hAnsi="仿宋" w:eastAsia="仿宋" w:cs="仿宋"/>
                          <w:sz w:val="24"/>
                        </w:rPr>
                      </w:pPr>
                      <w:r>
                        <w:rPr>
                          <w:rFonts w:hint="eastAsia" w:ascii="仿宋" w:hAnsi="仿宋" w:eastAsia="仿宋" w:cs="仿宋"/>
                          <w:b/>
                          <w:bCs/>
                          <w:sz w:val="24"/>
                        </w:rPr>
                        <w:t>6.供气：</w:t>
                      </w:r>
                      <w:r>
                        <w:rPr>
                          <w:rFonts w:hint="eastAsia" w:ascii="仿宋" w:hAnsi="仿宋" w:eastAsia="仿宋" w:cs="仿宋"/>
                          <w:sz w:val="24"/>
                        </w:rPr>
                        <w:t>龙胜县天然气储备站和管网工程项目。</w:t>
                      </w:r>
                    </w:p>
                    <w:p>
                      <w:pPr>
                        <w:pStyle w:val="31"/>
                        <w:spacing w:line="288" w:lineRule="auto"/>
                        <w:rPr>
                          <w:rFonts w:ascii="仿宋" w:hAnsi="仿宋" w:eastAsia="仿宋" w:cs="仿宋"/>
                          <w:color w:val="auto"/>
                          <w:kern w:val="2"/>
                        </w:rPr>
                      </w:pPr>
                      <w:r>
                        <w:rPr>
                          <w:rFonts w:hint="eastAsia" w:ascii="仿宋" w:hAnsi="仿宋" w:eastAsia="仿宋" w:cs="仿宋"/>
                          <w:b/>
                          <w:bCs/>
                          <w:color w:val="auto"/>
                          <w:kern w:val="2"/>
                        </w:rPr>
                        <w:t>7.供水：</w:t>
                      </w:r>
                      <w:r>
                        <w:rPr>
                          <w:rFonts w:hint="eastAsia" w:ascii="仿宋" w:hAnsi="仿宋" w:eastAsia="仿宋" w:cs="仿宋"/>
                          <w:color w:val="auto"/>
                          <w:kern w:val="2"/>
                        </w:rPr>
                        <w:t>县城第二水厂及其管网项目。</w:t>
                      </w:r>
                    </w:p>
                    <w:p>
                      <w:pPr>
                        <w:pStyle w:val="31"/>
                        <w:spacing w:line="288" w:lineRule="auto"/>
                      </w:pPr>
                      <w:r>
                        <w:rPr>
                          <w:rFonts w:hint="eastAsia" w:ascii="仿宋" w:hAnsi="仿宋" w:eastAsia="仿宋" w:cs="仿宋"/>
                          <w:b/>
                          <w:color w:val="auto"/>
                          <w:kern w:val="2"/>
                        </w:rPr>
                        <w:t>8.智慧城市：</w:t>
                      </w:r>
                      <w:r>
                        <w:rPr>
                          <w:rFonts w:hint="eastAsia" w:ascii="仿宋" w:hAnsi="仿宋" w:eastAsia="仿宋" w:cs="仿宋"/>
                          <w:color w:val="auto"/>
                          <w:kern w:val="2"/>
                        </w:rPr>
                        <w:t>龙胜县城智慧城市建设项目。</w:t>
                      </w:r>
                    </w:p>
                  </w:txbxContent>
                </v:textbox>
                <w10:wrap type="square"/>
              </v:shape>
            </w:pict>
          </mc:Fallback>
        </mc:AlternateContent>
      </w:r>
      <w:r>
        <w:rPr>
          <w:rFonts w:hint="eastAsia" w:ascii="Times New Roman" w:hAnsi="Times New Roman" w:eastAsia="仿宋_GB2312"/>
          <w:b/>
          <w:bCs/>
          <w:color w:val="000000" w:themeColor="text1"/>
          <w:sz w:val="32"/>
          <w:szCs w:val="32"/>
          <w14:textFill>
            <w14:solidFill>
              <w14:schemeClr w14:val="tx1"/>
            </w14:solidFill>
          </w14:textFill>
        </w:rPr>
        <w:t>专栏8  市政基础设施重大建设工程</w:t>
      </w:r>
      <w:bookmarkStart w:id="222" w:name="_Toc31604"/>
      <w:bookmarkStart w:id="223" w:name="_Toc61110803"/>
    </w:p>
    <w:p>
      <w:pPr>
        <w:spacing w:line="560" w:lineRule="exact"/>
        <w:rPr>
          <w:rFonts w:ascii="Times New Roman" w:hAnsi="Times New Roman"/>
          <w:color w:val="000000" w:themeColor="text1"/>
          <w14:textFill>
            <w14:solidFill>
              <w14:schemeClr w14:val="tx1"/>
            </w14:solidFill>
          </w14:textFill>
        </w:rPr>
      </w:pPr>
    </w:p>
    <w:p>
      <w:pPr>
        <w:pStyle w:val="5"/>
        <w:keepNext w:val="0"/>
        <w:keepLines w:val="0"/>
        <w:spacing w:before="0" w:after="0" w:line="560" w:lineRule="exact"/>
        <w:jc w:val="center"/>
        <w:rPr>
          <w:rFonts w:ascii="Times New Roman" w:hAnsi="Times New Roman" w:eastAsia="黑体"/>
          <w:b w:val="0"/>
          <w:color w:val="000000" w:themeColor="text1"/>
          <w14:textFill>
            <w14:solidFill>
              <w14:schemeClr w14:val="tx1"/>
            </w14:solidFill>
          </w14:textFill>
        </w:rPr>
      </w:pPr>
      <w:bookmarkStart w:id="224" w:name="_Toc26237"/>
      <w:r>
        <w:rPr>
          <w:rFonts w:hint="eastAsia" w:ascii="Times New Roman" w:hAnsi="Times New Roman" w:eastAsia="黑体"/>
          <w:b w:val="0"/>
          <w:color w:val="000000" w:themeColor="text1"/>
          <w14:textFill>
            <w14:solidFill>
              <w14:schemeClr w14:val="tx1"/>
            </w14:solidFill>
          </w14:textFill>
        </w:rPr>
        <w:t>第二节  加速重点城镇建设</w:t>
      </w:r>
      <w:bookmarkEnd w:id="220"/>
      <w:bookmarkEnd w:id="221"/>
      <w:bookmarkEnd w:id="222"/>
      <w:bookmarkEnd w:id="223"/>
      <w:bookmarkEnd w:id="224"/>
    </w:p>
    <w:p>
      <w:pPr>
        <w:spacing w:line="560" w:lineRule="exact"/>
        <w:rPr>
          <w:rFonts w:ascii="Times New Roman" w:hAnsi="Times New Roman" w:eastAsia="仿宋_GB2312"/>
          <w:color w:val="000000" w:themeColor="text1"/>
          <w:sz w:val="32"/>
          <w:szCs w:val="32"/>
          <w14:textFill>
            <w14:solidFill>
              <w14:schemeClr w14:val="tx1"/>
            </w14:solidFill>
          </w14:textFill>
        </w:rPr>
      </w:pPr>
    </w:p>
    <w:p>
      <w:pP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color w:val="000000" w:themeColor="text1"/>
          <w:sz w:val="32"/>
          <w:szCs w:val="32"/>
          <w14:textFill>
            <w14:solidFill>
              <w14:schemeClr w14:val="tx1"/>
            </w14:solidFill>
          </w14:textFill>
        </w:rPr>
        <w:t>打造特色乡镇，做到规模适度、布局合理、结构协调，综合考虑城镇的资源环境承受能力和产业承载能力，以乡镇所在地为重点，加快重点城镇建设。其它各乡镇结合发展基础和潜力，按照主体功能区规划要求，遵循城镇发展规律，加快城镇基础设施和公共服务设施建设，完善小城镇服务功能。增强特色小城镇对乡村发展的支持和带动作用。重点聚焦文化旅游、商贸物流、休闲旅居康养等特色产业，促进产镇融合发展。编制示范城镇建设总体规划，拉大小城镇骨架，把特色产业作为推动重点镇加快发展的主要抓手，建设特色产业小镇。</w:t>
      </w:r>
    </w:p>
    <w:p>
      <w:pPr>
        <w:pStyle w:val="31"/>
        <w:autoSpaceDE/>
        <w:autoSpaceDN/>
        <w:adjustRightInd/>
        <w:spacing w:line="560" w:lineRule="exact"/>
        <w:jc w:val="center"/>
        <w:rPr>
          <w:rFonts w:ascii="Times New Roman" w:hAnsi="Times New Roman" w:eastAsia="仿宋_GB2312"/>
          <w:b/>
          <w:bCs/>
          <w:color w:val="000000" w:themeColor="text1"/>
          <w:sz w:val="32"/>
          <w:szCs w:val="32"/>
          <w14:textFill>
            <w14:solidFill>
              <w14:schemeClr w14:val="tx1"/>
            </w14:solidFill>
          </w14:textFill>
        </w:rPr>
      </w:pPr>
      <w:r>
        <w:rPr>
          <w:rFonts w:hint="eastAsia" w:ascii="Times New Roman" w:hAnsi="Times New Roman" w:eastAsia="仿宋_GB2312"/>
          <w:bCs/>
          <w:color w:val="000000" w:themeColor="text1"/>
          <w:sz w:val="32"/>
          <w:szCs w:val="32"/>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29845</wp:posOffset>
                </wp:positionH>
                <wp:positionV relativeFrom="paragraph">
                  <wp:posOffset>464820</wp:posOffset>
                </wp:positionV>
                <wp:extent cx="5734050" cy="723900"/>
                <wp:effectExtent l="0" t="0" r="19050" b="19050"/>
                <wp:wrapSquare wrapText="bothSides"/>
                <wp:docPr id="13" name="文本框 13"/>
                <wp:cNvGraphicFramePr/>
                <a:graphic xmlns:a="http://schemas.openxmlformats.org/drawingml/2006/main">
                  <a:graphicData uri="http://schemas.microsoft.com/office/word/2010/wordprocessingShape">
                    <wps:wsp>
                      <wps:cNvSpPr txBox="1"/>
                      <wps:spPr>
                        <a:xfrm>
                          <a:off x="0" y="0"/>
                          <a:ext cx="5734050" cy="72390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60" w:lineRule="auto"/>
                              <w:rPr>
                                <w:rFonts w:ascii="仿宋" w:hAnsi="仿宋" w:eastAsia="仿宋" w:cs="仿宋"/>
                                <w:sz w:val="24"/>
                              </w:rPr>
                            </w:pPr>
                            <w:r>
                              <w:rPr>
                                <w:rFonts w:hint="eastAsia" w:ascii="仿宋" w:hAnsi="仿宋" w:eastAsia="仿宋" w:cs="仿宋"/>
                                <w:b/>
                                <w:bCs/>
                                <w:sz w:val="24"/>
                              </w:rPr>
                              <w:t>1.重点镇：</w:t>
                            </w:r>
                            <w:r>
                              <w:rPr>
                                <w:rFonts w:hint="eastAsia" w:ascii="仿宋" w:hAnsi="仿宋" w:eastAsia="仿宋" w:cs="仿宋"/>
                                <w:sz w:val="24"/>
                              </w:rPr>
                              <w:t>龙胜镇、龙脊镇、三门镇、瓢里镇。</w:t>
                            </w:r>
                          </w:p>
                          <w:p>
                            <w:pPr>
                              <w:pStyle w:val="31"/>
                              <w:spacing w:line="360" w:lineRule="auto"/>
                              <w:rPr>
                                <w:rFonts w:ascii="仿宋" w:hAnsi="仿宋" w:eastAsia="仿宋" w:cs="仿宋"/>
                                <w:sz w:val="28"/>
                                <w:szCs w:val="28"/>
                              </w:rPr>
                            </w:pPr>
                            <w:r>
                              <w:rPr>
                                <w:rFonts w:ascii="仿宋" w:hAnsi="仿宋" w:eastAsia="仿宋" w:cs="仿宋"/>
                                <w:b/>
                                <w:bCs/>
                                <w:color w:val="auto"/>
                                <w:kern w:val="2"/>
                              </w:rPr>
                              <w:t>2</w:t>
                            </w:r>
                            <w:r>
                              <w:rPr>
                                <w:rFonts w:hint="eastAsia" w:ascii="仿宋" w:hAnsi="仿宋" w:eastAsia="仿宋" w:cs="仿宋"/>
                                <w:b/>
                                <w:bCs/>
                                <w:color w:val="auto"/>
                                <w:kern w:val="2"/>
                              </w:rPr>
                              <w:t>.特色魅力（乡）镇：</w:t>
                            </w:r>
                            <w:r>
                              <w:rPr>
                                <w:rFonts w:hint="eastAsia" w:ascii="仿宋" w:hAnsi="仿宋" w:eastAsia="仿宋" w:cs="仿宋"/>
                              </w:rPr>
                              <w:t>平等镇、乐江镇、泗水乡、马堤乡、伟江乡、江底乡。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5pt;margin-top:36.6pt;height:57pt;width:451.5pt;mso-wrap-distance-bottom:0pt;mso-wrap-distance-left:9pt;mso-wrap-distance-right:9pt;mso-wrap-distance-top:0pt;z-index:251662336;mso-width-relative:page;mso-height-relative:page;" filled="f" stroked="t" coordsize="21600,21600" o:gfxdata="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pCDrTtgAAAAIAQAADwAA&#10;AAAAAAABACAAAAAiAAAAZHJzL2Rvd25yZXYueG1sUEsBAhQAFAAAAAgAh07iQKVLPEtPAgAAkAQA&#10;AA4AAAAAAAAAAQAgAAAAJwEAAGRycy9lMm9Eb2MueG1sUEsFBgAAAAAGAAYAWQEAAOgFAAAAAA==&#10;">
                <v:fill on="f" focussize="0,0"/>
                <v:stroke weight="0.5pt" color="#000000 [3204]" joinstyle="round"/>
                <v:imagedata o:title=""/>
                <o:lock v:ext="edit" aspectratio="f"/>
                <v:textbox>
                  <w:txbxContent>
                    <w:p>
                      <w:pPr>
                        <w:spacing w:line="360" w:lineRule="auto"/>
                        <w:rPr>
                          <w:rFonts w:ascii="仿宋" w:hAnsi="仿宋" w:eastAsia="仿宋" w:cs="仿宋"/>
                          <w:sz w:val="24"/>
                        </w:rPr>
                      </w:pPr>
                      <w:r>
                        <w:rPr>
                          <w:rFonts w:hint="eastAsia" w:ascii="仿宋" w:hAnsi="仿宋" w:eastAsia="仿宋" w:cs="仿宋"/>
                          <w:b/>
                          <w:bCs/>
                          <w:sz w:val="24"/>
                        </w:rPr>
                        <w:t>1.重点镇：</w:t>
                      </w:r>
                      <w:r>
                        <w:rPr>
                          <w:rFonts w:hint="eastAsia" w:ascii="仿宋" w:hAnsi="仿宋" w:eastAsia="仿宋" w:cs="仿宋"/>
                          <w:sz w:val="24"/>
                        </w:rPr>
                        <w:t>龙胜镇、龙脊镇、三门镇、瓢里镇。</w:t>
                      </w:r>
                    </w:p>
                    <w:p>
                      <w:pPr>
                        <w:pStyle w:val="31"/>
                        <w:spacing w:line="360" w:lineRule="auto"/>
                        <w:rPr>
                          <w:rFonts w:ascii="仿宋" w:hAnsi="仿宋" w:eastAsia="仿宋" w:cs="仿宋"/>
                          <w:sz w:val="28"/>
                          <w:szCs w:val="28"/>
                        </w:rPr>
                      </w:pPr>
                      <w:r>
                        <w:rPr>
                          <w:rFonts w:ascii="仿宋" w:hAnsi="仿宋" w:eastAsia="仿宋" w:cs="仿宋"/>
                          <w:b/>
                          <w:bCs/>
                          <w:color w:val="auto"/>
                          <w:kern w:val="2"/>
                        </w:rPr>
                        <w:t>2</w:t>
                      </w:r>
                      <w:r>
                        <w:rPr>
                          <w:rFonts w:hint="eastAsia" w:ascii="仿宋" w:hAnsi="仿宋" w:eastAsia="仿宋" w:cs="仿宋"/>
                          <w:b/>
                          <w:bCs/>
                          <w:color w:val="auto"/>
                          <w:kern w:val="2"/>
                        </w:rPr>
                        <w:t>.特色魅力（乡）镇：</w:t>
                      </w:r>
                      <w:r>
                        <w:rPr>
                          <w:rFonts w:hint="eastAsia" w:ascii="仿宋" w:hAnsi="仿宋" w:eastAsia="仿宋" w:cs="仿宋"/>
                        </w:rPr>
                        <w:t>平等镇、乐江镇、泗水乡、马堤乡、伟江乡、江底乡。</w:t>
                      </w:r>
                    </w:p>
                  </w:txbxContent>
                </v:textbox>
                <w10:wrap type="square"/>
              </v:shape>
            </w:pict>
          </mc:Fallback>
        </mc:AlternateContent>
      </w:r>
      <w:r>
        <w:rPr>
          <w:rFonts w:hint="eastAsia" w:ascii="Times New Roman" w:hAnsi="Times New Roman" w:eastAsia="仿宋_GB2312"/>
          <w:b/>
          <w:bCs/>
          <w:color w:val="000000" w:themeColor="text1"/>
          <w:sz w:val="32"/>
          <w:szCs w:val="32"/>
          <w14:textFill>
            <w14:solidFill>
              <w14:schemeClr w14:val="tx1"/>
            </w14:solidFill>
          </w14:textFill>
        </w:rPr>
        <w:t>专栏9  重点城镇及魅力城镇建设工程</w:t>
      </w:r>
    </w:p>
    <w:p>
      <w:pPr>
        <w:spacing w:line="560" w:lineRule="exact"/>
        <w:ind w:firstLine="420" w:firstLineChars="200"/>
        <w:rPr>
          <w:rFonts w:ascii="Times New Roman" w:hAnsi="Times New Roman" w:eastAsia="仿宋_GB2312"/>
          <w:color w:val="000000" w:themeColor="text1"/>
          <w14:textFill>
            <w14:solidFill>
              <w14:schemeClr w14:val="tx1"/>
            </w14:solidFill>
          </w14:textFill>
        </w:rPr>
      </w:pPr>
      <w:bookmarkStart w:id="225" w:name="_Toc61110804"/>
      <w:bookmarkStart w:id="226" w:name="_Toc24259"/>
    </w:p>
    <w:p>
      <w:pPr>
        <w:pStyle w:val="5"/>
        <w:keepNext w:val="0"/>
        <w:keepLines w:val="0"/>
        <w:spacing w:before="0" w:after="0" w:line="560" w:lineRule="exact"/>
        <w:jc w:val="center"/>
        <w:rPr>
          <w:rFonts w:ascii="Times New Roman" w:hAnsi="Times New Roman" w:eastAsia="黑体"/>
          <w:b w:val="0"/>
          <w:color w:val="000000" w:themeColor="text1"/>
          <w14:textFill>
            <w14:solidFill>
              <w14:schemeClr w14:val="tx1"/>
            </w14:solidFill>
          </w14:textFill>
        </w:rPr>
      </w:pPr>
      <w:bookmarkStart w:id="227" w:name="_Toc31132"/>
      <w:bookmarkStart w:id="228" w:name="_Toc7447"/>
      <w:bookmarkStart w:id="229" w:name="_Toc22809"/>
      <w:r>
        <w:rPr>
          <w:rFonts w:hint="eastAsia" w:ascii="Times New Roman" w:hAnsi="Times New Roman" w:eastAsia="黑体"/>
          <w:b w:val="0"/>
          <w:color w:val="000000" w:themeColor="text1"/>
          <w14:textFill>
            <w14:solidFill>
              <w14:schemeClr w14:val="tx1"/>
            </w14:solidFill>
          </w14:textFill>
        </w:rPr>
        <w:t>第三节  促进城乡联动发展</w:t>
      </w:r>
      <w:bookmarkEnd w:id="225"/>
      <w:bookmarkEnd w:id="226"/>
      <w:bookmarkEnd w:id="227"/>
      <w:bookmarkEnd w:id="228"/>
      <w:bookmarkEnd w:id="229"/>
      <w:bookmarkStart w:id="230" w:name="_Toc29509"/>
    </w:p>
    <w:p>
      <w:pP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p>
    <w:p>
      <w:pPr>
        <w:spacing w:line="560" w:lineRule="exact"/>
        <w:ind w:firstLine="643"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b/>
          <w:bCs/>
          <w:color w:val="000000" w:themeColor="text1"/>
          <w:sz w:val="32"/>
          <w:szCs w:val="32"/>
          <w14:textFill>
            <w14:solidFill>
              <w14:schemeClr w14:val="tx1"/>
            </w14:solidFill>
          </w14:textFill>
        </w:rPr>
        <w:t>一、推进农业转移人口市民化</w:t>
      </w:r>
      <w:bookmarkEnd w:id="230"/>
      <w:r>
        <w:rPr>
          <w:rFonts w:hint="eastAsia" w:ascii="Times New Roman" w:hAnsi="Times New Roman" w:eastAsia="仿宋_GB2312"/>
          <w:b/>
          <w:bCs/>
          <w:color w:val="000000" w:themeColor="text1"/>
          <w:sz w:val="32"/>
          <w:szCs w:val="32"/>
          <w14:textFill>
            <w14:solidFill>
              <w14:schemeClr w14:val="tx1"/>
            </w14:solidFill>
          </w14:textFill>
        </w:rPr>
        <w:t>。</w:t>
      </w:r>
      <w:r>
        <w:rPr>
          <w:rFonts w:hint="eastAsia" w:ascii="Times New Roman" w:hAnsi="Times New Roman" w:eastAsia="仿宋_GB2312"/>
          <w:color w:val="000000" w:themeColor="text1"/>
          <w:sz w:val="32"/>
          <w:szCs w:val="32"/>
          <w14:textFill>
            <w14:solidFill>
              <w14:schemeClr w14:val="tx1"/>
            </w14:solidFill>
          </w14:textFill>
        </w:rPr>
        <w:t>实施农业转移人口市民化行动、城乡统筹水平提升行动、产城融合促进行动、要素保障行动。突破城乡分割的体制机制束缚，促进城乡生产要素与资源自由流动、合理配置，逐步实现城乡居民基本权益平等化、城乡公共服务均等化、城乡居民收入均衡化、城乡要素配置合理化、城乡产业发展融合化。提升农业转移人口市民化质量。</w:t>
      </w:r>
      <w:bookmarkStart w:id="231" w:name="_Toc6514"/>
    </w:p>
    <w:p>
      <w:pPr>
        <w:spacing w:line="560" w:lineRule="exact"/>
        <w:ind w:firstLine="643"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b/>
          <w:bCs/>
          <w:color w:val="000000" w:themeColor="text1"/>
          <w:sz w:val="32"/>
          <w:szCs w:val="32"/>
          <w14:textFill>
            <w14:solidFill>
              <w14:schemeClr w14:val="tx1"/>
            </w14:solidFill>
          </w14:textFill>
        </w:rPr>
        <w:t>二、推动城乡要素合理互动</w:t>
      </w:r>
      <w:bookmarkEnd w:id="231"/>
      <w:r>
        <w:rPr>
          <w:rFonts w:hint="eastAsia" w:ascii="Times New Roman" w:hAnsi="Times New Roman" w:eastAsia="仿宋_GB2312"/>
          <w:b/>
          <w:bCs/>
          <w:color w:val="000000" w:themeColor="text1"/>
          <w:sz w:val="32"/>
          <w:szCs w:val="32"/>
          <w14:textFill>
            <w14:solidFill>
              <w14:schemeClr w14:val="tx1"/>
            </w14:solidFill>
          </w14:textFill>
        </w:rPr>
        <w:t>。</w:t>
      </w:r>
      <w:r>
        <w:rPr>
          <w:rFonts w:hint="eastAsia" w:ascii="Times New Roman" w:hAnsi="Times New Roman" w:eastAsia="仿宋_GB2312"/>
          <w:color w:val="000000" w:themeColor="text1"/>
          <w:sz w:val="32"/>
          <w:szCs w:val="32"/>
          <w14:textFill>
            <w14:solidFill>
              <w14:schemeClr w14:val="tx1"/>
            </w14:solidFill>
          </w14:textFill>
        </w:rPr>
        <w:t>有序推进集体经营性建设用地制度改革；提升金融服务乡村振兴能力；构建以企业与资本下乡、青壮年农民工返乡、农家子弟学成回乡“三乡”为主体的乡村人才、资本汇聚机制。</w:t>
      </w:r>
    </w:p>
    <w:p>
      <w:pPr>
        <w:spacing w:line="560" w:lineRule="exact"/>
        <w:ind w:firstLine="643" w:firstLineChars="200"/>
        <w:rPr>
          <w:rFonts w:ascii="Times New Roman" w:hAnsi="Times New Roman" w:eastAsia="仿宋_GB2312"/>
          <w:color w:val="000000" w:themeColor="text1"/>
          <w:sz w:val="32"/>
          <w:szCs w:val="32"/>
          <w14:textFill>
            <w14:solidFill>
              <w14:schemeClr w14:val="tx1"/>
            </w14:solidFill>
          </w14:textFill>
        </w:rPr>
      </w:pPr>
      <w:bookmarkStart w:id="232" w:name="_Toc1443"/>
      <w:r>
        <w:rPr>
          <w:rFonts w:hint="eastAsia" w:ascii="Times New Roman" w:hAnsi="Times New Roman" w:eastAsia="仿宋_GB2312"/>
          <w:b/>
          <w:bCs/>
          <w:color w:val="000000" w:themeColor="text1"/>
          <w:sz w:val="32"/>
          <w:szCs w:val="32"/>
          <w14:textFill>
            <w14:solidFill>
              <w14:schemeClr w14:val="tx1"/>
            </w14:solidFill>
          </w14:textFill>
        </w:rPr>
        <w:t>三、城乡公共服务普惠共享</w:t>
      </w:r>
      <w:bookmarkEnd w:id="232"/>
      <w:r>
        <w:rPr>
          <w:rFonts w:hint="eastAsia" w:ascii="Times New Roman" w:hAnsi="Times New Roman" w:eastAsia="仿宋_GB2312"/>
          <w:b/>
          <w:bCs/>
          <w:color w:val="000000" w:themeColor="text1"/>
          <w:sz w:val="32"/>
          <w:szCs w:val="32"/>
          <w14:textFill>
            <w14:solidFill>
              <w14:schemeClr w14:val="tx1"/>
            </w14:solidFill>
          </w14:textFill>
        </w:rPr>
        <w:t>。</w:t>
      </w:r>
      <w:r>
        <w:rPr>
          <w:rFonts w:hint="eastAsia" w:ascii="Times New Roman" w:hAnsi="Times New Roman" w:eastAsia="仿宋_GB2312"/>
          <w:color w:val="000000" w:themeColor="text1"/>
          <w:sz w:val="32"/>
          <w:szCs w:val="32"/>
          <w14:textFill>
            <w14:solidFill>
              <w14:schemeClr w14:val="tx1"/>
            </w14:solidFill>
          </w14:textFill>
        </w:rPr>
        <w:t>推动公共服务向农村延伸、社会事业向农村覆盖，健全全民覆盖、普惠共享、城乡一体的基本公共服务体系，稳步提高城乡基本公共服务均等化水平。</w:t>
      </w:r>
    </w:p>
    <w:p>
      <w:pPr>
        <w:spacing w:line="560" w:lineRule="exact"/>
        <w:ind w:firstLine="643" w:firstLineChars="200"/>
        <w:rPr>
          <w:rFonts w:ascii="Times New Roman" w:hAnsi="Times New Roman" w:eastAsia="仿宋_GB2312"/>
          <w:color w:val="000000" w:themeColor="text1"/>
          <w:sz w:val="32"/>
          <w:szCs w:val="32"/>
          <w14:textFill>
            <w14:solidFill>
              <w14:schemeClr w14:val="tx1"/>
            </w14:solidFill>
          </w14:textFill>
        </w:rPr>
        <w:sectPr>
          <w:footnotePr>
            <w:numFmt w:val="decimalEnclosedCircleChinese"/>
          </w:footnotePr>
          <w:pgSz w:w="11906" w:h="16838"/>
          <w:pgMar w:top="1587" w:right="1304" w:bottom="1304" w:left="1588" w:header="851" w:footer="850" w:gutter="0"/>
          <w:cols w:space="0" w:num="1"/>
          <w:docGrid w:type="lines" w:linePitch="312" w:charSpace="0"/>
        </w:sectPr>
      </w:pPr>
      <w:r>
        <w:rPr>
          <w:rFonts w:hint="eastAsia" w:ascii="Times New Roman" w:hAnsi="Times New Roman" w:eastAsia="仿宋_GB2312"/>
          <w:b/>
          <w:bCs/>
          <w:color w:val="000000" w:themeColor="text1"/>
          <w:sz w:val="32"/>
          <w:szCs w:val="32"/>
          <w14:textFill>
            <w14:solidFill>
              <w14:schemeClr w14:val="tx1"/>
            </w14:solidFill>
          </w14:textFill>
        </w:rPr>
        <w:t>四、统筹城乡产业发展。</w:t>
      </w:r>
      <w:r>
        <w:rPr>
          <w:rFonts w:hint="eastAsia" w:ascii="Times New Roman" w:hAnsi="Times New Roman" w:eastAsia="仿宋_GB2312"/>
          <w:color w:val="000000" w:themeColor="text1"/>
          <w:sz w:val="32"/>
          <w:szCs w:val="32"/>
          <w14:textFill>
            <w14:solidFill>
              <w14:schemeClr w14:val="tx1"/>
            </w14:solidFill>
          </w14:textFill>
        </w:rPr>
        <w:t>加快农村产业经济的发展，形成“以城带乡”的经济一体化发展格局；统筹社会事业发展，改善农村人居环境，大力实施“污垃”处理工程，完善景区景点、村屯相关规划，保护特色村和传统村落。引导农村住宅和居民点布局，支持农村完善村寨基础设施和公共设施，美化绿化村寨环境，推进“美丽龙胜、生态乡村”建设。</w:t>
      </w:r>
    </w:p>
    <w:p>
      <w:pPr>
        <w:pStyle w:val="4"/>
        <w:keepNext w:val="0"/>
        <w:keepLines w:val="0"/>
        <w:spacing w:before="0" w:after="0" w:line="560" w:lineRule="exact"/>
        <w:jc w:val="center"/>
        <w:rPr>
          <w:rFonts w:ascii="Times New Roman" w:hAnsi="Times New Roman" w:eastAsia="黑体" w:cs="Times New Roman"/>
          <w:b w:val="0"/>
          <w:color w:val="000000" w:themeColor="text1"/>
          <w14:textFill>
            <w14:solidFill>
              <w14:schemeClr w14:val="tx1"/>
            </w14:solidFill>
          </w14:textFill>
        </w:rPr>
      </w:pPr>
      <w:bookmarkStart w:id="233" w:name="_Toc61110805"/>
      <w:bookmarkStart w:id="234" w:name="_Toc9183"/>
      <w:bookmarkStart w:id="235" w:name="_Toc23726"/>
      <w:r>
        <w:rPr>
          <w:rFonts w:hint="eastAsia" w:ascii="Times New Roman" w:hAnsi="Times New Roman" w:eastAsia="黑体" w:cs="Times New Roman"/>
          <w:b w:val="0"/>
          <w:color w:val="000000" w:themeColor="text1"/>
          <w14:textFill>
            <w14:solidFill>
              <w14:schemeClr w14:val="tx1"/>
            </w14:solidFill>
          </w14:textFill>
        </w:rPr>
        <w:t>第十章  优化营商环境</w:t>
      </w:r>
      <w:bookmarkEnd w:id="178"/>
      <w:bookmarkEnd w:id="179"/>
      <w:r>
        <w:rPr>
          <w:rFonts w:hint="eastAsia" w:ascii="Times New Roman" w:hAnsi="Times New Roman" w:eastAsia="黑体" w:cs="Times New Roman"/>
          <w:b w:val="0"/>
          <w:color w:val="000000" w:themeColor="text1"/>
          <w14:textFill>
            <w14:solidFill>
              <w14:schemeClr w14:val="tx1"/>
            </w14:solidFill>
          </w14:textFill>
        </w:rPr>
        <w:t xml:space="preserve"> 加速招商引资</w:t>
      </w:r>
      <w:bookmarkEnd w:id="233"/>
      <w:bookmarkEnd w:id="234"/>
      <w:bookmarkEnd w:id="235"/>
    </w:p>
    <w:p>
      <w:pP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p>
    <w:p>
      <w:pP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color w:val="000000" w:themeColor="text1"/>
          <w:sz w:val="32"/>
          <w:szCs w:val="32"/>
          <w14:textFill>
            <w14:solidFill>
              <w14:schemeClr w14:val="tx1"/>
            </w14:solidFill>
          </w14:textFill>
        </w:rPr>
        <w:t>明确责任主体，齐抓共管、形成合力，创新行政审批体制机制，全面推进“双容双承诺”、“放管服”、“简易办”等优化服务改革，对全县所有审批事项进行整合，加强和规范事中事后监督，全面实现政务平台有效整合和互联互通。健全行政执行系统，提高政府抓落实的能力，解决政策落地“最后一公里”。改善企业发展过程中的建设经营、融资、人才、税费、信用、法治等环境，营造一流的亲商、爱商、护商的营商环境，降低全社会各类营商成本。深化工程建设项目审批制度改革，完善重大项目容缺审批、联审联批等机制。实行审慎监管和综合执法，保护各类市场主体的创新权益、财产权和经营权，最大限度激发市场活力和社会创造力，增强发展动力。</w:t>
      </w:r>
      <w:bookmarkStart w:id="236" w:name="_Toc9569"/>
      <w:bookmarkStart w:id="237" w:name="_Toc20020"/>
    </w:p>
    <w:p>
      <w:pPr>
        <w:spacing w:line="560" w:lineRule="exact"/>
        <w:ind w:firstLine="420" w:firstLineChars="200"/>
        <w:rPr>
          <w:rFonts w:ascii="Times New Roman" w:hAnsi="Times New Roman" w:eastAsia="仿宋_GB2312"/>
          <w:color w:val="000000" w:themeColor="text1"/>
          <w14:textFill>
            <w14:solidFill>
              <w14:schemeClr w14:val="tx1"/>
            </w14:solidFill>
          </w14:textFill>
        </w:rPr>
      </w:pPr>
      <w:bookmarkStart w:id="238" w:name="_Toc61110806"/>
      <w:bookmarkStart w:id="239" w:name="_Toc8098"/>
    </w:p>
    <w:p>
      <w:pPr>
        <w:pStyle w:val="5"/>
        <w:keepNext w:val="0"/>
        <w:keepLines w:val="0"/>
        <w:spacing w:before="0" w:after="0" w:line="560" w:lineRule="exact"/>
        <w:jc w:val="center"/>
        <w:rPr>
          <w:rFonts w:ascii="Times New Roman" w:hAnsi="Times New Roman" w:eastAsia="黑体"/>
          <w:b w:val="0"/>
          <w:color w:val="000000" w:themeColor="text1"/>
          <w14:textFill>
            <w14:solidFill>
              <w14:schemeClr w14:val="tx1"/>
            </w14:solidFill>
          </w14:textFill>
        </w:rPr>
      </w:pPr>
      <w:bookmarkStart w:id="240" w:name="_Toc28517"/>
      <w:r>
        <w:rPr>
          <w:rFonts w:hint="eastAsia" w:ascii="Times New Roman" w:hAnsi="Times New Roman" w:eastAsia="黑体"/>
          <w:b w:val="0"/>
          <w:color w:val="000000" w:themeColor="text1"/>
          <w14:textFill>
            <w14:solidFill>
              <w14:schemeClr w14:val="tx1"/>
            </w14:solidFill>
          </w14:textFill>
        </w:rPr>
        <w:t>第一节  提升政府服务效能</w:t>
      </w:r>
      <w:bookmarkEnd w:id="236"/>
      <w:bookmarkEnd w:id="237"/>
      <w:bookmarkEnd w:id="238"/>
      <w:bookmarkEnd w:id="239"/>
      <w:bookmarkEnd w:id="240"/>
    </w:p>
    <w:p>
      <w:pP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p>
    <w:p>
      <w:pP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color w:val="000000" w:themeColor="text1"/>
          <w:sz w:val="32"/>
          <w:szCs w:val="32"/>
          <w14:textFill>
            <w14:solidFill>
              <w14:schemeClr w14:val="tx1"/>
            </w14:solidFill>
          </w14:textFill>
        </w:rPr>
        <w:t>完善营商环境体制机制。持续深化“放管服”改革，推进政务服务“简易办”，优化再造流程，精简各项审批办理环节，健全部门协同工作机制。统筹谋划全面招商引资工作，加强一体化平台建设，推进数据资源整合和开放共享。编制并公布政务服务事项清单，实现政务服务事项线上“一网通办”。加快水电气审批系统建设，实现与工程建设项目审批管理系统对接。推进政务信息在企业开办、缴纳税费、人才引进、招标投标等领域共享，实现企业在“一窗通”平台并联办理银行基本户开办业务，提高涉税服务事项网上办理率。提高政府服务办事效率、推进企业办理业务实现从“最多跑一次”到“一次不用跑”目标。完善各类市场主体公平竞争的法治环境，以企业需求为导向，建立健全企业对营商环境的建议、评价、反馈机制，构建健康的新型政商关系。通过电话、微信、邮件、走访等方式，主动衔接前期对接的意向投资企业，按照“保姆式”服务标准，做好各项服务工作。加强与投资方的深度沟通，设身处地帮企业解难题，想方设法为企业消顾虑，以优质亲情式服务增强企业投资信心。</w:t>
      </w:r>
      <w:bookmarkStart w:id="241" w:name="_Toc1535"/>
      <w:bookmarkStart w:id="242" w:name="_Toc26497"/>
    </w:p>
    <w:p>
      <w:pPr>
        <w:spacing w:line="560" w:lineRule="exact"/>
        <w:ind w:firstLine="420" w:firstLineChars="200"/>
        <w:rPr>
          <w:rFonts w:ascii="Times New Roman" w:hAnsi="Times New Roman" w:eastAsia="仿宋_GB2312"/>
          <w:color w:val="000000" w:themeColor="text1"/>
          <w14:textFill>
            <w14:solidFill>
              <w14:schemeClr w14:val="tx1"/>
            </w14:solidFill>
          </w14:textFill>
        </w:rPr>
      </w:pPr>
      <w:bookmarkStart w:id="243" w:name="_Toc61110807"/>
      <w:bookmarkStart w:id="244" w:name="_Toc17029"/>
    </w:p>
    <w:p>
      <w:pPr>
        <w:pStyle w:val="5"/>
        <w:keepNext w:val="0"/>
        <w:keepLines w:val="0"/>
        <w:spacing w:before="0" w:after="0" w:line="560" w:lineRule="exact"/>
        <w:jc w:val="center"/>
        <w:rPr>
          <w:rFonts w:ascii="Times New Roman" w:hAnsi="Times New Roman" w:eastAsia="黑体"/>
          <w:b w:val="0"/>
          <w:color w:val="000000" w:themeColor="text1"/>
          <w14:textFill>
            <w14:solidFill>
              <w14:schemeClr w14:val="tx1"/>
            </w14:solidFill>
          </w14:textFill>
        </w:rPr>
      </w:pPr>
      <w:bookmarkStart w:id="245" w:name="_Toc4043"/>
      <w:r>
        <w:rPr>
          <w:rFonts w:hint="eastAsia" w:ascii="Times New Roman" w:hAnsi="Times New Roman" w:eastAsia="黑体"/>
          <w:b w:val="0"/>
          <w:color w:val="000000" w:themeColor="text1"/>
          <w14:textFill>
            <w14:solidFill>
              <w14:schemeClr w14:val="tx1"/>
            </w14:solidFill>
          </w14:textFill>
        </w:rPr>
        <w:t>第二节  降低企业经营成本</w:t>
      </w:r>
      <w:bookmarkEnd w:id="241"/>
      <w:bookmarkEnd w:id="242"/>
      <w:bookmarkEnd w:id="243"/>
      <w:bookmarkEnd w:id="244"/>
      <w:bookmarkEnd w:id="245"/>
    </w:p>
    <w:p>
      <w:pP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p>
    <w:p>
      <w:pP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color w:val="000000" w:themeColor="text1"/>
          <w:sz w:val="32"/>
          <w:szCs w:val="32"/>
          <w14:textFill>
            <w14:solidFill>
              <w14:schemeClr w14:val="tx1"/>
            </w14:solidFill>
          </w14:textFill>
        </w:rPr>
        <w:t>主动创新作为，科学调整方式，关注国家投资政策动态，抢抓国家对民生基础项目政策倾斜机遇，贯彻落实上级出台的相关减税降费政策，减轻市场主体的税费负担，遏制违规收费行为；加强中介收费规范管理，降低中介收费。减少小微企业参与政府采购费用；严格落实供水、供电、供气、通讯、邮政等公用事业服务收费公示制度，降低企业用能成本；制定市场准入、产业发展、招商引资、招标投标、政府采购、资质标准等与市场主体生产经营活动密切相关的规范性文件；建立常态化的市场主体意见征集机制，搭建政企沟通网上平台，抓好惠企政策兑现；加大新科技项目的策划包装和招引力度，补齐龙胜县新科技产业短板。</w:t>
      </w:r>
    </w:p>
    <w:p>
      <w:pPr>
        <w:spacing w:line="560" w:lineRule="exact"/>
        <w:ind w:firstLine="420" w:firstLineChars="200"/>
        <w:rPr>
          <w:rFonts w:ascii="Times New Roman" w:hAnsi="Times New Roman" w:eastAsia="仿宋_GB2312"/>
          <w:color w:val="000000" w:themeColor="text1"/>
          <w14:textFill>
            <w14:solidFill>
              <w14:schemeClr w14:val="tx1"/>
            </w14:solidFill>
          </w14:textFill>
        </w:rPr>
      </w:pPr>
      <w:bookmarkStart w:id="246" w:name="_Toc28938"/>
      <w:bookmarkStart w:id="247" w:name="_Toc16338"/>
      <w:bookmarkStart w:id="248" w:name="_Toc23584"/>
      <w:bookmarkStart w:id="249" w:name="_Toc61110808"/>
    </w:p>
    <w:p>
      <w:pPr>
        <w:pStyle w:val="2"/>
        <w:rPr>
          <w:rFonts w:ascii="Times New Roman" w:hAnsi="Times New Roman" w:eastAsia="仿宋_GB2312"/>
          <w:color w:val="000000" w:themeColor="text1"/>
          <w14:textFill>
            <w14:solidFill>
              <w14:schemeClr w14:val="tx1"/>
            </w14:solidFill>
          </w14:textFill>
        </w:rPr>
      </w:pPr>
    </w:p>
    <w:p>
      <w:pPr>
        <w:rPr>
          <w:rFonts w:ascii="Times New Roman" w:hAnsi="Times New Roman" w:eastAsia="仿宋_GB2312"/>
          <w:color w:val="000000" w:themeColor="text1"/>
          <w14:textFill>
            <w14:solidFill>
              <w14:schemeClr w14:val="tx1"/>
            </w14:solidFill>
          </w14:textFill>
        </w:rPr>
      </w:pPr>
    </w:p>
    <w:p>
      <w:pPr>
        <w:pStyle w:val="2"/>
        <w:rPr>
          <w:rFonts w:ascii="Times New Roman" w:hAnsi="Times New Roman" w:eastAsia="仿宋_GB2312"/>
          <w:color w:val="000000" w:themeColor="text1"/>
          <w14:textFill>
            <w14:solidFill>
              <w14:schemeClr w14:val="tx1"/>
            </w14:solidFill>
          </w14:textFill>
        </w:rPr>
      </w:pPr>
    </w:p>
    <w:p>
      <w:pPr>
        <w:rPr>
          <w:rFonts w:ascii="Times New Roman" w:hAnsi="Times New Roman"/>
        </w:rPr>
      </w:pPr>
    </w:p>
    <w:p>
      <w:pPr>
        <w:pStyle w:val="5"/>
        <w:keepNext w:val="0"/>
        <w:keepLines w:val="0"/>
        <w:spacing w:before="0" w:after="0" w:line="560" w:lineRule="exact"/>
        <w:jc w:val="center"/>
        <w:rPr>
          <w:rFonts w:ascii="Times New Roman" w:hAnsi="Times New Roman" w:eastAsia="楷体_GB2312"/>
          <w:b w:val="0"/>
          <w:color w:val="000000" w:themeColor="text1"/>
          <w14:textFill>
            <w14:solidFill>
              <w14:schemeClr w14:val="tx1"/>
            </w14:solidFill>
          </w14:textFill>
        </w:rPr>
      </w:pPr>
      <w:bookmarkStart w:id="250" w:name="_Toc21037"/>
      <w:r>
        <w:rPr>
          <w:rFonts w:hint="eastAsia" w:ascii="Times New Roman" w:hAnsi="Times New Roman" w:eastAsia="楷体_GB2312"/>
          <w:b w:val="0"/>
          <w:color w:val="000000" w:themeColor="text1"/>
          <w14:textFill>
            <w14:solidFill>
              <w14:schemeClr w14:val="tx1"/>
            </w14:solidFill>
          </w14:textFill>
        </w:rPr>
        <w:t>第三节  创新监管方式方法</w:t>
      </w:r>
      <w:bookmarkEnd w:id="246"/>
      <w:bookmarkEnd w:id="247"/>
      <w:bookmarkEnd w:id="248"/>
      <w:bookmarkEnd w:id="249"/>
      <w:bookmarkEnd w:id="250"/>
    </w:p>
    <w:p>
      <w:pP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p>
    <w:p>
      <w:pP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color w:val="000000" w:themeColor="text1"/>
          <w:sz w:val="32"/>
          <w:szCs w:val="32"/>
          <w14:textFill>
            <w14:solidFill>
              <w14:schemeClr w14:val="tx1"/>
            </w14:solidFill>
          </w14:textFill>
        </w:rPr>
        <w:t>完善对新业态的包容审慎监管，建立企业“容错”机制，制定对新产业、新业态、新模式首次轻微违法行为的不予处罚清单、减轻处罚清单和从轻处罚清单等“三张清单”；加强信用体系建设的广度和深度，推动各部门基础信用信息全面共享，优化完善公共信用信息系统功能，提高平台网站服务水平；完善信用评价、联合奖惩等机制，推进在审批事项和市场行为中的应用，加强社会应用需求分析和响应；构建信用为基础的新型监管机制意见的各项工作，促进信用体系建设形成创新特色。</w:t>
      </w:r>
    </w:p>
    <w:p>
      <w:pPr>
        <w:spacing w:line="560" w:lineRule="exact"/>
        <w:ind w:firstLine="420" w:firstLineChars="200"/>
        <w:rPr>
          <w:rFonts w:ascii="Times New Roman" w:hAnsi="Times New Roman" w:eastAsia="仿宋_GB2312"/>
          <w:color w:val="000000" w:themeColor="text1"/>
          <w14:textFill>
            <w14:solidFill>
              <w14:schemeClr w14:val="tx1"/>
            </w14:solidFill>
          </w14:textFill>
        </w:rPr>
      </w:pPr>
      <w:bookmarkStart w:id="251" w:name="_Toc21212"/>
      <w:bookmarkStart w:id="252" w:name="_Toc61110809"/>
    </w:p>
    <w:p>
      <w:pPr>
        <w:pStyle w:val="5"/>
        <w:keepNext w:val="0"/>
        <w:keepLines w:val="0"/>
        <w:spacing w:before="0" w:after="0" w:line="560" w:lineRule="exact"/>
        <w:jc w:val="center"/>
        <w:rPr>
          <w:rFonts w:ascii="Times New Roman" w:hAnsi="Times New Roman" w:eastAsia="黑体"/>
          <w:b w:val="0"/>
          <w:color w:val="000000" w:themeColor="text1"/>
          <w14:textFill>
            <w14:solidFill>
              <w14:schemeClr w14:val="tx1"/>
            </w14:solidFill>
          </w14:textFill>
        </w:rPr>
      </w:pPr>
      <w:bookmarkStart w:id="253" w:name="_Toc22716"/>
      <w:r>
        <w:rPr>
          <w:rFonts w:hint="eastAsia" w:ascii="Times New Roman" w:hAnsi="Times New Roman" w:eastAsia="黑体"/>
          <w:b w:val="0"/>
          <w:color w:val="000000" w:themeColor="text1"/>
          <w14:textFill>
            <w14:solidFill>
              <w14:schemeClr w14:val="tx1"/>
            </w14:solidFill>
          </w14:textFill>
        </w:rPr>
        <w:t>第四节  加大</w:t>
      </w:r>
      <w:bookmarkEnd w:id="251"/>
      <w:r>
        <w:rPr>
          <w:rFonts w:hint="eastAsia" w:ascii="Times New Roman" w:hAnsi="Times New Roman" w:eastAsia="黑体"/>
          <w:b w:val="0"/>
          <w:color w:val="000000" w:themeColor="text1"/>
          <w14:textFill>
            <w14:solidFill>
              <w14:schemeClr w14:val="tx1"/>
            </w14:solidFill>
          </w14:textFill>
        </w:rPr>
        <w:t>招商引资力度</w:t>
      </w:r>
      <w:bookmarkEnd w:id="252"/>
      <w:bookmarkEnd w:id="253"/>
    </w:p>
    <w:p>
      <w:pPr>
        <w:pBdr>
          <w:top w:val="single" w:color="FFFFFF" w:sz="4" w:space="0"/>
          <w:left w:val="single" w:color="FFFFFF" w:sz="4" w:space="31"/>
          <w:bottom w:val="single" w:color="FFFFFF" w:sz="4" w:space="30"/>
          <w:right w:val="single" w:color="FFFFFF" w:sz="4" w:space="2"/>
        </w:pBd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bookmarkStart w:id="254" w:name="_Toc61110810"/>
      <w:bookmarkStart w:id="255" w:name="_Toc3191"/>
      <w:bookmarkStart w:id="256" w:name="_Toc6943"/>
      <w:bookmarkStart w:id="257" w:name="_Toc25309"/>
    </w:p>
    <w:p>
      <w:pPr>
        <w:pBdr>
          <w:top w:val="single" w:color="FFFFFF" w:sz="4" w:space="0"/>
          <w:left w:val="single" w:color="FFFFFF" w:sz="4" w:space="31"/>
          <w:bottom w:val="single" w:color="FFFFFF" w:sz="4" w:space="30"/>
          <w:right w:val="single" w:color="FFFFFF" w:sz="4" w:space="2"/>
        </w:pBdr>
        <w:spacing w:line="560" w:lineRule="exact"/>
        <w:ind w:firstLine="640" w:firstLineChars="200"/>
        <w:rPr>
          <w:rFonts w:ascii="Times New Roman" w:hAnsi="Times New Roman" w:eastAsia="仿宋_GB2312"/>
          <w:bCs/>
          <w:color w:val="000000" w:themeColor="text1"/>
          <w:sz w:val="32"/>
          <w:szCs w:val="32"/>
          <w14:textFill>
            <w14:solidFill>
              <w14:schemeClr w14:val="tx1"/>
            </w14:solidFill>
          </w14:textFill>
        </w:rPr>
      </w:pPr>
      <w:r>
        <w:rPr>
          <w:rFonts w:hint="eastAsia" w:ascii="Times New Roman" w:hAnsi="Times New Roman" w:eastAsia="仿宋_GB2312"/>
          <w:color w:val="000000" w:themeColor="text1"/>
          <w:sz w:val="32"/>
          <w:szCs w:val="32"/>
          <w14:textFill>
            <w14:solidFill>
              <w14:schemeClr w14:val="tx1"/>
            </w14:solidFill>
          </w14:textFill>
        </w:rPr>
        <w:t>在做好营商环境的基础上，坚持“大招商、招大商”，围绕稳链、强链、补链，精心策划滑石、“两茶两果+特色养殖”产业、旅游等主导产业招商引资项目，建立企业信息库，搭建与各类行业协会合作平台。充分利用“大数据招商云”平台，组建招商专班，创新工作机制，整合招商资源，创新招商模式，持续开展园区大招商、部门产业大招商、产业小分队大招商、驻点产业大招商、委托产业大招商“五大”行动，实现点线面结合、全方位大招商。积极对接“三企入桂”，继续把珠三角、长三角、港澳台等作为重点区域，赴广东、浙江、福建等省份开展精准招商，大力引进领军企业、关联企业、衍生企业。坚持数量、质量并重，经济效益、生态效益并重，紧盯投资实力强、产业前景好、科技水平高、安全环保优、税收贡献大的项目开展招商。强化引进项目后续跟踪服务、提高协议履约率、资金到位率、项目开工率和竣工投产率。“十四五”时期力争实现招商引资项目50个以上，力争利用招商引资到位资金年均增长达到10%以上。</w:t>
      </w:r>
    </w:p>
    <w:p>
      <w:pPr>
        <w:pStyle w:val="4"/>
        <w:keepNext w:val="0"/>
        <w:keepLines w:val="0"/>
        <w:spacing w:before="0" w:after="0" w:line="560" w:lineRule="exact"/>
        <w:jc w:val="center"/>
        <w:rPr>
          <w:rFonts w:ascii="Times New Roman" w:hAnsi="Times New Roman" w:eastAsia="黑体" w:cs="Times New Roman"/>
          <w:b w:val="0"/>
          <w:color w:val="000000" w:themeColor="text1"/>
          <w14:textFill>
            <w14:solidFill>
              <w14:schemeClr w14:val="tx1"/>
            </w14:solidFill>
          </w14:textFill>
        </w:rPr>
      </w:pPr>
      <w:bookmarkStart w:id="258" w:name="_Toc6208"/>
      <w:r>
        <w:rPr>
          <w:rFonts w:hint="eastAsia" w:ascii="Times New Roman" w:hAnsi="Times New Roman" w:eastAsia="黑体" w:cs="Times New Roman"/>
          <w:b w:val="0"/>
          <w:color w:val="000000" w:themeColor="text1"/>
          <w14:textFill>
            <w14:solidFill>
              <w14:schemeClr w14:val="tx1"/>
            </w14:solidFill>
          </w14:textFill>
        </w:rPr>
        <w:t>第十一章  全面深化改革 构建共治体系</w:t>
      </w:r>
      <w:bookmarkEnd w:id="254"/>
      <w:bookmarkEnd w:id="255"/>
      <w:bookmarkEnd w:id="258"/>
      <w:bookmarkStart w:id="259" w:name="_Toc23686"/>
    </w:p>
    <w:p>
      <w:pP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p>
    <w:p>
      <w:pP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color w:val="000000" w:themeColor="text1"/>
          <w:sz w:val="32"/>
          <w:szCs w:val="32"/>
          <w14:textFill>
            <w14:solidFill>
              <w14:schemeClr w14:val="tx1"/>
            </w14:solidFill>
          </w14:textFill>
        </w:rPr>
        <w:t>扩大开放合作，激发经济社会发展活力。在“巩固、增强、提升、畅通”上下功夫，不断提升政府治理能力现代化水平，充分释放市场活力和改革红利。</w:t>
      </w:r>
      <w:bookmarkStart w:id="260" w:name="_Toc32228"/>
      <w:bookmarkStart w:id="261" w:name="_Toc2785"/>
      <w:bookmarkStart w:id="262" w:name="_Toc51619404"/>
      <w:bookmarkStart w:id="263" w:name="_Toc5629"/>
    </w:p>
    <w:p>
      <w:pPr>
        <w:spacing w:line="560" w:lineRule="exact"/>
        <w:ind w:firstLine="420" w:firstLineChars="200"/>
        <w:rPr>
          <w:rFonts w:ascii="Times New Roman" w:hAnsi="Times New Roman" w:eastAsia="仿宋_GB2312"/>
          <w:color w:val="000000" w:themeColor="text1"/>
          <w14:textFill>
            <w14:solidFill>
              <w14:schemeClr w14:val="tx1"/>
            </w14:solidFill>
          </w14:textFill>
        </w:rPr>
      </w:pPr>
      <w:bookmarkStart w:id="264" w:name="_Toc61110811"/>
      <w:bookmarkStart w:id="265" w:name="_Toc25739"/>
    </w:p>
    <w:p>
      <w:pPr>
        <w:pStyle w:val="5"/>
        <w:keepNext w:val="0"/>
        <w:keepLines w:val="0"/>
        <w:spacing w:before="0" w:after="0" w:line="560" w:lineRule="exact"/>
        <w:jc w:val="center"/>
        <w:rPr>
          <w:rFonts w:ascii="Times New Roman" w:hAnsi="Times New Roman" w:eastAsia="黑体"/>
          <w:b w:val="0"/>
          <w:color w:val="000000" w:themeColor="text1"/>
          <w14:textFill>
            <w14:solidFill>
              <w14:schemeClr w14:val="tx1"/>
            </w14:solidFill>
          </w14:textFill>
        </w:rPr>
      </w:pPr>
      <w:bookmarkStart w:id="266" w:name="_Toc6582"/>
      <w:r>
        <w:rPr>
          <w:rFonts w:hint="eastAsia" w:ascii="Times New Roman" w:hAnsi="Times New Roman" w:eastAsia="黑体"/>
          <w:b w:val="0"/>
          <w:color w:val="000000" w:themeColor="text1"/>
          <w14:textFill>
            <w14:solidFill>
              <w14:schemeClr w14:val="tx1"/>
            </w14:solidFill>
          </w14:textFill>
        </w:rPr>
        <w:t>第一节  要素资源市场化改革</w:t>
      </w:r>
      <w:bookmarkEnd w:id="260"/>
      <w:bookmarkEnd w:id="261"/>
      <w:bookmarkEnd w:id="262"/>
      <w:bookmarkEnd w:id="263"/>
      <w:bookmarkEnd w:id="264"/>
      <w:bookmarkEnd w:id="265"/>
      <w:bookmarkEnd w:id="266"/>
    </w:p>
    <w:p>
      <w:pPr>
        <w:pStyle w:val="53"/>
        <w:spacing w:line="560" w:lineRule="exact"/>
        <w:ind w:firstLine="640"/>
        <w:rPr>
          <w:rFonts w:ascii="Times New Roman" w:hAnsi="Times New Roman" w:eastAsia="仿宋_GB2312"/>
          <w:color w:val="000000" w:themeColor="text1"/>
          <w:sz w:val="32"/>
          <w:szCs w:val="32"/>
          <w14:textFill>
            <w14:solidFill>
              <w14:schemeClr w14:val="tx1"/>
            </w14:solidFill>
          </w14:textFill>
        </w:rPr>
      </w:pPr>
      <w:bookmarkStart w:id="267" w:name="_Toc5007"/>
      <w:bookmarkStart w:id="268" w:name="_Toc2800"/>
      <w:bookmarkStart w:id="269" w:name="_Toc1820"/>
      <w:bookmarkStart w:id="270" w:name="_Toc51619405"/>
    </w:p>
    <w:p>
      <w:pPr>
        <w:pStyle w:val="53"/>
        <w:spacing w:line="560" w:lineRule="exact"/>
        <w:ind w:firstLine="643"/>
        <w:rPr>
          <w:rFonts w:ascii="Times New Roman" w:hAnsi="Times New Roman" w:eastAsia="仿宋_GB2312"/>
          <w:b/>
          <w:bCs/>
          <w:color w:val="000000" w:themeColor="text1"/>
          <w:sz w:val="32"/>
          <w:szCs w:val="32"/>
          <w14:textFill>
            <w14:solidFill>
              <w14:schemeClr w14:val="tx1"/>
            </w14:solidFill>
          </w14:textFill>
        </w:rPr>
      </w:pPr>
      <w:r>
        <w:rPr>
          <w:rFonts w:hint="eastAsia" w:ascii="Times New Roman" w:hAnsi="Times New Roman" w:eastAsia="仿宋_GB2312"/>
          <w:b/>
          <w:bCs/>
          <w:color w:val="000000" w:themeColor="text1"/>
          <w:sz w:val="32"/>
          <w:szCs w:val="32"/>
          <w14:textFill>
            <w14:solidFill>
              <w14:schemeClr w14:val="tx1"/>
            </w14:solidFill>
          </w14:textFill>
        </w:rPr>
        <w:t>一、创新土地要素市场</w:t>
      </w:r>
      <w:bookmarkEnd w:id="267"/>
      <w:bookmarkEnd w:id="268"/>
      <w:bookmarkEnd w:id="269"/>
      <w:bookmarkEnd w:id="270"/>
      <w:r>
        <w:rPr>
          <w:rFonts w:hint="eastAsia" w:ascii="Times New Roman" w:hAnsi="Times New Roman" w:eastAsia="仿宋_GB2312"/>
          <w:b/>
          <w:bCs/>
          <w:color w:val="000000" w:themeColor="text1"/>
          <w:sz w:val="32"/>
          <w:szCs w:val="32"/>
          <w14:textFill>
            <w14:solidFill>
              <w14:schemeClr w14:val="tx1"/>
            </w14:solidFill>
          </w14:textFill>
        </w:rPr>
        <w:t>。</w:t>
      </w:r>
      <w:r>
        <w:rPr>
          <w:rFonts w:hint="eastAsia" w:ascii="Times New Roman" w:hAnsi="Times New Roman" w:eastAsia="仿宋_GB2312"/>
          <w:color w:val="000000" w:themeColor="text1"/>
          <w:sz w:val="32"/>
          <w:szCs w:val="32"/>
          <w14:textFill>
            <w14:solidFill>
              <w14:schemeClr w14:val="tx1"/>
            </w14:solidFill>
          </w14:textFill>
        </w:rPr>
        <w:t>土地要素市场化配置改革。加快建设城乡统一的建设用地市场，推动可连片开发区域土地依法合规整治入市，有效拓展城镇、工业及乡村振兴发展空间。优先保障城镇内部基础设施和公共服务设施用地需求，城镇空间土地主导用途为城镇建设、工业园区建设，探索实施多元化工业用地供给方式。开展工业用地“亩产效益”综合评价，倒逼落后产能和严重过剩产能退出，引导低效产业转型，提高土地利用效率。落实第二轮土地承包到期后再延长三十年政策，推进农村集体经营性建设用地、农村宅基地、征地制度等改革。农村土地集体所有制的有效实现形式，落实集体所有权、稳定农户承包权、放活土地经营权，盘活农村闲置房屋、集体建设用地、“四荒地</w:t>
      </w:r>
      <w:r>
        <w:rPr>
          <w:rFonts w:hint="eastAsia" w:ascii="Times New Roman" w:hAnsi="Times New Roman" w:eastAsia="仿宋_GB2312"/>
          <w:color w:val="000000" w:themeColor="text1"/>
          <w:sz w:val="32"/>
          <w:szCs w:val="32"/>
          <w:vertAlign w:val="superscript"/>
          <w14:textFill>
            <w14:solidFill>
              <w14:schemeClr w14:val="tx1"/>
            </w14:solidFill>
          </w14:textFill>
        </w:rPr>
        <w:footnoteReference w:id="10"/>
      </w:r>
      <w:r>
        <w:rPr>
          <w:rFonts w:hint="eastAsia" w:ascii="Times New Roman" w:hAnsi="Times New Roman" w:eastAsia="仿宋_GB2312"/>
          <w:color w:val="000000" w:themeColor="text1"/>
          <w:sz w:val="32"/>
          <w:szCs w:val="32"/>
          <w14:textFill>
            <w14:solidFill>
              <w14:schemeClr w14:val="tx1"/>
            </w14:solidFill>
          </w14:textFill>
        </w:rPr>
        <w:t>”、可用林场和水面等资产资源发展休闲农业、乡村旅游和健康养老。健全土地流转规范管理制度，引导承包地经营权有序流转，促进农村土地规模化经营。</w:t>
      </w:r>
    </w:p>
    <w:p>
      <w:pPr>
        <w:pStyle w:val="53"/>
        <w:spacing w:line="560" w:lineRule="exact"/>
        <w:ind w:firstLine="643"/>
        <w:rPr>
          <w:rFonts w:ascii="Times New Roman" w:hAnsi="Times New Roman" w:eastAsia="仿宋_GB2312"/>
          <w:b/>
          <w:bCs/>
          <w:color w:val="000000" w:themeColor="text1"/>
          <w:sz w:val="32"/>
          <w:szCs w:val="32"/>
          <w14:textFill>
            <w14:solidFill>
              <w14:schemeClr w14:val="tx1"/>
            </w14:solidFill>
          </w14:textFill>
        </w:rPr>
      </w:pPr>
      <w:bookmarkStart w:id="271" w:name="_Toc51619406"/>
      <w:bookmarkStart w:id="272" w:name="_Toc7502"/>
      <w:bookmarkStart w:id="273" w:name="_Toc13335"/>
      <w:bookmarkStart w:id="274" w:name="_Toc19885"/>
      <w:r>
        <w:rPr>
          <w:rFonts w:hint="eastAsia" w:ascii="Times New Roman" w:hAnsi="Times New Roman" w:eastAsia="仿宋_GB2312"/>
          <w:b/>
          <w:bCs/>
          <w:color w:val="000000" w:themeColor="text1"/>
          <w:sz w:val="32"/>
          <w:szCs w:val="32"/>
          <w14:textFill>
            <w14:solidFill>
              <w14:schemeClr w14:val="tx1"/>
            </w14:solidFill>
          </w14:textFill>
        </w:rPr>
        <w:t>二、增强金融服务</w:t>
      </w:r>
      <w:bookmarkEnd w:id="271"/>
      <w:bookmarkEnd w:id="272"/>
      <w:bookmarkEnd w:id="273"/>
      <w:bookmarkEnd w:id="274"/>
      <w:r>
        <w:rPr>
          <w:rFonts w:hint="eastAsia" w:ascii="Times New Roman" w:hAnsi="Times New Roman" w:eastAsia="仿宋_GB2312"/>
          <w:b/>
          <w:bCs/>
          <w:color w:val="000000" w:themeColor="text1"/>
          <w:sz w:val="32"/>
          <w:szCs w:val="32"/>
          <w14:textFill>
            <w14:solidFill>
              <w14:schemeClr w14:val="tx1"/>
            </w14:solidFill>
          </w14:textFill>
        </w:rPr>
        <w:t>。</w:t>
      </w:r>
      <w:r>
        <w:rPr>
          <w:rFonts w:hint="eastAsia" w:ascii="Times New Roman" w:hAnsi="Times New Roman" w:eastAsia="仿宋_GB2312"/>
          <w:color w:val="000000" w:themeColor="text1"/>
          <w:sz w:val="32"/>
          <w:szCs w:val="32"/>
          <w14:textFill>
            <w14:solidFill>
              <w14:schemeClr w14:val="tx1"/>
            </w14:solidFill>
          </w14:textFill>
        </w:rPr>
        <w:t>促进政银、政企、银企关系良性互动，健全普惠金融服务体系，完善支持小微型企业的财税金融政策。完善金融、科技、产业精准融合对接机制，用好政府投资基金、专项基金重点支持成长型中小企业、民营企业、传统产业重大技改和战略性新兴产业培育发展。引导各类专项基金重点支持成长型中小制造业企业、农村规模经营主体、传统产业重大技改、生态环保产业和战略性新兴产业培育发展。支持金融机构扩大“稳企贷”覆盖面，积极发展供应链金融。围绕企业差异化投融资需求，构建企业全生命周期的一站式金融服务。完善直接融资奖补政策，开展直接融资创新试点。提升实体经济直接融资比重，促进企业融资便利。对接政府专项债券政策，做好重大项目配套融资工作，建立健全金融风险防范处置体制机制。</w:t>
      </w:r>
    </w:p>
    <w:p>
      <w:pPr>
        <w:pStyle w:val="53"/>
        <w:spacing w:line="560" w:lineRule="exact"/>
        <w:ind w:firstLine="643"/>
        <w:rPr>
          <w:rFonts w:ascii="Times New Roman" w:hAnsi="Times New Roman" w:eastAsia="仿宋_GB2312"/>
          <w:b/>
          <w:bCs/>
          <w:color w:val="000000" w:themeColor="text1"/>
          <w:sz w:val="32"/>
          <w:szCs w:val="32"/>
          <w14:textFill>
            <w14:solidFill>
              <w14:schemeClr w14:val="tx1"/>
            </w14:solidFill>
          </w14:textFill>
        </w:rPr>
      </w:pPr>
      <w:bookmarkStart w:id="275" w:name="_Toc7723"/>
      <w:bookmarkStart w:id="276" w:name="_Toc51619407"/>
      <w:bookmarkStart w:id="277" w:name="_Toc31317"/>
      <w:bookmarkStart w:id="278" w:name="_Toc3321"/>
      <w:r>
        <w:rPr>
          <w:rFonts w:hint="eastAsia" w:ascii="Times New Roman" w:hAnsi="Times New Roman" w:eastAsia="仿宋_GB2312"/>
          <w:b/>
          <w:bCs/>
          <w:color w:val="000000" w:themeColor="text1"/>
          <w:sz w:val="32"/>
          <w:szCs w:val="32"/>
          <w14:textFill>
            <w14:solidFill>
              <w14:schemeClr w14:val="tx1"/>
            </w14:solidFill>
          </w14:textFill>
        </w:rPr>
        <w:t>三、培育数据要素</w:t>
      </w:r>
      <w:bookmarkEnd w:id="275"/>
      <w:bookmarkEnd w:id="276"/>
      <w:bookmarkEnd w:id="277"/>
      <w:bookmarkEnd w:id="278"/>
      <w:r>
        <w:rPr>
          <w:rFonts w:hint="eastAsia" w:ascii="Times New Roman" w:hAnsi="Times New Roman" w:eastAsia="仿宋_GB2312"/>
          <w:b/>
          <w:bCs/>
          <w:color w:val="000000" w:themeColor="text1"/>
          <w:sz w:val="32"/>
          <w:szCs w:val="32"/>
          <w14:textFill>
            <w14:solidFill>
              <w14:schemeClr w14:val="tx1"/>
            </w14:solidFill>
          </w14:textFill>
        </w:rPr>
        <w:t>。</w:t>
      </w:r>
      <w:r>
        <w:rPr>
          <w:rFonts w:hint="eastAsia" w:ascii="Times New Roman" w:hAnsi="Times New Roman" w:eastAsia="仿宋_GB2312"/>
          <w:color w:val="000000" w:themeColor="text1"/>
          <w:sz w:val="32"/>
          <w:szCs w:val="32"/>
          <w14:textFill>
            <w14:solidFill>
              <w14:schemeClr w14:val="tx1"/>
            </w14:solidFill>
          </w14:textFill>
        </w:rPr>
        <w:t>加强数据资源体系建设。</w:t>
      </w:r>
      <w:r>
        <w:rPr>
          <w:rFonts w:hint="eastAsia" w:ascii="Times New Roman" w:hAnsi="Times New Roman" w:eastAsia="仿宋_GB2312"/>
          <w:b/>
          <w:color w:val="000000" w:themeColor="text1"/>
          <w:sz w:val="32"/>
          <w:szCs w:val="32"/>
          <w14:textFill>
            <w14:solidFill>
              <w14:schemeClr w14:val="tx1"/>
            </w14:solidFill>
          </w14:textFill>
        </w:rPr>
        <w:t>一是</w:t>
      </w:r>
      <w:r>
        <w:rPr>
          <w:rFonts w:hint="eastAsia" w:ascii="Times New Roman" w:hAnsi="Times New Roman" w:eastAsia="仿宋_GB2312"/>
          <w:color w:val="000000" w:themeColor="text1"/>
          <w:sz w:val="32"/>
          <w:szCs w:val="32"/>
          <w14:textFill>
            <w14:solidFill>
              <w14:schemeClr w14:val="tx1"/>
            </w14:solidFill>
          </w14:textFill>
        </w:rPr>
        <w:t>构建数据标准体系、数据规范体系、数据管理体系、数字经济运行数据监测与任务考核体系，开发利用各类数据管理与应用的工具与平台，为数据的汇聚、流转、共享与利用奠定基础。</w:t>
      </w:r>
      <w:r>
        <w:rPr>
          <w:rFonts w:hint="eastAsia" w:ascii="Times New Roman" w:hAnsi="Times New Roman" w:eastAsia="仿宋_GB2312"/>
          <w:b/>
          <w:color w:val="000000" w:themeColor="text1"/>
          <w:sz w:val="32"/>
          <w:szCs w:val="32"/>
          <w14:textFill>
            <w14:solidFill>
              <w14:schemeClr w14:val="tx1"/>
            </w14:solidFill>
          </w14:textFill>
        </w:rPr>
        <w:t>二是</w:t>
      </w:r>
      <w:r>
        <w:rPr>
          <w:rFonts w:hint="eastAsia" w:ascii="Times New Roman" w:hAnsi="Times New Roman" w:eastAsia="仿宋_GB2312"/>
          <w:color w:val="000000" w:themeColor="text1"/>
          <w:sz w:val="32"/>
          <w:szCs w:val="32"/>
          <w14:textFill>
            <w14:solidFill>
              <w14:schemeClr w14:val="tx1"/>
            </w14:solidFill>
          </w14:textFill>
        </w:rPr>
        <w:t>推动数据资源汇聚、开放与共享。推动政务数据资源管理与应用规范文件出台，建立政务数据权属主体认定制度，制定数据开放共享标准，出台数据共享责任清单，加快公共数据开放平台、数据共享交换平台推广应用，推动各部门间数据共享交换，逐步推进数据资源汇聚，合理推动潜在价值大、社会需求旺盛的公共机构数据对社会开放，促进各行业的数据共享，最大限度挖掘和提升数据价值。</w:t>
      </w:r>
    </w:p>
    <w:p>
      <w:pPr>
        <w:spacing w:line="560" w:lineRule="exact"/>
        <w:ind w:firstLine="643"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b/>
          <w:color w:val="000000" w:themeColor="text1"/>
          <w:sz w:val="32"/>
          <w:szCs w:val="32"/>
          <w14:textFill>
            <w14:solidFill>
              <w14:schemeClr w14:val="tx1"/>
            </w14:solidFill>
          </w14:textFill>
        </w:rPr>
        <w:t>三是</w:t>
      </w:r>
      <w:r>
        <w:rPr>
          <w:rFonts w:hint="eastAsia" w:ascii="Times New Roman" w:hAnsi="Times New Roman" w:eastAsia="仿宋_GB2312"/>
          <w:color w:val="000000" w:themeColor="text1"/>
          <w:sz w:val="32"/>
          <w:szCs w:val="32"/>
          <w14:textFill>
            <w14:solidFill>
              <w14:schemeClr w14:val="tx1"/>
            </w14:solidFill>
          </w14:textFill>
        </w:rPr>
        <w:t>加强数据资源整合和安全保护。探索建立数据隐私保护和安全审查制度，提高数据质量和规范性，丰富数据产品。推动完善数据分类分级安全保护制度，加强对政务数据、企业商业秘密和个人数据的保护。</w:t>
      </w:r>
    </w:p>
    <w:p>
      <w:pPr>
        <w:pStyle w:val="53"/>
        <w:spacing w:line="560" w:lineRule="exact"/>
        <w:ind w:firstLine="643"/>
        <w:rPr>
          <w:rFonts w:ascii="Times New Roman" w:hAnsi="Times New Roman" w:eastAsia="仿宋_GB2312"/>
          <w:b/>
          <w:bCs/>
          <w:color w:val="000000" w:themeColor="text1"/>
          <w:sz w:val="32"/>
          <w:szCs w:val="32"/>
          <w14:textFill>
            <w14:solidFill>
              <w14:schemeClr w14:val="tx1"/>
            </w14:solidFill>
          </w14:textFill>
        </w:rPr>
      </w:pPr>
      <w:bookmarkStart w:id="279" w:name="_Toc17256"/>
      <w:r>
        <w:rPr>
          <w:rFonts w:hint="eastAsia" w:ascii="Times New Roman" w:hAnsi="Times New Roman" w:eastAsia="仿宋_GB2312"/>
          <w:b/>
          <w:bCs/>
          <w:color w:val="000000" w:themeColor="text1"/>
          <w:sz w:val="32"/>
          <w:szCs w:val="32"/>
          <w14:textFill>
            <w14:solidFill>
              <w14:schemeClr w14:val="tx1"/>
            </w14:solidFill>
          </w14:textFill>
        </w:rPr>
        <w:t>四、劳动力流动有序</w:t>
      </w:r>
      <w:bookmarkEnd w:id="279"/>
      <w:r>
        <w:rPr>
          <w:rFonts w:hint="eastAsia" w:ascii="Times New Roman" w:hAnsi="Times New Roman" w:eastAsia="仿宋_GB2312"/>
          <w:b/>
          <w:bCs/>
          <w:color w:val="000000" w:themeColor="text1"/>
          <w:sz w:val="32"/>
          <w:szCs w:val="32"/>
          <w14:textFill>
            <w14:solidFill>
              <w14:schemeClr w14:val="tx1"/>
            </w14:solidFill>
          </w14:textFill>
        </w:rPr>
        <w:t>。落实</w:t>
      </w:r>
      <w:r>
        <w:rPr>
          <w:rFonts w:hint="eastAsia" w:ascii="Times New Roman" w:hAnsi="Times New Roman" w:eastAsia="仿宋_GB2312"/>
          <w:color w:val="000000" w:themeColor="text1"/>
          <w:sz w:val="32"/>
          <w:szCs w:val="32"/>
          <w14:textFill>
            <w14:solidFill>
              <w14:schemeClr w14:val="tx1"/>
            </w14:solidFill>
          </w14:textFill>
        </w:rPr>
        <w:t>深化户籍制度改革，全面放开城镇落户条件，完善户口迁移政策，简化落户手续，放宽居住证申领条件。畅通劳动力和人才社会性流动渠道。健全统一规范的人力资源市场体系，完善技术技能评价制度。以职业能力为核心制定职业标准，进一步打破户籍、地域、身份、档案、人事关系等制约，畅通非公有制经济组织、社会组织、自由职业专业技术人员职称申报渠道。</w:t>
      </w:r>
    </w:p>
    <w:p>
      <w:pPr>
        <w:pStyle w:val="53"/>
        <w:spacing w:line="560" w:lineRule="exact"/>
        <w:ind w:firstLine="643"/>
        <w:rPr>
          <w:rFonts w:ascii="Times New Roman" w:hAnsi="Times New Roman" w:eastAsia="仿宋_GB2312"/>
          <w:color w:val="000000" w:themeColor="text1"/>
          <w:sz w:val="32"/>
          <w:szCs w:val="32"/>
          <w14:textFill>
            <w14:solidFill>
              <w14:schemeClr w14:val="tx1"/>
            </w14:solidFill>
          </w14:textFill>
        </w:rPr>
      </w:pPr>
      <w:bookmarkStart w:id="280" w:name="_Toc24909"/>
      <w:r>
        <w:rPr>
          <w:rFonts w:hint="eastAsia" w:ascii="Times New Roman" w:hAnsi="Times New Roman" w:eastAsia="仿宋_GB2312"/>
          <w:b/>
          <w:bCs/>
          <w:color w:val="000000" w:themeColor="text1"/>
          <w:sz w:val="32"/>
          <w:szCs w:val="32"/>
          <w14:textFill>
            <w14:solidFill>
              <w14:schemeClr w14:val="tx1"/>
            </w14:solidFill>
          </w14:textFill>
        </w:rPr>
        <w:t>（五）技术要素市场</w:t>
      </w:r>
      <w:bookmarkEnd w:id="280"/>
      <w:r>
        <w:rPr>
          <w:rFonts w:hint="eastAsia" w:ascii="Times New Roman" w:hAnsi="Times New Roman" w:eastAsia="仿宋_GB2312"/>
          <w:b/>
          <w:bCs/>
          <w:color w:val="000000" w:themeColor="text1"/>
          <w:sz w:val="32"/>
          <w:szCs w:val="32"/>
          <w14:textFill>
            <w14:solidFill>
              <w14:schemeClr w14:val="tx1"/>
            </w14:solidFill>
          </w14:textFill>
        </w:rPr>
        <w:t>。</w:t>
      </w:r>
      <w:r>
        <w:rPr>
          <w:rFonts w:hint="eastAsia" w:ascii="Times New Roman" w:hAnsi="Times New Roman" w:eastAsia="仿宋_GB2312"/>
          <w:color w:val="000000" w:themeColor="text1"/>
          <w:sz w:val="32"/>
          <w:szCs w:val="32"/>
          <w14:textFill>
            <w14:solidFill>
              <w14:schemeClr w14:val="tx1"/>
            </w14:solidFill>
          </w14:textFill>
        </w:rPr>
        <w:t>健全职务科技成果产权制度。完善职务科技成果转化收益分配制度、科技创新资源配置方式以及完善科技计划管理体系。鼓励自筹经费参与科研项目实施，激励全社会加大研发投入。扩大科研项目经费使用包干制试点，在技术攻关类和成果转化类等项目中试行揭榜制。推进技术转移人才培养基地建设，支持各类技术人员兼职从事技术转移工作，加大市场化、专业化技术经理人培养。</w:t>
      </w:r>
      <w:bookmarkStart w:id="281" w:name="_Toc61110812"/>
      <w:bookmarkStart w:id="282" w:name="_Toc22047"/>
      <w:bookmarkStart w:id="283" w:name="_Toc51619409"/>
      <w:bookmarkStart w:id="284" w:name="_Toc28861"/>
      <w:bookmarkStart w:id="285" w:name="_Toc31752"/>
      <w:bookmarkStart w:id="286" w:name="_Toc24545"/>
    </w:p>
    <w:p>
      <w:pPr>
        <w:pStyle w:val="53"/>
        <w:spacing w:line="560" w:lineRule="exact"/>
        <w:ind w:firstLine="640"/>
        <w:rPr>
          <w:rFonts w:ascii="Times New Roman" w:hAnsi="Times New Roman" w:eastAsia="仿宋_GB2312"/>
          <w:color w:val="000000" w:themeColor="text1"/>
          <w:sz w:val="32"/>
          <w:szCs w:val="32"/>
          <w14:textFill>
            <w14:solidFill>
              <w14:schemeClr w14:val="tx1"/>
            </w14:solidFill>
          </w14:textFill>
        </w:rPr>
      </w:pPr>
    </w:p>
    <w:p>
      <w:pPr>
        <w:pStyle w:val="5"/>
        <w:keepNext w:val="0"/>
        <w:keepLines w:val="0"/>
        <w:spacing w:before="0" w:after="0" w:line="560" w:lineRule="exact"/>
        <w:jc w:val="center"/>
        <w:rPr>
          <w:rFonts w:ascii="Times New Roman" w:hAnsi="Times New Roman" w:eastAsia="黑体"/>
          <w:b w:val="0"/>
          <w:color w:val="000000" w:themeColor="text1"/>
          <w14:textFill>
            <w14:solidFill>
              <w14:schemeClr w14:val="tx1"/>
            </w14:solidFill>
          </w14:textFill>
        </w:rPr>
      </w:pPr>
      <w:bookmarkStart w:id="287" w:name="_Toc6565"/>
      <w:r>
        <w:rPr>
          <w:rFonts w:hint="eastAsia" w:ascii="Times New Roman" w:hAnsi="Times New Roman" w:eastAsia="黑体"/>
          <w:b w:val="0"/>
          <w:color w:val="000000" w:themeColor="text1"/>
          <w14:textFill>
            <w14:solidFill>
              <w14:schemeClr w14:val="tx1"/>
            </w14:solidFill>
          </w14:textFill>
        </w:rPr>
        <w:t>第二节  推进重点领域改革</w:t>
      </w:r>
      <w:bookmarkEnd w:id="281"/>
      <w:bookmarkEnd w:id="282"/>
      <w:bookmarkEnd w:id="283"/>
      <w:bookmarkEnd w:id="284"/>
      <w:bookmarkEnd w:id="285"/>
      <w:bookmarkEnd w:id="286"/>
      <w:bookmarkEnd w:id="287"/>
    </w:p>
    <w:p>
      <w:pPr>
        <w:pStyle w:val="56"/>
        <w:spacing w:line="560" w:lineRule="exact"/>
        <w:ind w:firstLine="640"/>
        <w:rPr>
          <w:rFonts w:ascii="Times New Roman" w:hAnsi="Times New Roman" w:eastAsia="仿宋_GB2312"/>
          <w:color w:val="000000" w:themeColor="text1"/>
          <w:sz w:val="32"/>
          <w:szCs w:val="32"/>
          <w14:textFill>
            <w14:solidFill>
              <w14:schemeClr w14:val="tx1"/>
            </w14:solidFill>
          </w14:textFill>
        </w:rPr>
      </w:pPr>
      <w:bookmarkStart w:id="288" w:name="_Toc51619410"/>
      <w:bookmarkStart w:id="289" w:name="_Toc32119"/>
      <w:bookmarkStart w:id="290" w:name="_Toc25917"/>
      <w:bookmarkStart w:id="291" w:name="_Toc24385"/>
    </w:p>
    <w:p>
      <w:pPr>
        <w:pStyle w:val="56"/>
        <w:spacing w:line="560" w:lineRule="exact"/>
        <w:ind w:firstLine="643"/>
        <w:rPr>
          <w:rFonts w:ascii="Times New Roman" w:hAnsi="Times New Roman" w:eastAsia="仿宋_GB2312"/>
          <w:b/>
          <w:bCs/>
          <w:color w:val="000000" w:themeColor="text1"/>
          <w:sz w:val="32"/>
          <w:szCs w:val="32"/>
          <w14:textFill>
            <w14:solidFill>
              <w14:schemeClr w14:val="tx1"/>
            </w14:solidFill>
          </w14:textFill>
        </w:rPr>
      </w:pPr>
      <w:r>
        <w:rPr>
          <w:rFonts w:hint="eastAsia" w:ascii="Times New Roman" w:hAnsi="Times New Roman" w:eastAsia="仿宋_GB2312"/>
          <w:b/>
          <w:bCs/>
          <w:color w:val="000000" w:themeColor="text1"/>
          <w:sz w:val="32"/>
          <w:szCs w:val="32"/>
          <w14:textFill>
            <w14:solidFill>
              <w14:schemeClr w14:val="tx1"/>
            </w14:solidFill>
          </w14:textFill>
        </w:rPr>
        <w:t>一、深化财税体制改革</w:t>
      </w:r>
      <w:bookmarkEnd w:id="288"/>
      <w:bookmarkEnd w:id="289"/>
      <w:bookmarkEnd w:id="290"/>
      <w:bookmarkEnd w:id="291"/>
      <w:r>
        <w:rPr>
          <w:rFonts w:hint="eastAsia" w:ascii="Times New Roman" w:hAnsi="Times New Roman" w:eastAsia="仿宋_GB2312"/>
          <w:b/>
          <w:bCs/>
          <w:color w:val="000000" w:themeColor="text1"/>
          <w:sz w:val="32"/>
          <w:szCs w:val="32"/>
          <w14:textFill>
            <w14:solidFill>
              <w14:schemeClr w14:val="tx1"/>
            </w14:solidFill>
          </w14:textFill>
        </w:rPr>
        <w:t>。</w:t>
      </w:r>
      <w:r>
        <w:rPr>
          <w:rFonts w:hint="eastAsia" w:ascii="Times New Roman" w:hAnsi="Times New Roman" w:eastAsia="仿宋_GB2312"/>
          <w:color w:val="000000" w:themeColor="text1"/>
          <w:sz w:val="32"/>
          <w:szCs w:val="32"/>
          <w14:textFill>
            <w14:solidFill>
              <w14:schemeClr w14:val="tx1"/>
            </w14:solidFill>
          </w14:textFill>
        </w:rPr>
        <w:t>完善政府采购，实施电子化政府采购“政采云”平台建设，促进政府采购领域公平竞争、优化营商环境，严格执行公平竞争审查制度；推进财政项目预结算评审工作，强化评审政策落实；推进财政信息公开，通过报纸、网络等媒体公开县本级预决算和部门预决算；推进预算绩效管理，拓展绩效评价的广度和深度，提高财政资金支出绩效；推行国库集中支付电子化改革，减少部门财务违规操支付，建立起“安全网”。</w:t>
      </w:r>
    </w:p>
    <w:p>
      <w:pPr>
        <w:pStyle w:val="56"/>
        <w:spacing w:line="560" w:lineRule="exact"/>
        <w:ind w:firstLine="643"/>
        <w:rPr>
          <w:rFonts w:ascii="Times New Roman" w:hAnsi="Times New Roman" w:eastAsia="仿宋_GB2312"/>
          <w:b/>
          <w:bCs/>
          <w:color w:val="000000" w:themeColor="text1"/>
          <w:sz w:val="32"/>
          <w:szCs w:val="32"/>
          <w14:textFill>
            <w14:solidFill>
              <w14:schemeClr w14:val="tx1"/>
            </w14:solidFill>
          </w14:textFill>
        </w:rPr>
      </w:pPr>
      <w:bookmarkStart w:id="292" w:name="_Toc51619411"/>
      <w:bookmarkStart w:id="293" w:name="_Toc32118"/>
      <w:bookmarkStart w:id="294" w:name="_Toc8359"/>
      <w:bookmarkStart w:id="295" w:name="_Toc26187"/>
      <w:r>
        <w:rPr>
          <w:rFonts w:hint="eastAsia" w:ascii="Times New Roman" w:hAnsi="Times New Roman" w:eastAsia="仿宋_GB2312"/>
          <w:b/>
          <w:bCs/>
          <w:color w:val="000000" w:themeColor="text1"/>
          <w:sz w:val="32"/>
          <w:szCs w:val="32"/>
          <w14:textFill>
            <w14:solidFill>
              <w14:schemeClr w14:val="tx1"/>
            </w14:solidFill>
          </w14:textFill>
        </w:rPr>
        <w:t>二、深化投融资体制改革</w:t>
      </w:r>
      <w:bookmarkEnd w:id="292"/>
      <w:bookmarkEnd w:id="293"/>
      <w:bookmarkEnd w:id="294"/>
      <w:bookmarkEnd w:id="295"/>
      <w:r>
        <w:rPr>
          <w:rFonts w:hint="eastAsia" w:ascii="Times New Roman" w:hAnsi="Times New Roman" w:eastAsia="仿宋_GB2312"/>
          <w:b/>
          <w:bCs/>
          <w:color w:val="000000" w:themeColor="text1"/>
          <w:sz w:val="32"/>
          <w:szCs w:val="32"/>
          <w14:textFill>
            <w14:solidFill>
              <w14:schemeClr w14:val="tx1"/>
            </w14:solidFill>
          </w14:textFill>
        </w:rPr>
        <w:t>。</w:t>
      </w:r>
      <w:r>
        <w:rPr>
          <w:rFonts w:hint="eastAsia" w:ascii="Times New Roman" w:hAnsi="Times New Roman" w:eastAsia="仿宋_GB2312"/>
          <w:color w:val="000000" w:themeColor="text1"/>
          <w:sz w:val="32"/>
          <w:szCs w:val="32"/>
          <w14:textFill>
            <w14:solidFill>
              <w14:schemeClr w14:val="tx1"/>
            </w14:solidFill>
          </w14:textFill>
        </w:rPr>
        <w:t>深化投融资体制改革。发挥好政府投资的引导和带动作用，吸引社会资金参与县城和重点乡镇扩容提质、乡村振兴、社会民生事业、重大基础设施项目建设。多管齐下改革投融资体制，发挥好政府投资的引导和带动作用，激活民间投资，鼓励民间资本参与基础设施补短板重点领域建设，确立企业投资主体地位，吸引更多社会资金参与中心城区扩容提质、乡村振兴、社会民生事业、重大基础设施项目建设；建立健全金融服务实体经济体制机制，搭建新型金融发展平台，构建市、区、县联动的新型政策性融资担保体系，缓解中小企业融资难、融资贵等问题。健全地方金融风险监测、预警和处置机制；推动政府和社会资本合作（PPP）项目融资建设，积极引入新型融资工具，根据不同项目的特点，选取不同的投融资模式。</w:t>
      </w:r>
      <w:bookmarkStart w:id="296" w:name="_Toc9448"/>
      <w:bookmarkStart w:id="297" w:name="_Toc11402"/>
      <w:bookmarkStart w:id="298" w:name="_Toc51619412"/>
      <w:r>
        <w:rPr>
          <w:rFonts w:hint="eastAsia" w:ascii="Times New Roman" w:hAnsi="Times New Roman" w:eastAsia="仿宋_GB2312"/>
          <w:color w:val="000000" w:themeColor="text1"/>
          <w:sz w:val="32"/>
          <w:szCs w:val="32"/>
          <w14:textFill>
            <w14:solidFill>
              <w14:schemeClr w14:val="tx1"/>
            </w14:solidFill>
          </w14:textFill>
        </w:rPr>
        <w:t>有效利用国外优惠贷款，支持生态修复、环境保护、职业教育等项目建设，推动龙胜企业与外资企业开展投资、品牌与技术合作。</w:t>
      </w:r>
      <w:bookmarkEnd w:id="296"/>
      <w:bookmarkEnd w:id="297"/>
      <w:bookmarkEnd w:id="298"/>
      <w:bookmarkStart w:id="299" w:name="_Toc51619413"/>
      <w:bookmarkStart w:id="300" w:name="_Toc5922"/>
      <w:bookmarkStart w:id="301" w:name="_Toc25400"/>
      <w:bookmarkStart w:id="302" w:name="_Toc16295"/>
    </w:p>
    <w:p>
      <w:pPr>
        <w:pStyle w:val="56"/>
        <w:spacing w:line="560" w:lineRule="exact"/>
        <w:ind w:firstLine="643"/>
        <w:rPr>
          <w:rFonts w:ascii="Times New Roman" w:hAnsi="Times New Roman" w:eastAsia="仿宋_GB2312"/>
          <w:b/>
          <w:bCs/>
          <w:color w:val="000000" w:themeColor="text1"/>
          <w:sz w:val="32"/>
          <w:szCs w:val="32"/>
          <w14:textFill>
            <w14:solidFill>
              <w14:schemeClr w14:val="tx1"/>
            </w14:solidFill>
          </w14:textFill>
        </w:rPr>
      </w:pPr>
      <w:r>
        <w:rPr>
          <w:rFonts w:hint="eastAsia" w:ascii="Times New Roman" w:hAnsi="Times New Roman" w:eastAsia="仿宋_GB2312"/>
          <w:b/>
          <w:bCs/>
          <w:color w:val="000000" w:themeColor="text1"/>
          <w:sz w:val="32"/>
          <w:szCs w:val="32"/>
          <w14:textFill>
            <w14:solidFill>
              <w14:schemeClr w14:val="tx1"/>
            </w14:solidFill>
          </w14:textFill>
        </w:rPr>
        <w:t>三、激活非公经济</w:t>
      </w:r>
      <w:bookmarkEnd w:id="299"/>
      <w:bookmarkEnd w:id="300"/>
      <w:bookmarkEnd w:id="301"/>
      <w:bookmarkEnd w:id="302"/>
      <w:r>
        <w:rPr>
          <w:rFonts w:hint="eastAsia" w:ascii="Times New Roman" w:hAnsi="Times New Roman" w:eastAsia="仿宋_GB2312"/>
          <w:b/>
          <w:bCs/>
          <w:color w:val="000000" w:themeColor="text1"/>
          <w:sz w:val="32"/>
          <w:szCs w:val="32"/>
          <w14:textFill>
            <w14:solidFill>
              <w14:schemeClr w14:val="tx1"/>
            </w14:solidFill>
          </w14:textFill>
        </w:rPr>
        <w:t>。</w:t>
      </w:r>
      <w:r>
        <w:rPr>
          <w:rFonts w:hint="eastAsia" w:ascii="Times New Roman" w:hAnsi="Times New Roman" w:eastAsia="仿宋_GB2312"/>
          <w:color w:val="000000" w:themeColor="text1"/>
          <w:sz w:val="32"/>
          <w:szCs w:val="32"/>
          <w14:textFill>
            <w14:solidFill>
              <w14:schemeClr w14:val="tx1"/>
            </w14:solidFill>
          </w14:textFill>
        </w:rPr>
        <w:t>建立公平开放透明的市场规则，实行统一的市场准入制度，清理和废除妨碍统一市场和公平竞争的规定和做法。实施市场准入负面清单制度，拓宽民间投资的领域和范围，充分合理考虑个体、民营、外资企业的合法权益和合理诉求。健全现代产权制度，推进产权保护法制化，依法保护各种所有制经济产权和合法利益。完善现代市场体系，形成企业自主经营、公平竞争，消费者自由选择、自主消费，商品和要素自由流动、平等交换的现代市场体系，清除各类市场壁垒，提高资源配置效率和公平性。鼓励民营企业、外资企业依法进入能源、交通、水利、电信、教育、文化等行业和领域，全面推行以竞争性方式确定项目投资主体，平等享受市场准入待遇和公共服务资源、公平获得生产要素。</w:t>
      </w:r>
    </w:p>
    <w:p>
      <w:pPr>
        <w:spacing w:line="560" w:lineRule="exact"/>
        <w:ind w:firstLine="420" w:firstLineChars="200"/>
        <w:rPr>
          <w:rFonts w:ascii="Times New Roman" w:hAnsi="Times New Roman" w:eastAsia="仿宋_GB2312"/>
          <w:color w:val="000000" w:themeColor="text1"/>
          <w14:textFill>
            <w14:solidFill>
              <w14:schemeClr w14:val="tx1"/>
            </w14:solidFill>
          </w14:textFill>
        </w:rPr>
      </w:pPr>
      <w:bookmarkStart w:id="303" w:name="_Toc30956"/>
      <w:bookmarkStart w:id="304" w:name="_Toc18821"/>
      <w:bookmarkStart w:id="305" w:name="_Toc21476"/>
      <w:bookmarkStart w:id="306" w:name="_Toc51619414"/>
      <w:bookmarkStart w:id="307" w:name="_Toc11509"/>
      <w:bookmarkStart w:id="308" w:name="_Toc61110813"/>
    </w:p>
    <w:p>
      <w:pPr>
        <w:pStyle w:val="5"/>
        <w:keepNext w:val="0"/>
        <w:keepLines w:val="0"/>
        <w:spacing w:before="0" w:after="0" w:line="560" w:lineRule="exact"/>
        <w:jc w:val="center"/>
        <w:rPr>
          <w:rFonts w:ascii="Times New Roman" w:hAnsi="Times New Roman" w:eastAsia="黑体"/>
          <w:b w:val="0"/>
          <w:color w:val="000000" w:themeColor="text1"/>
          <w14:textFill>
            <w14:solidFill>
              <w14:schemeClr w14:val="tx1"/>
            </w14:solidFill>
          </w14:textFill>
        </w:rPr>
      </w:pPr>
      <w:bookmarkStart w:id="309" w:name="_Toc15001"/>
      <w:r>
        <w:rPr>
          <w:rFonts w:hint="eastAsia" w:ascii="Times New Roman" w:hAnsi="Times New Roman" w:eastAsia="黑体"/>
          <w:b w:val="0"/>
          <w:color w:val="000000" w:themeColor="text1"/>
          <w14:textFill>
            <w14:solidFill>
              <w14:schemeClr w14:val="tx1"/>
            </w14:solidFill>
          </w14:textFill>
        </w:rPr>
        <w:t>第三节  提升政府治理能力</w:t>
      </w:r>
      <w:bookmarkEnd w:id="303"/>
      <w:bookmarkEnd w:id="304"/>
      <w:bookmarkEnd w:id="305"/>
      <w:bookmarkEnd w:id="306"/>
      <w:bookmarkEnd w:id="307"/>
      <w:bookmarkEnd w:id="308"/>
      <w:bookmarkEnd w:id="309"/>
    </w:p>
    <w:p>
      <w:pP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bookmarkStart w:id="310" w:name="_Toc10375"/>
      <w:bookmarkStart w:id="311" w:name="_Toc13651"/>
      <w:bookmarkStart w:id="312" w:name="_Toc51619415"/>
      <w:bookmarkStart w:id="313" w:name="_Toc29198"/>
    </w:p>
    <w:p>
      <w:pPr>
        <w:spacing w:line="560" w:lineRule="exact"/>
        <w:ind w:firstLine="643"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b/>
          <w:bCs/>
          <w:color w:val="000000" w:themeColor="text1"/>
          <w:sz w:val="32"/>
          <w:szCs w:val="32"/>
          <w14:textFill>
            <w14:solidFill>
              <w14:schemeClr w14:val="tx1"/>
            </w14:solidFill>
          </w14:textFill>
        </w:rPr>
        <w:t>一、提高政府治理效能。</w:t>
      </w:r>
      <w:r>
        <w:rPr>
          <w:rFonts w:hint="eastAsia" w:ascii="Times New Roman" w:hAnsi="Times New Roman" w:eastAsia="仿宋_GB2312"/>
          <w:color w:val="000000" w:themeColor="text1"/>
          <w:sz w:val="32"/>
          <w:szCs w:val="32"/>
          <w14:textFill>
            <w14:solidFill>
              <w14:schemeClr w14:val="tx1"/>
            </w14:solidFill>
          </w14:textFill>
        </w:rPr>
        <w:t>转变政府治理理念、创新行政方式、优化行政流程，正确履行政府职能，处理好政府和市场的关系，提高政府施政能力和水平，建设人民满意的服务型政府。</w:t>
      </w:r>
    </w:p>
    <w:p>
      <w:pPr>
        <w:spacing w:line="560" w:lineRule="exact"/>
        <w:ind w:firstLine="643"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b/>
          <w:bCs/>
          <w:color w:val="000000" w:themeColor="text1"/>
          <w:sz w:val="32"/>
          <w:szCs w:val="32"/>
          <w14:textFill>
            <w14:solidFill>
              <w14:schemeClr w14:val="tx1"/>
            </w14:solidFill>
          </w14:textFill>
        </w:rPr>
        <w:t>二、健全公共安全体系。</w:t>
      </w:r>
      <w:r>
        <w:rPr>
          <w:rFonts w:hint="eastAsia" w:ascii="Times New Roman" w:hAnsi="Times New Roman" w:eastAsia="仿宋_GB2312"/>
          <w:color w:val="000000" w:themeColor="text1"/>
          <w:sz w:val="32"/>
          <w:szCs w:val="32"/>
          <w14:textFill>
            <w14:solidFill>
              <w14:schemeClr w14:val="tx1"/>
            </w14:solidFill>
          </w14:textFill>
        </w:rPr>
        <w:t>建立立体化、信息化社会治安防控体系，大力推进雪亮工程等政法基础设施建设，依法严厉打击各类违法活动。</w:t>
      </w:r>
    </w:p>
    <w:p>
      <w:pPr>
        <w:pStyle w:val="31"/>
        <w:autoSpaceDE/>
        <w:autoSpaceDN/>
        <w:adjustRightInd/>
        <w:spacing w:line="560" w:lineRule="exact"/>
        <w:ind w:firstLine="643" w:firstLineChars="200"/>
        <w:jc w:val="both"/>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b/>
          <w:bCs/>
          <w:color w:val="000000" w:themeColor="text1"/>
          <w:kern w:val="2"/>
          <w:sz w:val="32"/>
          <w:szCs w:val="32"/>
          <w14:textFill>
            <w14:solidFill>
              <w14:schemeClr w14:val="tx1"/>
            </w14:solidFill>
          </w14:textFill>
        </w:rPr>
        <w:t>三、提升应急和防灾减灾能力。</w:t>
      </w:r>
      <w:r>
        <w:rPr>
          <w:rFonts w:hint="eastAsia" w:ascii="Times New Roman" w:hAnsi="Times New Roman" w:eastAsia="仿宋_GB2312"/>
          <w:color w:val="000000" w:themeColor="text1"/>
          <w:sz w:val="32"/>
          <w:szCs w:val="32"/>
          <w14:textFill>
            <w14:solidFill>
              <w14:schemeClr w14:val="tx1"/>
            </w14:solidFill>
          </w14:textFill>
        </w:rPr>
        <w:t>完善防灾减灾救灾和应急管理体制机制，加强综合应急基础设施和救援队伍建设，全面提升各类灾害事故的应急救援能力。</w:t>
      </w:r>
      <w:r>
        <w:rPr>
          <w:rFonts w:hint="eastAsia" w:ascii="Times New Roman" w:hAnsi="Times New Roman" w:eastAsia="仿宋_GB2312"/>
          <w:color w:val="000000" w:themeColor="text1"/>
          <w:kern w:val="2"/>
          <w:sz w:val="32"/>
          <w:szCs w:val="32"/>
          <w14:textFill>
            <w14:solidFill>
              <w14:schemeClr w14:val="tx1"/>
            </w14:solidFill>
          </w14:textFill>
        </w:rPr>
        <w:t>结合人防进行城市建设，完善人防相关设施，建立人民防空体系，保障战时人民生命财产安全。</w:t>
      </w:r>
    </w:p>
    <w:p>
      <w:pPr>
        <w:spacing w:line="560" w:lineRule="exact"/>
        <w:ind w:firstLine="643"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b/>
          <w:bCs/>
          <w:color w:val="000000" w:themeColor="text1"/>
          <w:sz w:val="32"/>
          <w:szCs w:val="32"/>
          <w14:textFill>
            <w14:solidFill>
              <w14:schemeClr w14:val="tx1"/>
            </w14:solidFill>
          </w14:textFill>
        </w:rPr>
        <w:t>四、支持国防和军队建设。</w:t>
      </w:r>
      <w:r>
        <w:rPr>
          <w:rFonts w:hint="eastAsia" w:ascii="Times New Roman" w:hAnsi="Times New Roman" w:eastAsia="仿宋_GB2312"/>
          <w:color w:val="000000" w:themeColor="text1"/>
          <w:sz w:val="32"/>
          <w:szCs w:val="32"/>
          <w14:textFill>
            <w14:solidFill>
              <w14:schemeClr w14:val="tx1"/>
            </w14:solidFill>
          </w14:textFill>
        </w:rPr>
        <w:t>全面落实军事政策制度改革有关法律法规，助力驻龙胜军队部队现代化建设和练兵备战，聚力完善国防动员体系。贯彻党管武装根本原则，巩固深化民兵调整改革成果，落实军人军属和民兵待遇保障政策，推动军民融合深度发展，巩固军政军民团结。加强国防动员力量建设，提高国防动员各类专业保障队伍建设质量。加强国家安全人民防线建设，增强全民国家安全意识，提高防范抵御国家安全风险能力。</w:t>
      </w:r>
    </w:p>
    <w:p>
      <w:pPr>
        <w:pStyle w:val="2"/>
        <w:spacing w:line="560" w:lineRule="exact"/>
        <w:rPr>
          <w:rFonts w:ascii="Times New Roman" w:hAnsi="Times New Roman" w:eastAsia="仿宋_GB2312"/>
          <w:color w:val="000000" w:themeColor="text1"/>
          <w:sz w:val="32"/>
          <w:szCs w:val="32"/>
          <w14:textFill>
            <w14:solidFill>
              <w14:schemeClr w14:val="tx1"/>
            </w14:solidFill>
          </w14:textFill>
        </w:rPr>
      </w:pPr>
    </w:p>
    <w:bookmarkEnd w:id="259"/>
    <w:bookmarkEnd w:id="310"/>
    <w:bookmarkEnd w:id="311"/>
    <w:bookmarkEnd w:id="312"/>
    <w:bookmarkEnd w:id="313"/>
    <w:p>
      <w:pPr>
        <w:pStyle w:val="4"/>
        <w:keepNext w:val="0"/>
        <w:keepLines w:val="0"/>
        <w:spacing w:before="0" w:after="0" w:line="560" w:lineRule="exact"/>
        <w:jc w:val="center"/>
        <w:rPr>
          <w:rFonts w:ascii="Times New Roman" w:hAnsi="Times New Roman" w:eastAsia="黑体" w:cs="Times New Roman"/>
          <w:b w:val="0"/>
          <w:color w:val="000000" w:themeColor="text1"/>
          <w14:textFill>
            <w14:solidFill>
              <w14:schemeClr w14:val="tx1"/>
            </w14:solidFill>
          </w14:textFill>
        </w:rPr>
      </w:pPr>
      <w:bookmarkStart w:id="314" w:name="_Toc26496"/>
      <w:bookmarkStart w:id="315" w:name="_Toc11369"/>
      <w:bookmarkStart w:id="316" w:name="_Toc61110814"/>
      <w:r>
        <w:rPr>
          <w:rFonts w:hint="eastAsia" w:ascii="Times New Roman" w:hAnsi="Times New Roman" w:eastAsia="黑体" w:cs="Times New Roman"/>
          <w:b w:val="0"/>
          <w:color w:val="000000" w:themeColor="text1"/>
          <w14:textFill>
            <w14:solidFill>
              <w14:schemeClr w14:val="tx1"/>
            </w14:solidFill>
          </w14:textFill>
        </w:rPr>
        <w:t>第十二章  打造服务集聚 提升服务水平</w:t>
      </w:r>
      <w:bookmarkEnd w:id="314"/>
      <w:bookmarkEnd w:id="315"/>
      <w:bookmarkEnd w:id="316"/>
    </w:p>
    <w:p>
      <w:pP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p>
    <w:p>
      <w:pP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color w:val="000000" w:themeColor="text1"/>
          <w:sz w:val="32"/>
          <w:szCs w:val="32"/>
          <w14:textFill>
            <w14:solidFill>
              <w14:schemeClr w14:val="tx1"/>
            </w14:solidFill>
          </w14:textFill>
        </w:rPr>
        <w:t>坚持“生态立县，绿色发展”理念，积极创建全域旅游示范区、打造国际旅游目的地和旅游康养示范基地。发展生态旅游、休闲度假、康养运动、农耕文化、民俗文化、红色文化、康养文化等促进旅游转型；发展生态工农业、商贸、现代物流、科教信息等服务业。以高端要素集聚、产城融合发展、国际合作共建、服务功能升级为导向，建设具有特色现代服务业集聚区，拓展服务领域，提升服务业层次和水平，推进龙胜县与粤桂黔湘、港澳台及东盟各国等地区和国际现代服务业领域的交流与合作，健全现代服务业体系，增强龙胜县服务业竞争力。在“十四五”期全县服务业增加值力争年均增长6.0%以上。</w:t>
      </w:r>
    </w:p>
    <w:p>
      <w:pPr>
        <w:spacing w:line="560" w:lineRule="exact"/>
        <w:ind w:firstLine="420" w:firstLineChars="200"/>
        <w:rPr>
          <w:rFonts w:ascii="Times New Roman" w:hAnsi="Times New Roman" w:eastAsia="仿宋_GB2312"/>
          <w:color w:val="000000" w:themeColor="text1"/>
          <w14:textFill>
            <w14:solidFill>
              <w14:schemeClr w14:val="tx1"/>
            </w14:solidFill>
          </w14:textFill>
        </w:rPr>
      </w:pPr>
      <w:bookmarkStart w:id="317" w:name="_Toc14037"/>
      <w:bookmarkStart w:id="318" w:name="_Toc13913"/>
      <w:bookmarkStart w:id="319" w:name="_Toc26134"/>
      <w:bookmarkStart w:id="320" w:name="_Toc5585"/>
      <w:bookmarkStart w:id="321" w:name="_Toc21393"/>
      <w:bookmarkStart w:id="322" w:name="_Toc61110815"/>
      <w:bookmarkStart w:id="323" w:name="_Toc7692"/>
    </w:p>
    <w:p>
      <w:pPr>
        <w:pStyle w:val="5"/>
        <w:keepNext w:val="0"/>
        <w:keepLines w:val="0"/>
        <w:spacing w:before="0" w:after="0" w:line="560" w:lineRule="exact"/>
        <w:jc w:val="center"/>
        <w:rPr>
          <w:rFonts w:ascii="Times New Roman" w:hAnsi="Times New Roman" w:eastAsia="黑体"/>
          <w:b w:val="0"/>
          <w:color w:val="000000" w:themeColor="text1"/>
          <w14:textFill>
            <w14:solidFill>
              <w14:schemeClr w14:val="tx1"/>
            </w14:solidFill>
          </w14:textFill>
        </w:rPr>
      </w:pPr>
      <w:bookmarkStart w:id="324" w:name="_Toc29730"/>
      <w:r>
        <w:rPr>
          <w:rFonts w:hint="eastAsia" w:ascii="Times New Roman" w:hAnsi="Times New Roman" w:eastAsia="黑体"/>
          <w:b w:val="0"/>
          <w:color w:val="000000" w:themeColor="text1"/>
          <w14:textFill>
            <w14:solidFill>
              <w14:schemeClr w14:val="tx1"/>
            </w14:solidFill>
          </w14:textFill>
        </w:rPr>
        <w:t xml:space="preserve">第一节 </w:t>
      </w:r>
      <w:bookmarkEnd w:id="317"/>
      <w:bookmarkEnd w:id="318"/>
      <w:bookmarkEnd w:id="319"/>
      <w:bookmarkEnd w:id="320"/>
      <w:bookmarkEnd w:id="321"/>
      <w:bookmarkStart w:id="325" w:name="_Toc30085489"/>
      <w:bookmarkStart w:id="326" w:name="_Toc18341"/>
      <w:bookmarkStart w:id="327" w:name="_Toc18302"/>
      <w:bookmarkStart w:id="328" w:name="_Toc27681134"/>
      <w:bookmarkStart w:id="329" w:name="_Hlk27428968"/>
      <w:bookmarkStart w:id="330" w:name="_Toc27471869"/>
      <w:bookmarkStart w:id="331" w:name="_Toc32104"/>
      <w:bookmarkStart w:id="332" w:name="_Toc29322"/>
      <w:bookmarkStart w:id="333" w:name="_Toc27680978"/>
      <w:bookmarkStart w:id="334" w:name="_Toc17274"/>
      <w:r>
        <w:rPr>
          <w:rFonts w:hint="eastAsia" w:ascii="Times New Roman" w:hAnsi="Times New Roman" w:eastAsia="黑体"/>
          <w:b w:val="0"/>
          <w:color w:val="000000" w:themeColor="text1"/>
          <w14:textFill>
            <w14:solidFill>
              <w14:schemeClr w14:val="tx1"/>
            </w14:solidFill>
          </w14:textFill>
        </w:rPr>
        <w:t xml:space="preserve"> 增强生产服务业竞争力</w:t>
      </w:r>
      <w:bookmarkEnd w:id="322"/>
      <w:bookmarkEnd w:id="323"/>
      <w:bookmarkEnd w:id="324"/>
    </w:p>
    <w:bookmarkEnd w:id="325"/>
    <w:bookmarkEnd w:id="326"/>
    <w:bookmarkEnd w:id="327"/>
    <w:bookmarkEnd w:id="328"/>
    <w:bookmarkEnd w:id="329"/>
    <w:bookmarkEnd w:id="330"/>
    <w:bookmarkEnd w:id="331"/>
    <w:bookmarkEnd w:id="332"/>
    <w:bookmarkEnd w:id="333"/>
    <w:bookmarkEnd w:id="334"/>
    <w:p>
      <w:pP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p>
    <w:p>
      <w:pP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color w:val="000000" w:themeColor="text1"/>
          <w:sz w:val="32"/>
          <w:szCs w:val="32"/>
          <w14:textFill>
            <w14:solidFill>
              <w14:schemeClr w14:val="tx1"/>
            </w14:solidFill>
          </w14:textFill>
        </w:rPr>
        <w:t>发展生产性服务业，培育商贸物流、冷链物流、供应链物流、电商快递物流等业态，打造龙胜县物流中心，发展具备区域物流集聚辐射能力的物流产业集群，为区域性商贸活动、消费需求提供商品仓储、联运、分拨配送等物流服务。支持物流企业深化信息化、智能化改造升级。</w:t>
      </w:r>
    </w:p>
    <w:p>
      <w:pPr>
        <w:spacing w:line="560" w:lineRule="exact"/>
        <w:ind w:firstLine="643" w:firstLineChars="200"/>
        <w:rPr>
          <w:rFonts w:ascii="Times New Roman" w:hAnsi="Times New Roman" w:eastAsia="仿宋_GB2312"/>
          <w:b/>
          <w:bCs/>
          <w:color w:val="000000" w:themeColor="text1"/>
          <w:sz w:val="32"/>
          <w:szCs w:val="32"/>
          <w14:textFill>
            <w14:solidFill>
              <w14:schemeClr w14:val="tx1"/>
            </w14:solidFill>
          </w14:textFill>
        </w:rPr>
      </w:pPr>
      <w:r>
        <w:rPr>
          <w:rFonts w:hint="eastAsia" w:ascii="Times New Roman" w:hAnsi="Times New Roman" w:eastAsia="仿宋_GB2312"/>
          <w:b/>
          <w:bCs/>
          <w:color w:val="000000" w:themeColor="text1"/>
          <w:sz w:val="32"/>
          <w:szCs w:val="32"/>
          <w14:textFill>
            <w14:solidFill>
              <w14:schemeClr w14:val="tx1"/>
            </w14:solidFill>
          </w14:textFill>
        </w:rPr>
        <w:t>一、发展商务服务业。</w:t>
      </w:r>
      <w:r>
        <w:rPr>
          <w:rFonts w:hint="eastAsia" w:ascii="Times New Roman" w:hAnsi="Times New Roman" w:eastAsia="仿宋_GB2312"/>
          <w:color w:val="000000" w:themeColor="text1"/>
          <w:sz w:val="32"/>
          <w:szCs w:val="32"/>
          <w14:textFill>
            <w14:solidFill>
              <w14:schemeClr w14:val="tx1"/>
            </w14:solidFill>
          </w14:textFill>
        </w:rPr>
        <w:t>推进先进一、二产业与现代服务业深度融合，发展供应链、平台经济、工业互联网创新应用、咨询与调查服务等服务业新业态。加快培育本地特色品牌展会，开发龙胜传统民族民俗节庆，因地制宜举办特色商业性节庆会展活动。</w:t>
      </w:r>
    </w:p>
    <w:p>
      <w:pPr>
        <w:spacing w:line="560" w:lineRule="exact"/>
        <w:ind w:firstLine="643" w:firstLineChars="200"/>
        <w:rPr>
          <w:rFonts w:ascii="Times New Roman" w:hAnsi="Times New Roman" w:eastAsia="仿宋_GB2312"/>
          <w:b/>
          <w:bCs/>
          <w:color w:val="000000" w:themeColor="text1"/>
          <w:sz w:val="32"/>
          <w:szCs w:val="32"/>
          <w14:textFill>
            <w14:solidFill>
              <w14:schemeClr w14:val="tx1"/>
            </w14:solidFill>
          </w14:textFill>
        </w:rPr>
      </w:pPr>
      <w:r>
        <w:rPr>
          <w:rFonts w:hint="eastAsia" w:ascii="Times New Roman" w:hAnsi="Times New Roman" w:eastAsia="仿宋_GB2312"/>
          <w:b/>
          <w:bCs/>
          <w:color w:val="000000" w:themeColor="text1"/>
          <w:sz w:val="32"/>
          <w:szCs w:val="32"/>
          <w14:textFill>
            <w14:solidFill>
              <w14:schemeClr w14:val="tx1"/>
            </w14:solidFill>
          </w14:textFill>
        </w:rPr>
        <w:t>二、发展文化服务业。</w:t>
      </w:r>
      <w:r>
        <w:rPr>
          <w:rFonts w:hint="eastAsia" w:ascii="Times New Roman" w:hAnsi="Times New Roman" w:eastAsia="仿宋_GB2312"/>
          <w:color w:val="000000" w:themeColor="text1"/>
          <w:sz w:val="32"/>
          <w:szCs w:val="32"/>
          <w14:textFill>
            <w14:solidFill>
              <w14:schemeClr w14:val="tx1"/>
            </w14:solidFill>
          </w14:textFill>
        </w:rPr>
        <w:t>根据人民群众日益增长的精神文化生活新期待，创新发展以文化艺术消费为核心的服务业。通过举办龙脊梯田文化节、晒衣节、跳香节、侗年节等节庆活动，宣传与传承龙胜特色文化，打造“龙胜百节县”品牌，同时引进区内外优秀文化产品和文艺作品，满足人民群众个性化、多样化、品质化的精神消费需求。</w:t>
      </w:r>
    </w:p>
    <w:p>
      <w:pPr>
        <w:spacing w:line="560" w:lineRule="exact"/>
        <w:ind w:firstLine="643" w:firstLineChars="200"/>
        <w:rPr>
          <w:rFonts w:ascii="Times New Roman" w:hAnsi="Times New Roman" w:eastAsia="仿宋_GB2312"/>
          <w:b/>
          <w:bCs/>
          <w:color w:val="000000" w:themeColor="text1"/>
          <w:sz w:val="32"/>
          <w:szCs w:val="32"/>
          <w14:textFill>
            <w14:solidFill>
              <w14:schemeClr w14:val="tx1"/>
            </w14:solidFill>
          </w14:textFill>
        </w:rPr>
      </w:pPr>
      <w:r>
        <w:rPr>
          <w:rFonts w:hint="eastAsia" w:ascii="Times New Roman" w:hAnsi="Times New Roman" w:eastAsia="仿宋_GB2312"/>
          <w:b/>
          <w:bCs/>
          <w:color w:val="000000" w:themeColor="text1"/>
          <w:sz w:val="32"/>
          <w:szCs w:val="32"/>
          <w14:textFill>
            <w14:solidFill>
              <w14:schemeClr w14:val="tx1"/>
            </w14:solidFill>
          </w14:textFill>
        </w:rPr>
        <w:t>三、完善金融服务体系。</w:t>
      </w:r>
      <w:r>
        <w:rPr>
          <w:rFonts w:hint="eastAsia" w:ascii="Times New Roman" w:hAnsi="Times New Roman" w:eastAsia="仿宋_GB2312"/>
          <w:color w:val="000000" w:themeColor="text1"/>
          <w:sz w:val="32"/>
          <w:szCs w:val="32"/>
          <w14:textFill>
            <w14:solidFill>
              <w14:schemeClr w14:val="tx1"/>
            </w14:solidFill>
          </w14:textFill>
        </w:rPr>
        <w:t>发展科技金融、绿色金融、供应链金融等产业，探索设立养老保险公司。统筹推进研发设计、中介服务、检验检测认证、电子商务、人力资源服务等生产性服务业发展。</w:t>
      </w:r>
    </w:p>
    <w:p>
      <w:pPr>
        <w:spacing w:line="560" w:lineRule="exact"/>
        <w:ind w:firstLine="643" w:firstLineChars="200"/>
        <w:rPr>
          <w:rFonts w:ascii="Times New Roman" w:hAnsi="Times New Roman" w:eastAsia="仿宋_GB2312"/>
          <w:bCs/>
          <w:color w:val="000000" w:themeColor="text1"/>
          <w:sz w:val="32"/>
          <w:szCs w:val="32"/>
          <w14:textFill>
            <w14:solidFill>
              <w14:schemeClr w14:val="tx1"/>
            </w14:solidFill>
          </w14:textFill>
        </w:rPr>
      </w:pPr>
      <w:r>
        <w:rPr>
          <w:rFonts w:hint="eastAsia" w:ascii="Times New Roman" w:hAnsi="Times New Roman" w:eastAsia="仿宋_GB2312"/>
          <w:b/>
          <w:bCs/>
          <w:color w:val="000000" w:themeColor="text1"/>
          <w:sz w:val="32"/>
          <w:szCs w:val="32"/>
          <w14:textFill>
            <w14:solidFill>
              <w14:schemeClr w14:val="tx1"/>
            </w14:solidFill>
          </w14:textFill>
        </w:rPr>
        <w:t>四、发展信息服务业。</w:t>
      </w:r>
      <w:r>
        <w:rPr>
          <w:rFonts w:hint="eastAsia" w:ascii="Times New Roman" w:hAnsi="Times New Roman" w:eastAsia="仿宋_GB2312"/>
          <w:color w:val="000000" w:themeColor="text1"/>
          <w:sz w:val="32"/>
          <w:szCs w:val="32"/>
          <w14:textFill>
            <w14:solidFill>
              <w14:schemeClr w14:val="tx1"/>
            </w14:solidFill>
          </w14:textFill>
        </w:rPr>
        <w:t>加大信息基础设施建设力度，加快5G和宽带网络建设，充分运用“互联网+”发展模式，推动电子政务</w:t>
      </w:r>
      <w:r>
        <w:rPr>
          <w:rFonts w:hint="eastAsia" w:ascii="Times New Roman" w:hAnsi="Times New Roman" w:eastAsia="仿宋_GB2312"/>
          <w:bCs/>
          <w:color w:val="000000" w:themeColor="text1"/>
          <w:sz w:val="32"/>
          <w:szCs w:val="32"/>
          <w14:textFill>
            <w14:solidFill>
              <w14:schemeClr w14:val="tx1"/>
            </w14:solidFill>
          </w14:textFill>
        </w:rPr>
        <w:t>和电子商务，积极促进互联网与传统产业融合发展，科学整合全</w:t>
      </w:r>
      <w:r>
        <w:rPr>
          <w:rFonts w:hint="eastAsia" w:ascii="Times New Roman" w:hAnsi="Times New Roman" w:eastAsia="仿宋_GB2312"/>
          <w:color w:val="000000" w:themeColor="text1"/>
          <w:sz w:val="32"/>
          <w:szCs w:val="32"/>
          <w14:textFill>
            <w14:solidFill>
              <w14:schemeClr w14:val="tx1"/>
            </w14:solidFill>
          </w14:textFill>
        </w:rPr>
        <w:t>县信息平台。</w:t>
      </w:r>
      <w:bookmarkStart w:id="335" w:name="_Toc61110816"/>
      <w:bookmarkStart w:id="336" w:name="_Toc27773"/>
    </w:p>
    <w:p>
      <w:pPr>
        <w:spacing w:line="560" w:lineRule="exact"/>
        <w:ind w:firstLine="640" w:firstLineChars="200"/>
        <w:rPr>
          <w:rFonts w:ascii="Times New Roman" w:hAnsi="Times New Roman" w:eastAsia="仿宋_GB2312"/>
          <w:bCs/>
          <w:color w:val="000000" w:themeColor="text1"/>
          <w:sz w:val="32"/>
          <w:szCs w:val="32"/>
          <w14:textFill>
            <w14:solidFill>
              <w14:schemeClr w14:val="tx1"/>
            </w14:solidFill>
          </w14:textFill>
        </w:rPr>
      </w:pPr>
    </w:p>
    <w:p>
      <w:pPr>
        <w:pStyle w:val="5"/>
        <w:keepNext w:val="0"/>
        <w:keepLines w:val="0"/>
        <w:spacing w:before="0" w:after="0" w:line="560" w:lineRule="exact"/>
        <w:jc w:val="center"/>
        <w:rPr>
          <w:rFonts w:ascii="Times New Roman" w:hAnsi="Times New Roman" w:eastAsia="黑体"/>
          <w:b w:val="0"/>
          <w:color w:val="000000" w:themeColor="text1"/>
          <w14:textFill>
            <w14:solidFill>
              <w14:schemeClr w14:val="tx1"/>
            </w14:solidFill>
          </w14:textFill>
        </w:rPr>
      </w:pPr>
      <w:bookmarkStart w:id="337" w:name="_Toc13293"/>
      <w:r>
        <w:rPr>
          <w:rFonts w:hint="eastAsia" w:ascii="Times New Roman" w:hAnsi="Times New Roman" w:eastAsia="黑体"/>
          <w:b w:val="0"/>
          <w:color w:val="000000" w:themeColor="text1"/>
          <w14:textFill>
            <w14:solidFill>
              <w14:schemeClr w14:val="tx1"/>
            </w14:solidFill>
          </w14:textFill>
        </w:rPr>
        <w:t>第二节  发展生活服务业</w:t>
      </w:r>
      <w:bookmarkEnd w:id="335"/>
      <w:bookmarkEnd w:id="336"/>
      <w:bookmarkEnd w:id="337"/>
    </w:p>
    <w:p>
      <w:pP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p>
    <w:p>
      <w:pP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color w:val="000000" w:themeColor="text1"/>
          <w:sz w:val="32"/>
          <w:szCs w:val="32"/>
          <w14:textFill>
            <w14:solidFill>
              <w14:schemeClr w14:val="tx1"/>
            </w14:solidFill>
          </w14:textFill>
        </w:rPr>
        <w:t>围绕消费结构转型升级，适应新型城镇化快速发展和人口老龄化趋势的要求，加快旅游、休闲度假、健康养生养老、商贸餐饮等生活性服务业标准化、国际化和品牌化建设，增加高质量的服务供给，不断满足人民美好生活需求，提升消费对经济的拉动作用，以促进旅游与健康养生、文化体育等产业融合发展。</w:t>
      </w:r>
    </w:p>
    <w:p>
      <w:pPr>
        <w:spacing w:line="560" w:lineRule="exact"/>
        <w:ind w:firstLine="643"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b/>
          <w:bCs/>
          <w:color w:val="000000" w:themeColor="text1"/>
          <w:sz w:val="32"/>
          <w:szCs w:val="32"/>
          <w14:textFill>
            <w14:solidFill>
              <w14:schemeClr w14:val="tx1"/>
            </w14:solidFill>
          </w14:textFill>
        </w:rPr>
        <w:t>一、提升服务消费产业升级。一是</w:t>
      </w:r>
      <w:r>
        <w:rPr>
          <w:rFonts w:hint="eastAsia" w:ascii="Times New Roman" w:hAnsi="Times New Roman" w:eastAsia="仿宋_GB2312"/>
          <w:color w:val="000000" w:themeColor="text1"/>
          <w:sz w:val="32"/>
          <w:szCs w:val="32"/>
          <w14:textFill>
            <w14:solidFill>
              <w14:schemeClr w14:val="tx1"/>
            </w14:solidFill>
          </w14:textFill>
        </w:rPr>
        <w:t>推动新兴服务消费产业发展。适应消费领域数字化转型、线上线下融合发展的趋势，大力发展在线办公、在线教育、网络医疗、数字娱乐、数字生活、跨境电商等新业态，促进传统销售和服务上线升级。规划建设直播经济创新基地，吸引和聚集直播机构入驻，鼓励开展特色农产品和工业品直播活动。支持共享经济发展，加快政府闲置资源和公共设施资源共享。</w:t>
      </w:r>
      <w:r>
        <w:rPr>
          <w:rFonts w:hint="eastAsia" w:ascii="Times New Roman" w:hAnsi="Times New Roman" w:eastAsia="仿宋_GB2312"/>
          <w:b/>
          <w:bCs/>
          <w:color w:val="000000" w:themeColor="text1"/>
          <w:sz w:val="32"/>
          <w:szCs w:val="32"/>
          <w14:textFill>
            <w14:solidFill>
              <w14:schemeClr w14:val="tx1"/>
            </w14:solidFill>
          </w14:textFill>
        </w:rPr>
        <w:t>二是</w:t>
      </w:r>
      <w:r>
        <w:rPr>
          <w:rFonts w:hint="eastAsia" w:ascii="Times New Roman" w:hAnsi="Times New Roman" w:eastAsia="仿宋_GB2312"/>
          <w:color w:val="000000" w:themeColor="text1"/>
          <w:sz w:val="32"/>
          <w:szCs w:val="32"/>
          <w14:textFill>
            <w14:solidFill>
              <w14:schemeClr w14:val="tx1"/>
            </w14:solidFill>
          </w14:textFill>
        </w:rPr>
        <w:t>扩大传统商贸服务领域。加快城乡商品市场体系建设，重点建设1—2个大型综合批发市场和专业批发市场，形成农产品、旅游加工品、石材、林业加工产品等商品交易集散中心，有序推进商业区和特色商业街建设，大力发展购物中心、超市、便利店和社区商店，不断完善城镇商业网点。加快发展住宿餐饮业，鼓励发展经济型酒店，支持有条件的酒店上星、升星。宣传推广龙胜县民族特色美食，开拓大众化餐饮市场。做大做优电子商务，将旅游产品、农副产品、工业加工产品通过电子商务的方式促销，联合快递公司、邮政等物流企业进行销售。</w:t>
      </w:r>
    </w:p>
    <w:p>
      <w:pPr>
        <w:spacing w:line="560" w:lineRule="exact"/>
        <w:ind w:firstLine="643"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b/>
          <w:bCs/>
          <w:color w:val="000000" w:themeColor="text1"/>
          <w:sz w:val="32"/>
          <w:szCs w:val="32"/>
          <w14:textFill>
            <w14:solidFill>
              <w14:schemeClr w14:val="tx1"/>
            </w14:solidFill>
          </w14:textFill>
        </w:rPr>
        <w:t>二、发展壮大康养产业。</w:t>
      </w:r>
      <w:r>
        <w:rPr>
          <w:rFonts w:hint="eastAsia" w:ascii="Times New Roman" w:hAnsi="Times New Roman" w:eastAsia="仿宋_GB2312"/>
          <w:color w:val="000000" w:themeColor="text1"/>
          <w:sz w:val="32"/>
          <w:szCs w:val="32"/>
          <w14:textFill>
            <w14:solidFill>
              <w14:schemeClr w14:val="tx1"/>
            </w14:solidFill>
          </w14:textFill>
        </w:rPr>
        <w:t>加快产业链建设，积极发展生态农业、保健食品加工、养生养老地产、健康旅游、民族医疗康复与养生保健、健康职业教育与培训等产业，提升龙胜县花坪康寿养生旅游度假区、彭祖坪健康养生旅游示范基地等健康养生养老项目，做大健康养生养老产业经济。</w:t>
      </w:r>
    </w:p>
    <w:p>
      <w:pPr>
        <w:spacing w:line="560" w:lineRule="exact"/>
        <w:ind w:firstLine="643" w:firstLineChars="200"/>
        <w:rPr>
          <w:rFonts w:ascii="Times New Roman" w:hAnsi="Times New Roman" w:eastAsia="仿宋_GB2312"/>
          <w:b/>
          <w:bCs/>
          <w:color w:val="000000" w:themeColor="text1"/>
          <w:sz w:val="32"/>
          <w:szCs w:val="32"/>
          <w14:textFill>
            <w14:solidFill>
              <w14:schemeClr w14:val="tx1"/>
            </w14:solidFill>
          </w14:textFill>
        </w:rPr>
      </w:pPr>
      <w:r>
        <w:rPr>
          <w:rFonts w:hint="eastAsia" w:ascii="Times New Roman" w:hAnsi="Times New Roman" w:eastAsia="仿宋_GB2312"/>
          <w:b/>
          <w:bCs/>
          <w:color w:val="000000" w:themeColor="text1"/>
          <w:sz w:val="32"/>
          <w:szCs w:val="32"/>
          <w14:textFill>
            <w14:solidFill>
              <w14:schemeClr w14:val="tx1"/>
            </w14:solidFill>
          </w14:textFill>
        </w:rPr>
        <w:t>三、发展居民与家庭服务业。</w:t>
      </w:r>
      <w:r>
        <w:rPr>
          <w:rFonts w:hint="eastAsia" w:ascii="Times New Roman" w:hAnsi="Times New Roman" w:eastAsia="仿宋_GB2312"/>
          <w:color w:val="000000" w:themeColor="text1"/>
          <w:sz w:val="32"/>
          <w:szCs w:val="32"/>
          <w14:textFill>
            <w14:solidFill>
              <w14:schemeClr w14:val="tx1"/>
            </w14:solidFill>
          </w14:textFill>
        </w:rPr>
        <w:t>加快构建以家庭为基础、社区为依托、企业为主体的居民生活服务体系，推进教育、文化、育幼、养老、医疗、家政、体育等生活服务进社区乡村。促进信息技术与居民家庭服务业融合，鼓励在乡村建立综合性服务网点，提升农村居民家庭服务供给水平和生活便利化水平。培育一批居民家庭服务品牌企业，引导企业提供标准化、专业化服务。</w:t>
      </w:r>
    </w:p>
    <w:p>
      <w:pPr>
        <w:spacing w:line="560" w:lineRule="exact"/>
        <w:ind w:firstLine="643" w:firstLineChars="200"/>
        <w:rPr>
          <w:rFonts w:ascii="Times New Roman" w:hAnsi="Times New Roman" w:eastAsia="仿宋_GB2312"/>
          <w:b/>
          <w:bCs/>
          <w:color w:val="000000" w:themeColor="text1"/>
          <w:sz w:val="32"/>
          <w:szCs w:val="32"/>
          <w14:textFill>
            <w14:solidFill>
              <w14:schemeClr w14:val="tx1"/>
            </w14:solidFill>
          </w14:textFill>
        </w:rPr>
      </w:pPr>
      <w:r>
        <w:rPr>
          <w:rFonts w:hint="eastAsia" w:ascii="Times New Roman" w:hAnsi="Times New Roman" w:eastAsia="仿宋_GB2312"/>
          <w:b/>
          <w:bCs/>
          <w:color w:val="000000" w:themeColor="text1"/>
          <w:sz w:val="32"/>
          <w:szCs w:val="32"/>
          <w14:textFill>
            <w14:solidFill>
              <w14:schemeClr w14:val="tx1"/>
            </w14:solidFill>
          </w14:textFill>
        </w:rPr>
        <w:t>四、健康发展房地产业。</w:t>
      </w:r>
      <w:r>
        <w:rPr>
          <w:rFonts w:hint="eastAsia" w:ascii="Times New Roman" w:hAnsi="Times New Roman" w:eastAsia="仿宋_GB2312"/>
          <w:color w:val="000000" w:themeColor="text1"/>
          <w:sz w:val="32"/>
          <w:szCs w:val="32"/>
          <w14:textFill>
            <w14:solidFill>
              <w14:schemeClr w14:val="tx1"/>
            </w14:solidFill>
          </w14:textFill>
        </w:rPr>
        <w:t>全面落实房地产长效调控机制，科学合理确定房地产建设规模，扩大有效需求，化解房地产库存，保持房地产开发投资与销售稳定增长。积极培育和发展住房租赁市场，建立和完善购租并举住房制度。引进扶持一批有实力、信誉好的房地产企业，加快物业服务企业发展。</w:t>
      </w:r>
    </w:p>
    <w:p>
      <w:pPr>
        <w:spacing w:line="560" w:lineRule="exact"/>
        <w:ind w:firstLine="420" w:firstLineChars="200"/>
        <w:rPr>
          <w:rFonts w:ascii="Times New Roman" w:hAnsi="Times New Roman" w:eastAsia="仿宋_GB2312"/>
          <w:color w:val="000000" w:themeColor="text1"/>
          <w14:textFill>
            <w14:solidFill>
              <w14:schemeClr w14:val="tx1"/>
            </w14:solidFill>
          </w14:textFill>
        </w:rPr>
      </w:pPr>
      <w:bookmarkStart w:id="338" w:name="_Toc61110817"/>
    </w:p>
    <w:p>
      <w:pPr>
        <w:pStyle w:val="5"/>
        <w:keepNext w:val="0"/>
        <w:keepLines w:val="0"/>
        <w:spacing w:before="0" w:after="0" w:line="560" w:lineRule="exact"/>
        <w:jc w:val="center"/>
        <w:rPr>
          <w:rFonts w:ascii="Times New Roman" w:hAnsi="Times New Roman" w:eastAsia="黑体"/>
          <w:b w:val="0"/>
          <w:color w:val="000000" w:themeColor="text1"/>
          <w14:textFill>
            <w14:solidFill>
              <w14:schemeClr w14:val="tx1"/>
            </w14:solidFill>
          </w14:textFill>
        </w:rPr>
      </w:pPr>
      <w:bookmarkStart w:id="339" w:name="_Toc9306"/>
      <w:r>
        <w:rPr>
          <w:rFonts w:hint="eastAsia" w:ascii="Times New Roman" w:hAnsi="Times New Roman" w:eastAsia="黑体"/>
          <w:b w:val="0"/>
          <w:color w:val="000000" w:themeColor="text1"/>
          <w14:textFill>
            <w14:solidFill>
              <w14:schemeClr w14:val="tx1"/>
            </w14:solidFill>
          </w14:textFill>
        </w:rPr>
        <w:t>第三节  推进服务业高质量发展</w:t>
      </w:r>
      <w:bookmarkEnd w:id="338"/>
      <w:bookmarkEnd w:id="339"/>
    </w:p>
    <w:p>
      <w:pPr>
        <w:spacing w:line="560" w:lineRule="exact"/>
        <w:ind w:firstLine="640" w:firstLineChars="200"/>
        <w:textAlignment w:val="baseline"/>
        <w:rPr>
          <w:rFonts w:ascii="Times New Roman" w:hAnsi="Times New Roman" w:eastAsia="仿宋_GB2312"/>
          <w:color w:val="000000" w:themeColor="text1"/>
          <w:sz w:val="32"/>
          <w:szCs w:val="32"/>
          <w14:textFill>
            <w14:solidFill>
              <w14:schemeClr w14:val="tx1"/>
            </w14:solidFill>
          </w14:textFill>
        </w:rPr>
      </w:pPr>
    </w:p>
    <w:p>
      <w:pPr>
        <w:spacing w:line="560" w:lineRule="exact"/>
        <w:ind w:firstLine="643" w:firstLineChars="200"/>
        <w:textAlignment w:val="baseline"/>
        <w:rPr>
          <w:rFonts w:ascii="Times New Roman" w:hAnsi="Times New Roman" w:eastAsia="仿宋_GB2312"/>
          <w:color w:val="000000" w:themeColor="text1"/>
          <w:kern w:val="0"/>
          <w:sz w:val="32"/>
          <w:szCs w:val="32"/>
          <w14:textFill>
            <w14:solidFill>
              <w14:schemeClr w14:val="tx1"/>
            </w14:solidFill>
          </w14:textFill>
        </w:rPr>
      </w:pPr>
      <w:r>
        <w:rPr>
          <w:rFonts w:hint="eastAsia" w:ascii="Times New Roman" w:hAnsi="Times New Roman" w:eastAsia="仿宋_GB2312"/>
          <w:b/>
          <w:bCs/>
          <w:color w:val="000000" w:themeColor="text1"/>
          <w:sz w:val="32"/>
          <w:szCs w:val="32"/>
          <w14:textFill>
            <w14:solidFill>
              <w14:schemeClr w14:val="tx1"/>
            </w14:solidFill>
          </w14:textFill>
        </w:rPr>
        <w:t>一、放宽市场准入限制。</w:t>
      </w:r>
      <w:r>
        <w:rPr>
          <w:rFonts w:hint="eastAsia" w:ascii="Times New Roman" w:hAnsi="Times New Roman" w:eastAsia="仿宋_GB2312"/>
          <w:color w:val="000000" w:themeColor="text1"/>
          <w:kern w:val="0"/>
          <w:sz w:val="32"/>
          <w:szCs w:val="32"/>
          <w14:textFill>
            <w14:solidFill>
              <w14:schemeClr w14:val="tx1"/>
            </w14:solidFill>
          </w14:textFill>
        </w:rPr>
        <w:t>大幅放宽服务业领域市场准入，凡国家法律法规未明令禁入的服务业领域，包括通信、交通、电力、油气、金融、物流等领域，全面向非公有制经济开放，向社会资本释放更大发展空间。各有关单位在要素获取、准入许可、经营运行、政府采购等方面对</w:t>
      </w:r>
      <w:r>
        <w:rPr>
          <w:rFonts w:hint="eastAsia" w:ascii="Times New Roman" w:hAnsi="Times New Roman" w:eastAsia="仿宋_GB2312"/>
          <w:color w:val="000000" w:themeColor="text1"/>
          <w:sz w:val="32"/>
          <w:szCs w:val="32"/>
          <w:lang w:val="zh-TW" w:eastAsia="zh-TW"/>
          <w14:textFill>
            <w14:solidFill>
              <w14:schemeClr w14:val="tx1"/>
            </w14:solidFill>
          </w14:textFill>
        </w:rPr>
        <w:t>跨国公司和集团化企业在</w:t>
      </w:r>
      <w:r>
        <w:rPr>
          <w:rFonts w:hint="eastAsia" w:ascii="Times New Roman" w:hAnsi="Times New Roman" w:eastAsia="仿宋_GB2312"/>
          <w:color w:val="000000" w:themeColor="text1"/>
          <w:sz w:val="32"/>
          <w:szCs w:val="32"/>
          <w:lang w:val="zh-TW"/>
          <w14:textFill>
            <w14:solidFill>
              <w14:schemeClr w14:val="tx1"/>
            </w14:solidFill>
          </w14:textFill>
        </w:rPr>
        <w:t>龙胜县</w:t>
      </w:r>
      <w:r>
        <w:rPr>
          <w:rFonts w:hint="eastAsia" w:ascii="Times New Roman" w:hAnsi="Times New Roman" w:eastAsia="仿宋_GB2312"/>
          <w:color w:val="000000" w:themeColor="text1"/>
          <w:sz w:val="32"/>
          <w:szCs w:val="32"/>
          <w:lang w:val="zh-TW" w:eastAsia="zh-TW"/>
          <w14:textFill>
            <w14:solidFill>
              <w14:schemeClr w14:val="tx1"/>
            </w14:solidFill>
          </w14:textFill>
        </w:rPr>
        <w:t>设立的地区总部企业</w:t>
      </w:r>
      <w:r>
        <w:rPr>
          <w:rFonts w:hint="eastAsia" w:ascii="Times New Roman" w:hAnsi="Times New Roman" w:eastAsia="仿宋_GB2312"/>
          <w:b/>
          <w:color w:val="000000" w:themeColor="text1"/>
          <w:sz w:val="32"/>
          <w:szCs w:val="32"/>
          <w:lang w:val="zh-TW"/>
          <w14:textFill>
            <w14:solidFill>
              <w14:schemeClr w14:val="tx1"/>
            </w14:solidFill>
          </w14:textFill>
        </w:rPr>
        <w:t>、</w:t>
      </w:r>
      <w:r>
        <w:rPr>
          <w:rFonts w:hint="eastAsia" w:ascii="Times New Roman" w:hAnsi="Times New Roman" w:eastAsia="仿宋_GB2312"/>
          <w:color w:val="000000" w:themeColor="text1"/>
          <w:sz w:val="32"/>
          <w:szCs w:val="32"/>
          <w:lang w:val="zh-TW" w:eastAsia="zh-TW"/>
          <w14:textFill>
            <w14:solidFill>
              <w14:schemeClr w14:val="tx1"/>
            </w14:solidFill>
          </w14:textFill>
        </w:rPr>
        <w:t>总公司或集团化企业总部从外地迁到</w:t>
      </w:r>
      <w:r>
        <w:rPr>
          <w:rFonts w:hint="eastAsia" w:ascii="Times New Roman" w:hAnsi="Times New Roman" w:eastAsia="仿宋_GB2312"/>
          <w:color w:val="000000" w:themeColor="text1"/>
          <w:sz w:val="32"/>
          <w:szCs w:val="32"/>
          <w:lang w:val="zh-TW"/>
          <w14:textFill>
            <w14:solidFill>
              <w14:schemeClr w14:val="tx1"/>
            </w14:solidFill>
          </w14:textFill>
        </w:rPr>
        <w:t>龙胜县</w:t>
      </w:r>
      <w:r>
        <w:rPr>
          <w:rFonts w:hint="eastAsia" w:ascii="Times New Roman" w:hAnsi="Times New Roman" w:eastAsia="仿宋_GB2312"/>
          <w:color w:val="000000" w:themeColor="text1"/>
          <w:sz w:val="32"/>
          <w:szCs w:val="32"/>
          <w:lang w:val="zh-TW" w:eastAsia="zh-TW"/>
          <w14:textFill>
            <w14:solidFill>
              <w14:schemeClr w14:val="tx1"/>
            </w14:solidFill>
          </w14:textFill>
        </w:rPr>
        <w:t>设立的总公司或总部外地总部企业</w:t>
      </w:r>
      <w:r>
        <w:rPr>
          <w:rFonts w:hint="eastAsia" w:ascii="Times New Roman" w:hAnsi="Times New Roman" w:eastAsia="仿宋_GB2312"/>
          <w:color w:val="000000" w:themeColor="text1"/>
          <w:sz w:val="32"/>
          <w:szCs w:val="32"/>
          <w:lang w:val="zh-TW"/>
          <w14:textFill>
            <w14:solidFill>
              <w14:schemeClr w14:val="tx1"/>
            </w14:solidFill>
          </w14:textFill>
        </w:rPr>
        <w:t>和</w:t>
      </w:r>
      <w:r>
        <w:rPr>
          <w:rFonts w:hint="eastAsia" w:ascii="Times New Roman" w:hAnsi="Times New Roman" w:eastAsia="仿宋_GB2312"/>
          <w:color w:val="000000" w:themeColor="text1"/>
          <w:sz w:val="32"/>
          <w:szCs w:val="32"/>
          <w:lang w:val="zh-TW" w:eastAsia="zh-TW"/>
          <w14:textFill>
            <w14:solidFill>
              <w14:schemeClr w14:val="tx1"/>
            </w14:solidFill>
          </w14:textFill>
        </w:rPr>
        <w:t>国内上市企业在</w:t>
      </w:r>
      <w:r>
        <w:rPr>
          <w:rFonts w:hint="eastAsia" w:ascii="Times New Roman" w:hAnsi="Times New Roman" w:eastAsia="仿宋_GB2312"/>
          <w:color w:val="000000" w:themeColor="text1"/>
          <w:sz w:val="32"/>
          <w:szCs w:val="32"/>
          <w:lang w:val="zh-TW"/>
          <w14:textFill>
            <w14:solidFill>
              <w14:schemeClr w14:val="tx1"/>
            </w14:solidFill>
          </w14:textFill>
        </w:rPr>
        <w:t>龙胜</w:t>
      </w:r>
      <w:r>
        <w:rPr>
          <w:rFonts w:hint="eastAsia" w:ascii="Times New Roman" w:hAnsi="Times New Roman" w:eastAsia="仿宋_GB2312"/>
          <w:color w:val="000000" w:themeColor="text1"/>
          <w:sz w:val="32"/>
          <w:szCs w:val="32"/>
          <w:lang w:val="zh-TW" w:eastAsia="zh-TW"/>
          <w14:textFill>
            <w14:solidFill>
              <w14:schemeClr w14:val="tx1"/>
            </w14:solidFill>
          </w14:textFill>
        </w:rPr>
        <w:t>新设的子公司</w:t>
      </w:r>
      <w:r>
        <w:rPr>
          <w:rFonts w:hint="eastAsia" w:ascii="Times New Roman" w:hAnsi="Times New Roman" w:eastAsia="仿宋_GB2312"/>
          <w:color w:val="000000" w:themeColor="text1"/>
          <w:sz w:val="32"/>
          <w:szCs w:val="32"/>
          <w:lang w:val="zh-TW"/>
          <w14:textFill>
            <w14:solidFill>
              <w14:schemeClr w14:val="tx1"/>
            </w14:solidFill>
          </w14:textFill>
        </w:rPr>
        <w:t>或者是</w:t>
      </w:r>
      <w:r>
        <w:rPr>
          <w:rFonts w:hint="eastAsia" w:ascii="Times New Roman" w:hAnsi="Times New Roman" w:eastAsia="仿宋_GB2312"/>
          <w:color w:val="000000" w:themeColor="text1"/>
          <w:sz w:val="32"/>
          <w:szCs w:val="32"/>
          <w:lang w:val="zh-TW" w:eastAsia="zh-TW"/>
          <w14:textFill>
            <w14:solidFill>
              <w14:schemeClr w14:val="tx1"/>
            </w14:solidFill>
          </w14:textFill>
        </w:rPr>
        <w:t>在</w:t>
      </w:r>
      <w:r>
        <w:rPr>
          <w:rFonts w:hint="eastAsia" w:ascii="Times New Roman" w:hAnsi="Times New Roman" w:eastAsia="仿宋_GB2312"/>
          <w:color w:val="000000" w:themeColor="text1"/>
          <w:sz w:val="32"/>
          <w:szCs w:val="32"/>
          <w:lang w:val="zh-TW"/>
          <w14:textFill>
            <w14:solidFill>
              <w14:schemeClr w14:val="tx1"/>
            </w14:solidFill>
          </w14:textFill>
        </w:rPr>
        <w:t>龙胜</w:t>
      </w:r>
      <w:r>
        <w:rPr>
          <w:rFonts w:hint="eastAsia" w:ascii="Times New Roman" w:hAnsi="Times New Roman" w:eastAsia="仿宋_GB2312"/>
          <w:color w:val="000000" w:themeColor="text1"/>
          <w:sz w:val="32"/>
          <w:szCs w:val="32"/>
          <w:lang w:val="zh-TW" w:eastAsia="zh-TW"/>
          <w14:textFill>
            <w14:solidFill>
              <w14:schemeClr w14:val="tx1"/>
            </w14:solidFill>
          </w14:textFill>
        </w:rPr>
        <w:t>兼并重组后获认定的总部企业</w:t>
      </w:r>
      <w:r>
        <w:rPr>
          <w:rFonts w:hint="eastAsia" w:ascii="Times New Roman" w:hAnsi="Times New Roman" w:eastAsia="仿宋_GB2312"/>
          <w:color w:val="000000" w:themeColor="text1"/>
          <w:sz w:val="32"/>
          <w:szCs w:val="32"/>
          <w:lang w:val="zh-TW"/>
          <w14:textFill>
            <w14:solidFill>
              <w14:schemeClr w14:val="tx1"/>
            </w14:solidFill>
          </w14:textFill>
        </w:rPr>
        <w:t>等</w:t>
      </w:r>
      <w:r>
        <w:rPr>
          <w:rFonts w:hint="eastAsia" w:ascii="Times New Roman" w:hAnsi="Times New Roman" w:eastAsia="仿宋_GB2312"/>
          <w:color w:val="000000" w:themeColor="text1"/>
          <w:kern w:val="0"/>
          <w:sz w:val="32"/>
          <w:szCs w:val="32"/>
          <w14:textFill>
            <w14:solidFill>
              <w14:schemeClr w14:val="tx1"/>
            </w14:solidFill>
          </w14:textFill>
        </w:rPr>
        <w:t>畅通绿色通道，并给予政策和资金支持，破除制约市场竞争的各类障碍和隐性壁垒。</w:t>
      </w:r>
    </w:p>
    <w:p>
      <w:pPr>
        <w:spacing w:line="560" w:lineRule="exact"/>
        <w:ind w:firstLine="643" w:firstLineChars="200"/>
        <w:textAlignment w:val="baseline"/>
        <w:rPr>
          <w:rFonts w:ascii="Times New Roman" w:hAnsi="Times New Roman" w:eastAsia="仿宋_GB2312"/>
          <w:color w:val="000000" w:themeColor="text1"/>
          <w:kern w:val="0"/>
          <w:sz w:val="32"/>
          <w:szCs w:val="32"/>
          <w14:textFill>
            <w14:solidFill>
              <w14:schemeClr w14:val="tx1"/>
            </w14:solidFill>
          </w14:textFill>
        </w:rPr>
      </w:pPr>
      <w:r>
        <w:rPr>
          <w:rFonts w:hint="eastAsia" w:ascii="Times New Roman" w:hAnsi="Times New Roman" w:eastAsia="仿宋_GB2312"/>
          <w:b/>
          <w:bCs/>
          <w:color w:val="000000" w:themeColor="text1"/>
          <w:sz w:val="32"/>
          <w:szCs w:val="32"/>
          <w14:textFill>
            <w14:solidFill>
              <w14:schemeClr w14:val="tx1"/>
            </w14:solidFill>
          </w14:textFill>
        </w:rPr>
        <w:t>二、推进商事制度改革。</w:t>
      </w:r>
      <w:r>
        <w:rPr>
          <w:rFonts w:hint="eastAsia" w:ascii="Times New Roman" w:hAnsi="Times New Roman" w:eastAsia="仿宋_GB2312"/>
          <w:color w:val="000000" w:themeColor="text1"/>
          <w:kern w:val="0"/>
          <w:sz w:val="32"/>
          <w:szCs w:val="32"/>
          <w14:textFill>
            <w14:solidFill>
              <w14:schemeClr w14:val="tx1"/>
            </w14:solidFill>
          </w14:textFill>
        </w:rPr>
        <w:t>深入推进“放管服”改革，简化工作程序，优化办事流程。放宽注册资本登记、企业住所登记等条件，全面推行企业名称网上自主申报改革，支持个体工商户转型登记。允许以知识产权、土地使用权、股权、债权、林权等非货币资产作价出资，其出资比例不受限制。贯彻落实“先照后证”，允许“一址多照、一照多址”，全面推进商事制度改革。</w:t>
      </w:r>
    </w:p>
    <w:p>
      <w:pPr>
        <w:spacing w:line="560" w:lineRule="exact"/>
        <w:ind w:firstLine="643" w:firstLineChars="200"/>
        <w:textAlignment w:val="baseline"/>
        <w:rPr>
          <w:rFonts w:ascii="Times New Roman" w:hAnsi="Times New Roman" w:eastAsia="仿宋_GB2312"/>
          <w:color w:val="000000" w:themeColor="text1"/>
          <w:kern w:val="0"/>
          <w:sz w:val="32"/>
          <w:szCs w:val="32"/>
          <w14:textFill>
            <w14:solidFill>
              <w14:schemeClr w14:val="tx1"/>
            </w14:solidFill>
          </w14:textFill>
        </w:rPr>
      </w:pPr>
      <w:r>
        <w:rPr>
          <w:rFonts w:hint="eastAsia" w:ascii="Times New Roman" w:hAnsi="Times New Roman" w:eastAsia="仿宋_GB2312"/>
          <w:b/>
          <w:bCs/>
          <w:color w:val="000000" w:themeColor="text1"/>
          <w:sz w:val="32"/>
          <w:szCs w:val="32"/>
          <w14:textFill>
            <w14:solidFill>
              <w14:schemeClr w14:val="tx1"/>
            </w14:solidFill>
          </w14:textFill>
        </w:rPr>
        <w:t>三、落实税费优惠政策。</w:t>
      </w:r>
      <w:r>
        <w:rPr>
          <w:rFonts w:hint="eastAsia" w:ascii="Times New Roman" w:hAnsi="Times New Roman" w:eastAsia="仿宋_GB2312"/>
          <w:color w:val="000000" w:themeColor="text1"/>
          <w:kern w:val="0"/>
          <w:sz w:val="32"/>
          <w:szCs w:val="32"/>
          <w14:textFill>
            <w14:solidFill>
              <w14:schemeClr w14:val="tx1"/>
            </w14:solidFill>
          </w14:textFill>
        </w:rPr>
        <w:t>落实好国家、广西、桂林市出台的关于支持服务业企业的一揽子税收优惠政策。对符合条件的服务业企业及时落实西部大开发税收优惠政策。研发设计、检验检测认证、节能环保等科技型、创新型服务业企业，可申请认定为高新技术企业，享受一定的企业所得税优惠税率。进一步做好纳税服务工作，指导企业用好用足各项抵扣政策，打通企业抵扣链条，将所有企业新增不动产所含增值税纳入抵扣范围。对规（限）上服务业企业现行的行政事业性收费，凡收费标准有上、下限幅度规定的，按下限标准收取。</w:t>
      </w:r>
    </w:p>
    <w:p>
      <w:pPr>
        <w:spacing w:line="560" w:lineRule="exact"/>
        <w:ind w:firstLine="643" w:firstLineChars="200"/>
        <w:textAlignment w:val="baseline"/>
        <w:rPr>
          <w:rFonts w:ascii="Times New Roman" w:hAnsi="Times New Roman" w:eastAsia="仿宋_GB2312"/>
          <w:color w:val="000000" w:themeColor="text1"/>
          <w:kern w:val="0"/>
          <w:sz w:val="32"/>
          <w:szCs w:val="32"/>
          <w14:textFill>
            <w14:solidFill>
              <w14:schemeClr w14:val="tx1"/>
            </w14:solidFill>
          </w14:textFill>
        </w:rPr>
      </w:pPr>
      <w:r>
        <w:rPr>
          <w:rFonts w:hint="eastAsia" w:ascii="Times New Roman" w:hAnsi="Times New Roman" w:eastAsia="仿宋_GB2312"/>
          <w:b/>
          <w:bCs/>
          <w:color w:val="000000" w:themeColor="text1"/>
          <w:sz w:val="32"/>
          <w:szCs w:val="32"/>
          <w14:textFill>
            <w14:solidFill>
              <w14:schemeClr w14:val="tx1"/>
            </w14:solidFill>
          </w14:textFill>
        </w:rPr>
        <w:t>四、加大财政资金投入。</w:t>
      </w:r>
      <w:r>
        <w:rPr>
          <w:rFonts w:hint="eastAsia" w:ascii="Times New Roman" w:hAnsi="Times New Roman" w:eastAsia="仿宋_GB2312"/>
          <w:color w:val="000000" w:themeColor="text1"/>
          <w:kern w:val="0"/>
          <w:sz w:val="32"/>
          <w:szCs w:val="32"/>
          <w14:textFill>
            <w14:solidFill>
              <w14:schemeClr w14:val="tx1"/>
            </w14:solidFill>
          </w14:textFill>
        </w:rPr>
        <w:t>发挥财政资金的引导、示范和杠杆作用，设立促进服务业发展的专项资金，创新投入方式，重点以产业基金、股权投入和贷款贴息、补助等方式支持服务业加快发展。扶持重点业态、重点项目、重大载体和重点企业发展，对引进的重点企业实行“一企一策”支持政策。支持集聚区建设发展、服务业品牌和标准化建设，支持服务业自主创新。根据本县财力情况，每年县财政预算安排服务业发展专项资金并逐年增加。</w:t>
      </w:r>
    </w:p>
    <w:p>
      <w:pPr>
        <w:spacing w:line="560" w:lineRule="exact"/>
        <w:ind w:firstLine="643" w:firstLineChars="200"/>
        <w:textAlignment w:val="baseline"/>
        <w:rPr>
          <w:rFonts w:ascii="Times New Roman" w:hAnsi="Times New Roman" w:eastAsia="仿宋_GB2312"/>
          <w:color w:val="000000" w:themeColor="text1"/>
          <w:kern w:val="0"/>
          <w:sz w:val="32"/>
          <w:szCs w:val="32"/>
          <w14:textFill>
            <w14:solidFill>
              <w14:schemeClr w14:val="tx1"/>
            </w14:solidFill>
          </w14:textFill>
        </w:rPr>
      </w:pPr>
      <w:r>
        <w:rPr>
          <w:rFonts w:hint="eastAsia" w:ascii="Times New Roman" w:hAnsi="Times New Roman" w:eastAsia="仿宋_GB2312"/>
          <w:b/>
          <w:bCs/>
          <w:color w:val="000000" w:themeColor="text1"/>
          <w:sz w:val="32"/>
          <w:szCs w:val="32"/>
          <w14:textFill>
            <w14:solidFill>
              <w14:schemeClr w14:val="tx1"/>
            </w14:solidFill>
          </w14:textFill>
        </w:rPr>
        <w:t>五、优先保障用地。</w:t>
      </w:r>
      <w:r>
        <w:rPr>
          <w:rFonts w:hint="eastAsia" w:ascii="Times New Roman" w:hAnsi="Times New Roman" w:eastAsia="仿宋_GB2312"/>
          <w:color w:val="000000" w:themeColor="text1"/>
          <w:kern w:val="0"/>
          <w:sz w:val="32"/>
          <w:szCs w:val="32"/>
          <w14:textFill>
            <w14:solidFill>
              <w14:schemeClr w14:val="tx1"/>
            </w14:solidFill>
          </w14:textFill>
        </w:rPr>
        <w:t>对重大服务业建设项目用地优先安排新增建设用地指标，对重大服务业项目用地做到应保尽保。新办现代服务业企业利用工业厂房、仓储用房、传统商业街（老街）等存量房产、土地资源符合国土空间规划的，可实行继续按原用途和土地权利类型使用土地的过渡期政策（过渡期为5年）。支持在工业园区（集中区）内，对新一代信息技术服务业、科技研发服务业以及其他具创新创意、专业化程度高、知识密集特征的现代创新型服务业探索试点“一产一策”项目供地政策。</w:t>
      </w:r>
    </w:p>
    <w:p>
      <w:pPr>
        <w:spacing w:line="560" w:lineRule="exact"/>
        <w:ind w:firstLine="643" w:firstLineChars="200"/>
        <w:textAlignment w:val="baseline"/>
        <w:rPr>
          <w:rFonts w:ascii="Times New Roman" w:hAnsi="Times New Roman" w:eastAsia="仿宋_GB2312"/>
          <w:color w:val="000000" w:themeColor="text1"/>
          <w:kern w:val="0"/>
          <w:sz w:val="32"/>
          <w:szCs w:val="32"/>
          <w14:textFill>
            <w14:solidFill>
              <w14:schemeClr w14:val="tx1"/>
            </w14:solidFill>
          </w14:textFill>
        </w:rPr>
      </w:pPr>
      <w:r>
        <w:rPr>
          <w:rFonts w:hint="eastAsia" w:ascii="Times New Roman" w:hAnsi="Times New Roman" w:eastAsia="仿宋_GB2312"/>
          <w:b/>
          <w:bCs/>
          <w:color w:val="000000" w:themeColor="text1"/>
          <w:sz w:val="32"/>
          <w:szCs w:val="32"/>
          <w14:textFill>
            <w14:solidFill>
              <w14:schemeClr w14:val="tx1"/>
            </w14:solidFill>
          </w14:textFill>
        </w:rPr>
        <w:t>六、加大融资支持。</w:t>
      </w:r>
      <w:r>
        <w:rPr>
          <w:rFonts w:hint="eastAsia" w:ascii="Times New Roman" w:hAnsi="Times New Roman" w:eastAsia="仿宋_GB2312"/>
          <w:color w:val="000000" w:themeColor="text1"/>
          <w:kern w:val="0"/>
          <w:sz w:val="32"/>
          <w:szCs w:val="32"/>
          <w14:textFill>
            <w14:solidFill>
              <w14:schemeClr w14:val="tx1"/>
            </w14:solidFill>
          </w14:textFill>
        </w:rPr>
        <w:t>积极推进支持服务业企业知识产权、股权、特许经营权、应收账款等抵押（质押）贷款业务。支持服务业企业在境内外证券市场上市、挂牌，按照相关政策给予相应的奖励。支持服务业企业扩大直接融资，对企业通过证券市场开展再融资的，按其融资额的一定比例给予奖励。</w:t>
      </w:r>
    </w:p>
    <w:p>
      <w:pPr>
        <w:spacing w:line="560" w:lineRule="exact"/>
        <w:ind w:firstLine="643" w:firstLineChars="200"/>
        <w:textAlignment w:val="baseline"/>
        <w:rPr>
          <w:rFonts w:ascii="Times New Roman" w:hAnsi="Times New Roman" w:eastAsia="仿宋_GB2312"/>
          <w:color w:val="000000" w:themeColor="text1"/>
          <w:kern w:val="0"/>
          <w:sz w:val="32"/>
          <w:szCs w:val="32"/>
          <w14:textFill>
            <w14:solidFill>
              <w14:schemeClr w14:val="tx1"/>
            </w14:solidFill>
          </w14:textFill>
        </w:rPr>
      </w:pPr>
      <w:r>
        <w:rPr>
          <w:rFonts w:hint="eastAsia" w:ascii="Times New Roman" w:hAnsi="Times New Roman" w:eastAsia="仿宋_GB2312"/>
          <w:b/>
          <w:bCs/>
          <w:color w:val="000000" w:themeColor="text1"/>
          <w:sz w:val="32"/>
          <w:szCs w:val="32"/>
          <w14:textFill>
            <w14:solidFill>
              <w14:schemeClr w14:val="tx1"/>
            </w14:solidFill>
          </w14:textFill>
        </w:rPr>
        <w:t>七、完善价格政策。</w:t>
      </w:r>
      <w:r>
        <w:rPr>
          <w:rFonts w:hint="eastAsia" w:ascii="Times New Roman" w:hAnsi="Times New Roman" w:eastAsia="仿宋_GB2312"/>
          <w:color w:val="000000" w:themeColor="text1"/>
          <w:kern w:val="0"/>
          <w:sz w:val="32"/>
          <w:szCs w:val="32"/>
          <w14:textFill>
            <w14:solidFill>
              <w14:schemeClr w14:val="tx1"/>
            </w14:solidFill>
          </w14:textFill>
        </w:rPr>
        <w:t>严格执行服务业用电、用水与工业同价政策。落实广西出台的现代服务业集聚区用户参与电力市场化交易政策。加强转供电环节收费行为监管，使降电价政策红利传导到终端用户。</w:t>
      </w:r>
    </w:p>
    <w:p>
      <w:pPr>
        <w:spacing w:line="560" w:lineRule="exact"/>
        <w:ind w:firstLine="643" w:firstLineChars="200"/>
        <w:textAlignment w:val="baseline"/>
        <w:rPr>
          <w:rFonts w:ascii="Times New Roman" w:hAnsi="Times New Roman" w:eastAsia="仿宋_GB2312"/>
          <w:color w:val="000000" w:themeColor="text1"/>
          <w:kern w:val="0"/>
          <w:sz w:val="32"/>
          <w:szCs w:val="32"/>
          <w14:textFill>
            <w14:solidFill>
              <w14:schemeClr w14:val="tx1"/>
            </w14:solidFill>
          </w14:textFill>
        </w:rPr>
      </w:pPr>
      <w:r>
        <w:rPr>
          <w:rFonts w:hint="eastAsia" w:ascii="Times New Roman" w:hAnsi="Times New Roman" w:eastAsia="仿宋_GB2312"/>
          <w:b/>
          <w:bCs/>
          <w:color w:val="000000" w:themeColor="text1"/>
          <w:sz w:val="32"/>
          <w:szCs w:val="32"/>
          <w14:textFill>
            <w14:solidFill>
              <w14:schemeClr w14:val="tx1"/>
            </w14:solidFill>
          </w14:textFill>
        </w:rPr>
        <w:t>八、强化人才支撑。</w:t>
      </w:r>
      <w:r>
        <w:rPr>
          <w:rFonts w:hint="eastAsia" w:ascii="Times New Roman" w:hAnsi="Times New Roman" w:eastAsia="仿宋_GB2312"/>
          <w:color w:val="000000" w:themeColor="text1"/>
          <w:kern w:val="0"/>
          <w:sz w:val="32"/>
          <w:szCs w:val="32"/>
          <w14:textFill>
            <w14:solidFill>
              <w14:schemeClr w14:val="tx1"/>
            </w14:solidFill>
          </w14:textFill>
        </w:rPr>
        <w:t>实施人才优先发展战略，加大人才引进力度。对在我县创办服务业企业或开展成果产业化活动的人才、用人单位及中介机构给予一次性奖励。完善人才奖励激励机制，对贡献突出的各类人才或团体给予相应奖励。对新设立的现代服务业企业，新兴服务业高层次人才，纳入《龙胜县人才引进和培养办法》中的急需紧缺人才之列。弘扬企业家精神，根据企业的年营业收入（销售额）及增长情况，每两年发布一次本县服务业综合排名前三名的优秀人才榜，对进入榜单的企业家在榜期间给予一定支持和奖励。</w:t>
      </w:r>
    </w:p>
    <w:p>
      <w:pPr>
        <w:rPr>
          <w:rFonts w:ascii="Times New Roman" w:hAnsi="Times New Roman"/>
        </w:rPr>
      </w:pPr>
    </w:p>
    <w:p>
      <w:pPr>
        <w:pStyle w:val="31"/>
        <w:snapToGrid w:val="0"/>
        <w:spacing w:line="560" w:lineRule="exact"/>
        <w:jc w:val="center"/>
        <w:rPr>
          <w:rFonts w:ascii="Times New Roman" w:hAnsi="Times New Roman" w:eastAsia="仿宋_GB2312"/>
          <w:b/>
          <w:bCs/>
          <w:color w:val="000000" w:themeColor="text1"/>
          <w:sz w:val="28"/>
          <w:szCs w:val="28"/>
          <w14:textFill>
            <w14:solidFill>
              <w14:schemeClr w14:val="tx1"/>
            </w14:solidFill>
          </w14:textFill>
        </w:rPr>
      </w:pPr>
      <w:r>
        <w:rPr>
          <w:rFonts w:hint="eastAsia" w:ascii="Times New Roman" w:hAnsi="Times New Roman" w:eastAsia="仿宋_GB2312"/>
          <w:b/>
          <w:bCs/>
          <w:color w:val="000000" w:themeColor="text1"/>
          <w:sz w:val="28"/>
          <w:szCs w:val="28"/>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margin">
                  <wp:align>right</wp:align>
                </wp:positionH>
                <wp:positionV relativeFrom="paragraph">
                  <wp:posOffset>455295</wp:posOffset>
                </wp:positionV>
                <wp:extent cx="5647690" cy="1626235"/>
                <wp:effectExtent l="4445" t="5080" r="5715" b="6985"/>
                <wp:wrapSquare wrapText="bothSides"/>
                <wp:docPr id="5" name="文本框 5"/>
                <wp:cNvGraphicFramePr/>
                <a:graphic xmlns:a="http://schemas.openxmlformats.org/drawingml/2006/main">
                  <a:graphicData uri="http://schemas.microsoft.com/office/word/2010/wordprocessingShape">
                    <wps:wsp>
                      <wps:cNvSpPr txBox="1"/>
                      <wps:spPr>
                        <a:xfrm>
                          <a:off x="0" y="0"/>
                          <a:ext cx="5647690" cy="1626235"/>
                        </a:xfrm>
                        <a:prstGeom prst="rect">
                          <a:avLst/>
                        </a:prstGeom>
                        <a:noFill/>
                        <a:ln w="6350" cap="flat" cmpd="sng">
                          <a:solidFill>
                            <a:srgbClr val="000000"/>
                          </a:solidFill>
                          <a:prstDash val="solid"/>
                          <a:miter/>
                          <a:headEnd type="none" w="med" len="med"/>
                          <a:tailEnd type="none" w="med" len="med"/>
                        </a:ln>
                      </wps:spPr>
                      <wps:txbx>
                        <w:txbxContent>
                          <w:p>
                            <w:pPr>
                              <w:pStyle w:val="31"/>
                              <w:spacing w:line="360" w:lineRule="auto"/>
                              <w:rPr>
                                <w:rFonts w:ascii="仿宋" w:hAnsi="仿宋" w:eastAsia="仿宋" w:cs="仿宋"/>
                                <w:bCs/>
                                <w:color w:val="000000" w:themeColor="text1"/>
                                <w14:textFill>
                                  <w14:solidFill>
                                    <w14:schemeClr w14:val="tx1"/>
                                  </w14:solidFill>
                                </w14:textFill>
                              </w:rPr>
                            </w:pPr>
                            <w:r>
                              <w:rPr>
                                <w:rFonts w:hint="eastAsia" w:ascii="仿宋" w:hAnsi="仿宋" w:eastAsia="仿宋" w:cs="仿宋"/>
                                <w:bCs/>
                                <w:color w:val="000000" w:themeColor="text1"/>
                                <w14:textFill>
                                  <w14:solidFill>
                                    <w14:schemeClr w14:val="tx1"/>
                                  </w14:solidFill>
                                </w14:textFill>
                              </w:rPr>
                              <w:t>1.龙胜县马堤乡彭祖坪国家健康养生旅游示范基地建设项目。</w:t>
                            </w:r>
                          </w:p>
                          <w:p>
                            <w:pPr>
                              <w:pStyle w:val="31"/>
                              <w:spacing w:line="360" w:lineRule="auto"/>
                              <w:rPr>
                                <w:rFonts w:ascii="仿宋" w:hAnsi="仿宋" w:eastAsia="仿宋" w:cs="仿宋"/>
                                <w:bCs/>
                                <w:color w:val="000000" w:themeColor="text1"/>
                                <w14:textFill>
                                  <w14:solidFill>
                                    <w14:schemeClr w14:val="tx1"/>
                                  </w14:solidFill>
                                </w14:textFill>
                              </w:rPr>
                            </w:pPr>
                            <w:r>
                              <w:rPr>
                                <w:rFonts w:ascii="仿宋" w:hAnsi="仿宋" w:eastAsia="仿宋" w:cs="仿宋"/>
                                <w:bCs/>
                                <w:color w:val="000000" w:themeColor="text1"/>
                                <w14:textFill>
                                  <w14:solidFill>
                                    <w14:schemeClr w14:val="tx1"/>
                                  </w14:solidFill>
                                </w14:textFill>
                              </w:rPr>
                              <w:t>2</w:t>
                            </w:r>
                            <w:r>
                              <w:rPr>
                                <w:rFonts w:hint="eastAsia" w:ascii="仿宋" w:hAnsi="仿宋" w:eastAsia="仿宋" w:cs="仿宋"/>
                                <w:bCs/>
                                <w:color w:val="000000" w:themeColor="text1"/>
                                <w14:textFill>
                                  <w14:solidFill>
                                    <w14:schemeClr w14:val="tx1"/>
                                  </w14:solidFill>
                                </w14:textFill>
                              </w:rPr>
                              <w:t>.龙胜县花坪康寿养生旅游度假区项目。</w:t>
                            </w:r>
                          </w:p>
                          <w:p>
                            <w:pPr>
                              <w:pStyle w:val="31"/>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3.龙胜县百节健康医疗养生养老基地项目。</w:t>
                            </w:r>
                          </w:p>
                          <w:p>
                            <w:pPr>
                              <w:pStyle w:val="31"/>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4.龙脊大道星级酒店建设项目。</w:t>
                            </w:r>
                          </w:p>
                          <w:p>
                            <w:pPr>
                              <w:pStyle w:val="31"/>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5.中国长发博物馆康寿民族文化园项目。</w:t>
                            </w:r>
                          </w:p>
                          <w:p>
                            <w:pPr>
                              <w:pStyle w:val="31"/>
                              <w:spacing w:line="360" w:lineRule="auto"/>
                              <w:ind w:firstLine="482" w:firstLineChars="200"/>
                              <w:rPr>
                                <w:rFonts w:ascii="仿宋" w:hAnsi="仿宋" w:eastAsia="仿宋" w:cs="仿宋"/>
                                <w:b/>
                                <w:bCs/>
                                <w:color w:val="auto"/>
                                <w:kern w:val="2"/>
                              </w:rPr>
                            </w:pPr>
                          </w:p>
                        </w:txbxContent>
                      </wps:txbx>
                      <wps:bodyPr upright="1">
                        <a:noAutofit/>
                      </wps:bodyPr>
                    </wps:wsp>
                  </a:graphicData>
                </a:graphic>
              </wp:anchor>
            </w:drawing>
          </mc:Choice>
          <mc:Fallback>
            <w:pict>
              <v:shape id="_x0000_s1026" o:spid="_x0000_s1026" o:spt="202" type="#_x0000_t202" style="position:absolute;left:0pt;margin-top:35.85pt;height:128.05pt;width:444.7pt;mso-position-horizontal:right;mso-position-horizontal-relative:margin;mso-wrap-distance-bottom:0pt;mso-wrap-distance-left:9pt;mso-wrap-distance-right:9pt;mso-wrap-distance-top:0pt;z-index:251666432;mso-width-relative:page;mso-height-relative:page;" filled="f" stroked="t" coordsize="21600,21600" o:gfxdata="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sQvPfYAAAABwEAAA8AAAAAAAAA&#10;AQAgAAAAIgAAAGRycy9kb3ducmV2LnhtbFBLAQIUABQAAAAIAIdO4kDF48vxEQIAACgEAAAOAAAA&#10;AAAAAAEAIAAAACcBAABkcnMvZTJvRG9jLnhtbFBLBQYAAAAABgAGAFkBAACqBQAAAAA=&#10;">
                <v:fill on="f" focussize="0,0"/>
                <v:stroke weight="0.5pt" color="#000000" joinstyle="miter"/>
                <v:imagedata o:title=""/>
                <o:lock v:ext="edit" aspectratio="f"/>
                <v:textbox>
                  <w:txbxContent>
                    <w:p>
                      <w:pPr>
                        <w:pStyle w:val="31"/>
                        <w:spacing w:line="360" w:lineRule="auto"/>
                        <w:rPr>
                          <w:rFonts w:ascii="仿宋" w:hAnsi="仿宋" w:eastAsia="仿宋" w:cs="仿宋"/>
                          <w:bCs/>
                          <w:color w:val="000000" w:themeColor="text1"/>
                          <w14:textFill>
                            <w14:solidFill>
                              <w14:schemeClr w14:val="tx1"/>
                            </w14:solidFill>
                          </w14:textFill>
                        </w:rPr>
                      </w:pPr>
                      <w:r>
                        <w:rPr>
                          <w:rFonts w:hint="eastAsia" w:ascii="仿宋" w:hAnsi="仿宋" w:eastAsia="仿宋" w:cs="仿宋"/>
                          <w:bCs/>
                          <w:color w:val="000000" w:themeColor="text1"/>
                          <w14:textFill>
                            <w14:solidFill>
                              <w14:schemeClr w14:val="tx1"/>
                            </w14:solidFill>
                          </w14:textFill>
                        </w:rPr>
                        <w:t>1.龙胜县马堤乡彭祖坪国家健康养生旅游示范基地建设项目。</w:t>
                      </w:r>
                    </w:p>
                    <w:p>
                      <w:pPr>
                        <w:pStyle w:val="31"/>
                        <w:spacing w:line="360" w:lineRule="auto"/>
                        <w:rPr>
                          <w:rFonts w:ascii="仿宋" w:hAnsi="仿宋" w:eastAsia="仿宋" w:cs="仿宋"/>
                          <w:bCs/>
                          <w:color w:val="000000" w:themeColor="text1"/>
                          <w14:textFill>
                            <w14:solidFill>
                              <w14:schemeClr w14:val="tx1"/>
                            </w14:solidFill>
                          </w14:textFill>
                        </w:rPr>
                      </w:pPr>
                      <w:r>
                        <w:rPr>
                          <w:rFonts w:ascii="仿宋" w:hAnsi="仿宋" w:eastAsia="仿宋" w:cs="仿宋"/>
                          <w:bCs/>
                          <w:color w:val="000000" w:themeColor="text1"/>
                          <w14:textFill>
                            <w14:solidFill>
                              <w14:schemeClr w14:val="tx1"/>
                            </w14:solidFill>
                          </w14:textFill>
                        </w:rPr>
                        <w:t>2</w:t>
                      </w:r>
                      <w:r>
                        <w:rPr>
                          <w:rFonts w:hint="eastAsia" w:ascii="仿宋" w:hAnsi="仿宋" w:eastAsia="仿宋" w:cs="仿宋"/>
                          <w:bCs/>
                          <w:color w:val="000000" w:themeColor="text1"/>
                          <w14:textFill>
                            <w14:solidFill>
                              <w14:schemeClr w14:val="tx1"/>
                            </w14:solidFill>
                          </w14:textFill>
                        </w:rPr>
                        <w:t>.龙胜县花坪康寿养生旅游度假区项目。</w:t>
                      </w:r>
                    </w:p>
                    <w:p>
                      <w:pPr>
                        <w:pStyle w:val="31"/>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3.龙胜县百节健康医疗养生养老基地项目。</w:t>
                      </w:r>
                    </w:p>
                    <w:p>
                      <w:pPr>
                        <w:pStyle w:val="31"/>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4.龙脊大道星级酒店建设项目。</w:t>
                      </w:r>
                    </w:p>
                    <w:p>
                      <w:pPr>
                        <w:pStyle w:val="31"/>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5.中国长发博物馆康寿民族文化园项目。</w:t>
                      </w:r>
                    </w:p>
                    <w:p>
                      <w:pPr>
                        <w:pStyle w:val="31"/>
                        <w:spacing w:line="360" w:lineRule="auto"/>
                        <w:ind w:firstLine="482" w:firstLineChars="200"/>
                        <w:rPr>
                          <w:rFonts w:ascii="仿宋" w:hAnsi="仿宋" w:eastAsia="仿宋" w:cs="仿宋"/>
                          <w:b/>
                          <w:bCs/>
                          <w:color w:val="auto"/>
                          <w:kern w:val="2"/>
                        </w:rPr>
                      </w:pPr>
                    </w:p>
                  </w:txbxContent>
                </v:textbox>
                <w10:wrap type="square"/>
              </v:shape>
            </w:pict>
          </mc:Fallback>
        </mc:AlternateContent>
      </w:r>
      <w:r>
        <w:rPr>
          <w:rFonts w:hint="eastAsia" w:ascii="Times New Roman" w:hAnsi="Times New Roman" w:eastAsia="仿宋_GB2312"/>
          <w:b/>
          <w:bCs/>
          <w:color w:val="000000" w:themeColor="text1"/>
          <w:sz w:val="28"/>
          <w:szCs w:val="28"/>
          <w14:textFill>
            <w14:solidFill>
              <w14:schemeClr w14:val="tx1"/>
            </w14:solidFill>
          </w14:textFill>
        </w:rPr>
        <w:t>专栏10  服务业重大建设工程</w:t>
      </w:r>
    </w:p>
    <w:p>
      <w:pPr>
        <w:pStyle w:val="31"/>
        <w:snapToGrid w:val="0"/>
        <w:spacing w:line="560" w:lineRule="exact"/>
        <w:jc w:val="both"/>
        <w:textAlignment w:val="baseline"/>
        <w:rPr>
          <w:rFonts w:ascii="Times New Roman" w:hAnsi="Times New Roman" w:eastAsia="仿宋_GB2312"/>
          <w:color w:val="000000" w:themeColor="text1"/>
          <w:kern w:val="2"/>
          <w:sz w:val="32"/>
          <w:szCs w:val="32"/>
          <w14:textFill>
            <w14:solidFill>
              <w14:schemeClr w14:val="tx1"/>
            </w14:solidFill>
          </w14:textFill>
        </w:rPr>
      </w:pPr>
    </w:p>
    <w:p>
      <w:pPr>
        <w:pStyle w:val="4"/>
        <w:keepNext w:val="0"/>
        <w:keepLines w:val="0"/>
        <w:spacing w:before="0" w:after="0" w:line="560" w:lineRule="exact"/>
        <w:jc w:val="center"/>
        <w:rPr>
          <w:rFonts w:ascii="Times New Roman" w:hAnsi="Times New Roman" w:eastAsia="黑体" w:cs="Times New Roman"/>
          <w:b w:val="0"/>
          <w:color w:val="000000" w:themeColor="text1"/>
          <w14:textFill>
            <w14:solidFill>
              <w14:schemeClr w14:val="tx1"/>
            </w14:solidFill>
          </w14:textFill>
        </w:rPr>
      </w:pPr>
      <w:bookmarkStart w:id="340" w:name="_Toc61110818"/>
      <w:bookmarkStart w:id="341" w:name="_Toc9622"/>
      <w:bookmarkStart w:id="342" w:name="_Toc31"/>
      <w:r>
        <w:rPr>
          <w:rFonts w:hint="eastAsia" w:ascii="Times New Roman" w:hAnsi="Times New Roman" w:eastAsia="黑体" w:cs="Times New Roman"/>
          <w:b w:val="0"/>
          <w:color w:val="000000" w:themeColor="text1"/>
          <w14:textFill>
            <w14:solidFill>
              <w14:schemeClr w14:val="tx1"/>
            </w14:solidFill>
          </w14:textFill>
        </w:rPr>
        <w:t>第十三章  增进民生福祉  聚焦民生关切</w:t>
      </w:r>
      <w:bookmarkEnd w:id="256"/>
      <w:bookmarkEnd w:id="257"/>
      <w:bookmarkEnd w:id="340"/>
      <w:bookmarkEnd w:id="341"/>
      <w:bookmarkEnd w:id="342"/>
    </w:p>
    <w:p>
      <w:pPr>
        <w:spacing w:line="560" w:lineRule="exact"/>
        <w:ind w:firstLine="640" w:firstLineChars="200"/>
        <w:textAlignment w:val="baseline"/>
        <w:rPr>
          <w:rFonts w:ascii="Times New Roman" w:hAnsi="Times New Roman" w:eastAsia="仿宋_GB2312"/>
          <w:color w:val="000000" w:themeColor="text1"/>
          <w:kern w:val="0"/>
          <w:sz w:val="32"/>
          <w:szCs w:val="32"/>
          <w14:textFill>
            <w14:solidFill>
              <w14:schemeClr w14:val="tx1"/>
            </w14:solidFill>
          </w14:textFill>
        </w:rPr>
      </w:pPr>
    </w:p>
    <w:p>
      <w:pPr>
        <w:spacing w:line="560" w:lineRule="exact"/>
        <w:ind w:firstLine="640" w:firstLineChars="200"/>
        <w:textAlignment w:val="baseline"/>
        <w:rPr>
          <w:rFonts w:ascii="Times New Roman" w:hAnsi="Times New Roman" w:eastAsia="仿宋_GB2312"/>
          <w:color w:val="000000" w:themeColor="text1"/>
          <w:kern w:val="0"/>
          <w:sz w:val="32"/>
          <w:szCs w:val="32"/>
          <w14:textFill>
            <w14:solidFill>
              <w14:schemeClr w14:val="tx1"/>
            </w14:solidFill>
          </w14:textFill>
        </w:rPr>
      </w:pPr>
      <w:r>
        <w:rPr>
          <w:rFonts w:hint="eastAsia" w:ascii="Times New Roman" w:hAnsi="Times New Roman" w:eastAsia="仿宋_GB2312"/>
          <w:color w:val="000000" w:themeColor="text1"/>
          <w:kern w:val="0"/>
          <w:sz w:val="32"/>
          <w:szCs w:val="32"/>
          <w14:textFill>
            <w14:solidFill>
              <w14:schemeClr w14:val="tx1"/>
            </w14:solidFill>
          </w14:textFill>
        </w:rPr>
        <w:t>坚持人民主体地位和人民利益至上，打造“党离不开人民，人民离不开党”命运共同体。以人民对美好生活的向往作为奋斗目标，切实为人民群众办实事、解难事，着力解决人民群众最关心、最直接、最现实的利益问题，逐步实现“学有所教、劳有所得、病有所医、老有所养、住有所居”，实现发展成果更多惠及民众，增强发展动力，提升居民幸福指数，增进人民团结。</w:t>
      </w:r>
    </w:p>
    <w:p>
      <w:pPr>
        <w:spacing w:line="560" w:lineRule="exact"/>
        <w:ind w:firstLine="600" w:firstLineChars="200"/>
        <w:textAlignment w:val="baseline"/>
        <w:rPr>
          <w:rFonts w:ascii="Times New Roman" w:hAnsi="Times New Roman" w:eastAsia="仿宋_GB2312"/>
          <w:color w:val="000000" w:themeColor="text1"/>
          <w:sz w:val="30"/>
          <w:szCs w:val="30"/>
          <w14:textFill>
            <w14:solidFill>
              <w14:schemeClr w14:val="tx1"/>
            </w14:solidFill>
          </w14:textFill>
        </w:rPr>
      </w:pPr>
      <w:bookmarkStart w:id="343" w:name="_Toc61110819"/>
      <w:bookmarkStart w:id="344" w:name="_Toc2249"/>
    </w:p>
    <w:p>
      <w:pPr>
        <w:pStyle w:val="5"/>
        <w:keepNext w:val="0"/>
        <w:keepLines w:val="0"/>
        <w:spacing w:before="0" w:after="0" w:line="560" w:lineRule="exact"/>
        <w:jc w:val="center"/>
        <w:rPr>
          <w:rFonts w:ascii="Times New Roman" w:hAnsi="Times New Roman" w:eastAsia="黑体"/>
          <w:b w:val="0"/>
          <w:color w:val="000000" w:themeColor="text1"/>
          <w14:textFill>
            <w14:solidFill>
              <w14:schemeClr w14:val="tx1"/>
            </w14:solidFill>
          </w14:textFill>
        </w:rPr>
      </w:pPr>
      <w:bookmarkStart w:id="345" w:name="_Toc17551"/>
      <w:r>
        <w:rPr>
          <w:rFonts w:hint="eastAsia" w:ascii="Times New Roman" w:hAnsi="Times New Roman" w:eastAsia="黑体"/>
          <w:b w:val="0"/>
          <w:color w:val="000000" w:themeColor="text1"/>
          <w14:textFill>
            <w14:solidFill>
              <w14:schemeClr w14:val="tx1"/>
            </w14:solidFill>
          </w14:textFill>
        </w:rPr>
        <w:t>第一节  推动教育增量提质</w:t>
      </w:r>
      <w:bookmarkEnd w:id="343"/>
      <w:bookmarkEnd w:id="344"/>
      <w:bookmarkEnd w:id="345"/>
    </w:p>
    <w:p>
      <w:pPr>
        <w:spacing w:line="560" w:lineRule="exact"/>
        <w:ind w:firstLine="640" w:firstLineChars="200"/>
        <w:textAlignment w:val="baseline"/>
        <w:rPr>
          <w:rFonts w:ascii="Times New Roman" w:hAnsi="Times New Roman" w:eastAsia="仿宋_GB2312"/>
          <w:color w:val="000000" w:themeColor="text1"/>
          <w:kern w:val="0"/>
          <w:sz w:val="32"/>
          <w:szCs w:val="32"/>
          <w14:textFill>
            <w14:solidFill>
              <w14:schemeClr w14:val="tx1"/>
            </w14:solidFill>
          </w14:textFill>
        </w:rPr>
      </w:pPr>
    </w:p>
    <w:p>
      <w:pPr>
        <w:spacing w:line="560" w:lineRule="exact"/>
        <w:ind w:firstLine="640" w:firstLineChars="200"/>
        <w:textAlignment w:val="baseline"/>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color w:val="000000" w:themeColor="text1"/>
          <w:kern w:val="0"/>
          <w:sz w:val="32"/>
          <w:szCs w:val="32"/>
          <w14:textFill>
            <w14:solidFill>
              <w14:schemeClr w14:val="tx1"/>
            </w14:solidFill>
          </w14:textFill>
        </w:rPr>
        <w:t>坚持新发展理念，以质量为核心、改革为动力、教师为关键、服务为宗旨，扎实推进教育优质均衡更加坚定、更高质量、更趋公平、更可持续地发展。</w:t>
      </w:r>
      <w:r>
        <w:rPr>
          <w:rFonts w:hint="eastAsia" w:ascii="Times New Roman" w:hAnsi="Times New Roman" w:eastAsia="仿宋_GB2312"/>
          <w:b/>
          <w:bCs/>
          <w:color w:val="000000" w:themeColor="text1"/>
          <w:sz w:val="32"/>
          <w:szCs w:val="32"/>
          <w14:textFill>
            <w14:solidFill>
              <w14:schemeClr w14:val="tx1"/>
            </w14:solidFill>
          </w14:textFill>
        </w:rPr>
        <w:t>一是</w:t>
      </w:r>
      <w:r>
        <w:rPr>
          <w:rFonts w:hint="eastAsia" w:ascii="Times New Roman" w:hAnsi="Times New Roman" w:eastAsia="仿宋_GB2312"/>
          <w:color w:val="000000" w:themeColor="text1"/>
          <w:kern w:val="0"/>
          <w:sz w:val="32"/>
          <w:szCs w:val="32"/>
          <w14:textFill>
            <w14:solidFill>
              <w14:schemeClr w14:val="tx1"/>
            </w14:solidFill>
          </w14:textFill>
        </w:rPr>
        <w:t>深入教育改革，推动龙脊大道教育园区“一贯制”教育基本形成。加快推进智慧教育创新发展，构建“互联网+教育”支撑服务平台普及应用，以信息化推进教育现代化。狠抓控辍保学，加强义务教育学校常规管理，促进学校常规管理工作规范化、制度化和精细化。加强师德师风建设，推进学区制管理制和县管校聘改革。</w:t>
      </w:r>
      <w:r>
        <w:rPr>
          <w:rFonts w:hint="eastAsia" w:ascii="Times New Roman" w:hAnsi="Times New Roman" w:eastAsia="仿宋_GB2312"/>
          <w:b/>
          <w:bCs/>
          <w:color w:val="000000" w:themeColor="text1"/>
          <w:sz w:val="32"/>
          <w:szCs w:val="32"/>
          <w14:textFill>
            <w14:solidFill>
              <w14:schemeClr w14:val="tx1"/>
            </w14:solidFill>
          </w14:textFill>
        </w:rPr>
        <w:t>二是</w:t>
      </w:r>
      <w:r>
        <w:rPr>
          <w:rFonts w:hint="eastAsia" w:ascii="Times New Roman" w:hAnsi="Times New Roman" w:eastAsia="仿宋_GB2312"/>
          <w:color w:val="000000" w:themeColor="text1"/>
          <w:sz w:val="32"/>
          <w:szCs w:val="32"/>
          <w14:textFill>
            <w14:solidFill>
              <w14:schemeClr w14:val="tx1"/>
            </w14:solidFill>
          </w14:textFill>
        </w:rPr>
        <w:t>加强学校标准化建设，补齐短板加快提档升级。</w:t>
      </w:r>
      <w:r>
        <w:rPr>
          <w:rFonts w:hint="eastAsia" w:ascii="Times New Roman" w:hAnsi="Times New Roman" w:eastAsia="仿宋_GB2312"/>
          <w:bCs/>
          <w:color w:val="000000" w:themeColor="text1"/>
          <w:sz w:val="32"/>
          <w:szCs w:val="32"/>
          <w14:textFill>
            <w14:solidFill>
              <w14:schemeClr w14:val="tx1"/>
            </w14:solidFill>
          </w14:textFill>
        </w:rPr>
        <w:t>新建龙</w:t>
      </w:r>
      <w:r>
        <w:rPr>
          <w:rFonts w:hint="eastAsia" w:ascii="Times New Roman" w:hAnsi="Times New Roman" w:eastAsia="仿宋_GB2312"/>
          <w:color w:val="000000" w:themeColor="text1"/>
          <w:sz w:val="32"/>
          <w:szCs w:val="32"/>
          <w14:textFill>
            <w14:solidFill>
              <w14:schemeClr w14:val="tx1"/>
            </w14:solidFill>
          </w14:textFill>
        </w:rPr>
        <w:t>胜镇第三小学，改扩建马堤乡芙蓉小学；续建龙胜镇第二小学、移民创业园幼儿园、龙胜镇初级中学、第二高中四所学校；改善教师住房条件及相关小学、幼儿园办学条件。</w:t>
      </w:r>
      <w:r>
        <w:rPr>
          <w:rFonts w:hint="eastAsia" w:ascii="Times New Roman" w:hAnsi="Times New Roman" w:eastAsia="仿宋_GB2312"/>
          <w:b/>
          <w:bCs/>
          <w:color w:val="000000" w:themeColor="text1"/>
          <w:sz w:val="32"/>
          <w:szCs w:val="32"/>
          <w14:textFill>
            <w14:solidFill>
              <w14:schemeClr w14:val="tx1"/>
            </w14:solidFill>
          </w14:textFill>
        </w:rPr>
        <w:t>三是</w:t>
      </w:r>
      <w:r>
        <w:rPr>
          <w:rFonts w:hint="eastAsia" w:ascii="Times New Roman" w:hAnsi="Times New Roman" w:eastAsia="仿宋_GB2312"/>
          <w:color w:val="000000" w:themeColor="text1"/>
          <w:sz w:val="32"/>
          <w:szCs w:val="32"/>
          <w14:textFill>
            <w14:solidFill>
              <w14:schemeClr w14:val="tx1"/>
            </w14:solidFill>
          </w14:textFill>
        </w:rPr>
        <w:t>落实教育优先保障。学前教育：完善乡镇中心公办幼儿园，发展村级幼儿园，促进学前教育均衡发展。到2025年基本普及学前教育，学前教育入园率达到94%；义务教育：巩固义务教育成果，到2025年，九年义务教育巩固率达98%；普通高中教育：高中阶段毛入学率达94%；职业教育：发展职业教育，实现覆盖县、乡镇、村一体的职业教育培训网络。打造少数民族地区社区教育“龙胜模式”；建设全民学习、终身学习的学习型社会；民办教育：合理布局民办教育机构，支持、引导、依法管理民办教育；特殊教育：残疾儿童少年入学率达到100%。</w:t>
      </w:r>
    </w:p>
    <w:p>
      <w:pPr>
        <w:spacing w:line="560" w:lineRule="exact"/>
        <w:ind w:firstLine="600" w:firstLineChars="200"/>
        <w:textAlignment w:val="baseline"/>
        <w:rPr>
          <w:rFonts w:ascii="Times New Roman" w:hAnsi="Times New Roman" w:eastAsia="仿宋_GB2312"/>
          <w:color w:val="000000" w:themeColor="text1"/>
          <w:sz w:val="30"/>
          <w:szCs w:val="30"/>
          <w14:textFill>
            <w14:solidFill>
              <w14:schemeClr w14:val="tx1"/>
            </w14:solidFill>
          </w14:textFill>
        </w:rPr>
      </w:pPr>
      <w:bookmarkStart w:id="346" w:name="_Toc61110820"/>
      <w:bookmarkStart w:id="347" w:name="_Toc8907"/>
    </w:p>
    <w:p>
      <w:pPr>
        <w:pStyle w:val="5"/>
        <w:keepNext w:val="0"/>
        <w:keepLines w:val="0"/>
        <w:spacing w:before="0" w:after="0" w:line="560" w:lineRule="exact"/>
        <w:jc w:val="center"/>
        <w:rPr>
          <w:rFonts w:ascii="Times New Roman" w:hAnsi="Times New Roman" w:eastAsia="黑体"/>
          <w:b w:val="0"/>
          <w:color w:val="000000" w:themeColor="text1"/>
          <w14:textFill>
            <w14:solidFill>
              <w14:schemeClr w14:val="tx1"/>
            </w14:solidFill>
          </w14:textFill>
        </w:rPr>
      </w:pPr>
      <w:bookmarkStart w:id="348" w:name="_Toc28939"/>
      <w:r>
        <w:rPr>
          <w:rFonts w:hint="eastAsia" w:ascii="Times New Roman" w:hAnsi="Times New Roman" w:eastAsia="黑体"/>
          <w:b w:val="0"/>
          <w:color w:val="000000" w:themeColor="text1"/>
          <w14:textFill>
            <w14:solidFill>
              <w14:schemeClr w14:val="tx1"/>
            </w14:solidFill>
          </w14:textFill>
        </w:rPr>
        <w:t>第二节  增强卫生健康水平</w:t>
      </w:r>
      <w:bookmarkEnd w:id="346"/>
      <w:bookmarkEnd w:id="347"/>
      <w:bookmarkEnd w:id="348"/>
    </w:p>
    <w:p>
      <w:pPr>
        <w:spacing w:line="560" w:lineRule="exact"/>
        <w:ind w:firstLine="640" w:firstLineChars="200"/>
        <w:rPr>
          <w:rFonts w:ascii="Times New Roman" w:hAnsi="Times New Roman" w:eastAsia="仿宋_GB2312"/>
          <w:bCs/>
          <w:color w:val="000000" w:themeColor="text1"/>
          <w:sz w:val="32"/>
          <w:szCs w:val="32"/>
          <w14:textFill>
            <w14:solidFill>
              <w14:schemeClr w14:val="tx1"/>
            </w14:solidFill>
          </w14:textFill>
        </w:rPr>
      </w:pPr>
      <w:bookmarkStart w:id="349" w:name="_Toc31925"/>
    </w:p>
    <w:p>
      <w:pP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color w:val="000000" w:themeColor="text1"/>
          <w:sz w:val="32"/>
          <w:szCs w:val="32"/>
          <w14:textFill>
            <w14:solidFill>
              <w14:schemeClr w14:val="tx1"/>
            </w14:solidFill>
          </w14:textFill>
        </w:rPr>
        <w:t>到2025年，建立健全适应社会主义市场经济要求、适应构建社会主义和谐社会要求和人民健康需求的公共卫生服务体系、医疗卫生服务体系、家庭发展服务体系、中医药服务能力体系、卫生公共安全体系以及应对突发公共卫生事件及突发灾难的医疗救治体系，使城乡居民享有同比较富裕的小康生活水平相适应的、质量比较优良的、费用比较低廉的基本医疗服务。加强爱卫组织管理和健康教育工作，深入开展爱国卫生运动，加强巩固广西卫生县城及健康教育宣传。加强职业健康监管体系建设，提升全民健康素养和健康水平。</w:t>
      </w:r>
      <w:r>
        <w:rPr>
          <w:rFonts w:hint="eastAsia" w:ascii="Times New Roman" w:hAnsi="Times New Roman" w:eastAsia="仿宋_GB2312"/>
          <w:b/>
          <w:bCs/>
          <w:color w:val="000000" w:themeColor="text1"/>
          <w:sz w:val="32"/>
          <w:szCs w:val="32"/>
          <w14:textFill>
            <w14:solidFill>
              <w14:schemeClr w14:val="tx1"/>
            </w14:solidFill>
          </w14:textFill>
        </w:rPr>
        <w:t>一是</w:t>
      </w:r>
      <w:r>
        <w:rPr>
          <w:rFonts w:hint="eastAsia" w:ascii="Times New Roman" w:hAnsi="Times New Roman" w:eastAsia="仿宋_GB2312"/>
          <w:color w:val="000000" w:themeColor="text1"/>
          <w:sz w:val="32"/>
          <w:szCs w:val="32"/>
          <w14:textFill>
            <w14:solidFill>
              <w14:schemeClr w14:val="tx1"/>
            </w14:solidFill>
          </w14:textFill>
        </w:rPr>
        <w:t>完善公共卫生服务体系，强化覆盖全民的公共卫生服务。以预防为主，加强重大传染病防治能力建设，增强慢性病综合防控和卫生健康保障能力，提高公共卫生预测预警和应急能力。</w:t>
      </w:r>
      <w:r>
        <w:rPr>
          <w:rFonts w:hint="eastAsia" w:ascii="Times New Roman" w:hAnsi="Times New Roman" w:eastAsia="仿宋_GB2312"/>
          <w:b/>
          <w:bCs/>
          <w:color w:val="000000" w:themeColor="text1"/>
          <w:sz w:val="32"/>
          <w:szCs w:val="32"/>
          <w14:textFill>
            <w14:solidFill>
              <w14:schemeClr w14:val="tx1"/>
            </w14:solidFill>
          </w14:textFill>
        </w:rPr>
        <w:t>二是</w:t>
      </w:r>
      <w:r>
        <w:rPr>
          <w:rFonts w:hint="eastAsia" w:ascii="Times New Roman" w:hAnsi="Times New Roman" w:eastAsia="仿宋_GB2312"/>
          <w:color w:val="000000" w:themeColor="text1"/>
          <w:sz w:val="32"/>
          <w:szCs w:val="32"/>
          <w14:textFill>
            <w14:solidFill>
              <w14:schemeClr w14:val="tx1"/>
            </w14:solidFill>
          </w14:textFill>
        </w:rPr>
        <w:t>完善医疗卫生服务体系，推动优质医疗资源向基层流动。合理规划城乡医疗卫生机构的数量、规模、布局和功能，全面深化医药卫生体制改革，大力推进县域医共体建设，促进卫生服务均等化，巩固健康扶贫成果，使城乡居民享有均等化的基本公共卫生服务。</w:t>
      </w:r>
      <w:r>
        <w:rPr>
          <w:rFonts w:hint="eastAsia" w:ascii="Times New Roman" w:hAnsi="Times New Roman" w:eastAsia="仿宋_GB2312"/>
          <w:b/>
          <w:bCs/>
          <w:color w:val="000000" w:themeColor="text1"/>
          <w:sz w:val="32"/>
          <w:szCs w:val="32"/>
          <w14:textFill>
            <w14:solidFill>
              <w14:schemeClr w14:val="tx1"/>
            </w14:solidFill>
          </w14:textFill>
        </w:rPr>
        <w:t>三是</w:t>
      </w:r>
      <w:r>
        <w:rPr>
          <w:rFonts w:hint="eastAsia" w:ascii="Times New Roman" w:hAnsi="Times New Roman" w:eastAsia="仿宋_GB2312"/>
          <w:color w:val="000000" w:themeColor="text1"/>
          <w:sz w:val="32"/>
          <w:szCs w:val="32"/>
          <w14:textFill>
            <w14:solidFill>
              <w14:schemeClr w14:val="tx1"/>
            </w14:solidFill>
          </w14:textFill>
        </w:rPr>
        <w:t>完善家庭发展服务体系，加强重点人群健康服务。推进人口监测与家庭发展，加强老年、妇幼等重点人群健康服务，促进3岁以下婴幼儿照护发展工作，建立健康养老示范基地，促进健康与养老、旅游、互联网、健身休闲、食品融合，催生健康新产业、新业态、新模式。</w:t>
      </w:r>
      <w:r>
        <w:rPr>
          <w:rFonts w:hint="eastAsia" w:ascii="Times New Roman" w:hAnsi="Times New Roman" w:eastAsia="仿宋_GB2312"/>
          <w:b/>
          <w:bCs/>
          <w:color w:val="000000" w:themeColor="text1"/>
          <w:sz w:val="32"/>
          <w:szCs w:val="32"/>
          <w14:textFill>
            <w14:solidFill>
              <w14:schemeClr w14:val="tx1"/>
            </w14:solidFill>
          </w14:textFill>
        </w:rPr>
        <w:t>四是</w:t>
      </w:r>
      <w:r>
        <w:rPr>
          <w:rFonts w:hint="eastAsia" w:ascii="Times New Roman" w:hAnsi="Times New Roman" w:eastAsia="仿宋_GB2312"/>
          <w:color w:val="000000" w:themeColor="text1"/>
          <w:sz w:val="32"/>
          <w:szCs w:val="32"/>
          <w14:textFill>
            <w14:solidFill>
              <w14:schemeClr w14:val="tx1"/>
            </w14:solidFill>
          </w14:textFill>
        </w:rPr>
        <w:t>完善中医药服务能力体系，推进中医药继承创新。探索构建中医与旅游、养老等相结合的服务新模式，发展中医养生保健治未病服务。</w:t>
      </w:r>
      <w:r>
        <w:rPr>
          <w:rFonts w:hint="eastAsia" w:ascii="Times New Roman" w:hAnsi="Times New Roman" w:eastAsia="仿宋_GB2312"/>
          <w:b/>
          <w:bCs/>
          <w:color w:val="000000" w:themeColor="text1"/>
          <w:sz w:val="32"/>
          <w:szCs w:val="32"/>
          <w14:textFill>
            <w14:solidFill>
              <w14:schemeClr w14:val="tx1"/>
            </w14:solidFill>
          </w14:textFill>
        </w:rPr>
        <w:t>五是</w:t>
      </w:r>
      <w:r>
        <w:rPr>
          <w:rFonts w:hint="eastAsia" w:ascii="Times New Roman" w:hAnsi="Times New Roman" w:eastAsia="仿宋_GB2312"/>
          <w:color w:val="000000" w:themeColor="text1"/>
          <w:sz w:val="32"/>
          <w:szCs w:val="32"/>
          <w14:textFill>
            <w14:solidFill>
              <w14:schemeClr w14:val="tx1"/>
            </w14:solidFill>
          </w14:textFill>
        </w:rPr>
        <w:t>完善卫生公共安全体系，强化职业健康建设。健全急救网络，全面加强医疗卫生健康行业监管，推进卫生计生执法监督工作。</w:t>
      </w:r>
    </w:p>
    <w:p>
      <w:pPr>
        <w:spacing w:line="560" w:lineRule="exact"/>
        <w:ind w:firstLine="600" w:firstLineChars="200"/>
        <w:rPr>
          <w:rFonts w:ascii="Times New Roman" w:hAnsi="Times New Roman" w:eastAsia="仿宋_GB2312"/>
          <w:color w:val="000000" w:themeColor="text1"/>
          <w:sz w:val="30"/>
          <w:szCs w:val="30"/>
          <w14:textFill>
            <w14:solidFill>
              <w14:schemeClr w14:val="tx1"/>
            </w14:solidFill>
          </w14:textFill>
        </w:rPr>
      </w:pPr>
      <w:bookmarkStart w:id="350" w:name="_Toc61110821"/>
    </w:p>
    <w:p>
      <w:pPr>
        <w:pStyle w:val="5"/>
        <w:keepNext w:val="0"/>
        <w:keepLines w:val="0"/>
        <w:spacing w:before="0" w:after="0" w:line="560" w:lineRule="exact"/>
        <w:jc w:val="center"/>
        <w:rPr>
          <w:rFonts w:ascii="Times New Roman" w:hAnsi="Times New Roman" w:eastAsia="黑体"/>
          <w:b w:val="0"/>
          <w:color w:val="000000" w:themeColor="text1"/>
          <w14:textFill>
            <w14:solidFill>
              <w14:schemeClr w14:val="tx1"/>
            </w14:solidFill>
          </w14:textFill>
        </w:rPr>
      </w:pPr>
      <w:bookmarkStart w:id="351" w:name="_Toc15121"/>
      <w:r>
        <w:rPr>
          <w:rFonts w:hint="eastAsia" w:ascii="Times New Roman" w:hAnsi="Times New Roman" w:eastAsia="黑体"/>
          <w:b w:val="0"/>
          <w:color w:val="000000" w:themeColor="text1"/>
          <w14:textFill>
            <w14:solidFill>
              <w14:schemeClr w14:val="tx1"/>
            </w14:solidFill>
          </w14:textFill>
        </w:rPr>
        <w:t>第三节  完善社会保障制度</w:t>
      </w:r>
      <w:bookmarkEnd w:id="349"/>
      <w:bookmarkEnd w:id="350"/>
      <w:bookmarkEnd w:id="351"/>
    </w:p>
    <w:p>
      <w:pP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p>
    <w:p>
      <w:pPr>
        <w:spacing w:line="560" w:lineRule="exact"/>
        <w:ind w:firstLine="640" w:firstLineChars="200"/>
        <w:rPr>
          <w:rFonts w:ascii="Times New Roman" w:hAnsi="Times New Roman" w:eastAsia="仿宋_GB2312"/>
          <w:color w:val="000000" w:themeColor="text1"/>
          <w:kern w:val="36"/>
          <w:sz w:val="32"/>
          <w:szCs w:val="32"/>
          <w14:textFill>
            <w14:solidFill>
              <w14:schemeClr w14:val="tx1"/>
            </w14:solidFill>
          </w14:textFill>
        </w:rPr>
      </w:pPr>
      <w:r>
        <w:rPr>
          <w:rFonts w:hint="eastAsia" w:ascii="Times New Roman" w:hAnsi="Times New Roman" w:eastAsia="仿宋_GB2312"/>
          <w:color w:val="000000" w:themeColor="text1"/>
          <w:sz w:val="32"/>
          <w:szCs w:val="32"/>
          <w14:textFill>
            <w14:solidFill>
              <w14:schemeClr w14:val="tx1"/>
            </w14:solidFill>
          </w14:textFill>
        </w:rPr>
        <w:t>完善覆盖城乡、人人享有、保障更好的社会保障格局，形成法制健全、保障方式多层次、资金来源多渠道的社会保障体系。</w:t>
      </w:r>
      <w:r>
        <w:rPr>
          <w:rFonts w:hint="eastAsia" w:ascii="Times New Roman" w:hAnsi="Times New Roman" w:eastAsia="仿宋_GB2312"/>
          <w:b/>
          <w:color w:val="000000" w:themeColor="text1"/>
          <w:sz w:val="32"/>
          <w:szCs w:val="32"/>
          <w14:textFill>
            <w14:solidFill>
              <w14:schemeClr w14:val="tx1"/>
            </w14:solidFill>
          </w14:textFill>
        </w:rPr>
        <w:t>一是</w:t>
      </w:r>
      <w:r>
        <w:rPr>
          <w:rFonts w:hint="eastAsia" w:ascii="Times New Roman" w:hAnsi="Times New Roman" w:eastAsia="仿宋_GB2312"/>
          <w:color w:val="000000" w:themeColor="text1"/>
          <w:sz w:val="32"/>
          <w:szCs w:val="32"/>
          <w14:textFill>
            <w14:solidFill>
              <w14:schemeClr w14:val="tx1"/>
            </w14:solidFill>
          </w14:textFill>
        </w:rPr>
        <w:t>落实城乡最低生活保障、城乡特困供养生活救济、特困对象无房户住房援助、慈善援助等救助政策，完善社会福利、民间组织管理、乡镇社区日间照料中心和福利院等规范化管理、社区建设、区划管理等各项管理制度。</w:t>
      </w:r>
      <w:r>
        <w:rPr>
          <w:rFonts w:hint="eastAsia" w:ascii="Times New Roman" w:hAnsi="Times New Roman" w:eastAsia="仿宋_GB2312"/>
          <w:b/>
          <w:color w:val="000000" w:themeColor="text1"/>
          <w:sz w:val="32"/>
          <w:szCs w:val="32"/>
          <w14:textFill>
            <w14:solidFill>
              <w14:schemeClr w14:val="tx1"/>
            </w14:solidFill>
          </w14:textFill>
        </w:rPr>
        <w:t>二是</w:t>
      </w:r>
      <w:r>
        <w:rPr>
          <w:rFonts w:hint="eastAsia" w:ascii="Times New Roman" w:hAnsi="Times New Roman" w:eastAsia="仿宋_GB2312"/>
          <w:color w:val="000000" w:themeColor="text1"/>
          <w:sz w:val="32"/>
          <w:szCs w:val="32"/>
          <w14:textFill>
            <w14:solidFill>
              <w14:schemeClr w14:val="tx1"/>
            </w14:solidFill>
          </w14:textFill>
        </w:rPr>
        <w:t>实施养老服务业综合改革，推进医养结合，营造良好的养老服务环境。大力推进殡葬改革，建成县级殡仪馆和城市公益性公墓，配备火化设施，乡镇、村公益性公墓（骨灰堂）覆盖率明显提高，丧葬陋习和散埋乱葬等问题得到有效遏制，文明节俭、绿色环保殡葬新风尚逐步形成，覆盖城乡的殡葬公共服务体系基本建立。</w:t>
      </w:r>
      <w:r>
        <w:rPr>
          <w:rFonts w:hint="eastAsia" w:ascii="Times New Roman" w:hAnsi="Times New Roman" w:eastAsia="仿宋_GB2312"/>
          <w:b/>
          <w:bCs/>
          <w:color w:val="000000" w:themeColor="text1"/>
          <w:sz w:val="32"/>
          <w:szCs w:val="32"/>
          <w14:textFill>
            <w14:solidFill>
              <w14:schemeClr w14:val="tx1"/>
            </w14:solidFill>
          </w14:textFill>
        </w:rPr>
        <w:t>三是</w:t>
      </w:r>
      <w:r>
        <w:rPr>
          <w:rFonts w:hint="eastAsia" w:ascii="Times New Roman" w:hAnsi="Times New Roman" w:eastAsia="仿宋_GB2312"/>
          <w:color w:val="000000" w:themeColor="text1"/>
          <w:sz w:val="32"/>
          <w:szCs w:val="32"/>
          <w14:textFill>
            <w14:solidFill>
              <w14:schemeClr w14:val="tx1"/>
            </w14:solidFill>
          </w14:textFill>
        </w:rPr>
        <w:t>建立可持续的社会保障制度，实行全民覆盖、保障适度、权责清晰、运行高效，稳步提高社会保障统筹层次和水平。</w:t>
      </w:r>
      <w:r>
        <w:rPr>
          <w:rFonts w:hint="eastAsia" w:ascii="Times New Roman" w:hAnsi="Times New Roman" w:eastAsia="仿宋_GB2312"/>
          <w:b/>
          <w:bCs/>
          <w:color w:val="000000" w:themeColor="text1"/>
          <w:sz w:val="32"/>
          <w:szCs w:val="32"/>
          <w14:textFill>
            <w14:solidFill>
              <w14:schemeClr w14:val="tx1"/>
            </w14:solidFill>
          </w14:textFill>
        </w:rPr>
        <w:t>四是</w:t>
      </w:r>
      <w:r>
        <w:rPr>
          <w:rFonts w:hint="eastAsia" w:ascii="Times New Roman" w:hAnsi="Times New Roman" w:eastAsia="仿宋_GB2312"/>
          <w:color w:val="000000" w:themeColor="text1"/>
          <w:sz w:val="32"/>
          <w:szCs w:val="32"/>
          <w14:textFill>
            <w14:solidFill>
              <w14:schemeClr w14:val="tx1"/>
            </w14:solidFill>
          </w14:textFill>
        </w:rPr>
        <w:t>构建和谐劳动关系，维护劳动者合法权益。规范企业用工行为，形成主体清晰、程序规范、方式多样、运行高效的多层次劳动关系调整机制。</w:t>
      </w:r>
      <w:r>
        <w:rPr>
          <w:rFonts w:hint="eastAsia" w:ascii="Times New Roman" w:hAnsi="Times New Roman" w:eastAsia="仿宋_GB2312"/>
          <w:b/>
          <w:bCs/>
          <w:color w:val="000000" w:themeColor="text1"/>
          <w:sz w:val="32"/>
          <w:szCs w:val="32"/>
          <w14:textFill>
            <w14:solidFill>
              <w14:schemeClr w14:val="tx1"/>
            </w14:solidFill>
          </w14:textFill>
        </w:rPr>
        <w:t>五是</w:t>
      </w:r>
      <w:r>
        <w:rPr>
          <w:rFonts w:hint="eastAsia" w:ascii="Times New Roman" w:hAnsi="Times New Roman" w:eastAsia="仿宋_GB2312"/>
          <w:color w:val="000000" w:themeColor="text1"/>
          <w:sz w:val="32"/>
          <w:szCs w:val="32"/>
          <w14:textFill>
            <w14:solidFill>
              <w14:schemeClr w14:val="tx1"/>
            </w14:solidFill>
          </w14:textFill>
        </w:rPr>
        <w:t>加强基础能力建设，提升公共服务水平。做好公共就业、社会保险、调解仲裁和劳动保障监察等服务设施建设，推行社会保障一卡通，提高公共服务能力和水平，为广大人民群众提供规范、便捷、高效的公共服务。到2025年，基本医疗保险参保率达100%，</w:t>
      </w:r>
      <w:r>
        <w:rPr>
          <w:rFonts w:hint="eastAsia" w:ascii="Times New Roman" w:hAnsi="Times New Roman" w:eastAsia="仿宋_GB2312"/>
          <w:color w:val="000000" w:themeColor="text1"/>
          <w:kern w:val="36"/>
          <w:sz w:val="32"/>
          <w:szCs w:val="32"/>
          <w14:textFill>
            <w14:solidFill>
              <w14:schemeClr w14:val="tx1"/>
            </w14:solidFill>
          </w14:textFill>
        </w:rPr>
        <w:t>提供更完善的基本医疗服务</w:t>
      </w:r>
      <w:r>
        <w:rPr>
          <w:rFonts w:hint="eastAsia" w:ascii="Times New Roman" w:hAnsi="Times New Roman" w:eastAsia="仿宋_GB2312"/>
          <w:color w:val="000000" w:themeColor="text1"/>
          <w:sz w:val="32"/>
          <w:szCs w:val="32"/>
          <w14:textFill>
            <w14:solidFill>
              <w14:schemeClr w14:val="tx1"/>
            </w14:solidFill>
          </w14:textFill>
        </w:rPr>
        <w:t>。城乡一体化的社会保障制度更加完善，城镇职工基本养老、城乡居民基本养老等做到应保尽保。</w:t>
      </w:r>
    </w:p>
    <w:p>
      <w:pPr>
        <w:spacing w:line="560" w:lineRule="exact"/>
        <w:ind w:firstLine="420" w:firstLineChars="200"/>
        <w:rPr>
          <w:rFonts w:ascii="Times New Roman" w:hAnsi="Times New Roman" w:eastAsia="仿宋_GB2312"/>
          <w:color w:val="000000" w:themeColor="text1"/>
          <w14:textFill>
            <w14:solidFill>
              <w14:schemeClr w14:val="tx1"/>
            </w14:solidFill>
          </w14:textFill>
        </w:rPr>
      </w:pPr>
      <w:bookmarkStart w:id="352" w:name="_Toc61110822"/>
      <w:bookmarkStart w:id="353" w:name="_Toc27481"/>
    </w:p>
    <w:p>
      <w:pPr>
        <w:pStyle w:val="5"/>
        <w:keepNext w:val="0"/>
        <w:keepLines w:val="0"/>
        <w:spacing w:before="0" w:after="0" w:line="560" w:lineRule="exact"/>
        <w:jc w:val="center"/>
        <w:rPr>
          <w:rFonts w:ascii="Times New Roman" w:hAnsi="Times New Roman" w:eastAsia="黑体"/>
          <w:b w:val="0"/>
          <w:color w:val="000000" w:themeColor="text1"/>
          <w14:textFill>
            <w14:solidFill>
              <w14:schemeClr w14:val="tx1"/>
            </w14:solidFill>
          </w14:textFill>
        </w:rPr>
      </w:pPr>
      <w:bookmarkStart w:id="354" w:name="_Toc27520"/>
      <w:r>
        <w:rPr>
          <w:rFonts w:hint="eastAsia" w:ascii="Times New Roman" w:hAnsi="Times New Roman" w:eastAsia="黑体"/>
          <w:b w:val="0"/>
          <w:color w:val="000000" w:themeColor="text1"/>
          <w14:textFill>
            <w14:solidFill>
              <w14:schemeClr w14:val="tx1"/>
            </w14:solidFill>
          </w14:textFill>
        </w:rPr>
        <w:t>第四节  促进青年全面发展</w:t>
      </w:r>
      <w:bookmarkEnd w:id="354"/>
    </w:p>
    <w:p>
      <w:pPr>
        <w:spacing w:line="560" w:lineRule="exact"/>
        <w:ind w:firstLine="640" w:firstLineChars="200"/>
        <w:rPr>
          <w:rFonts w:ascii="Times New Roman" w:hAnsi="Times New Roman" w:eastAsia="仿宋_GB2312"/>
          <w:color w:val="000000" w:themeColor="text1"/>
          <w:kern w:val="36"/>
          <w:sz w:val="32"/>
          <w:szCs w:val="32"/>
          <w14:textFill>
            <w14:solidFill>
              <w14:schemeClr w14:val="tx1"/>
            </w14:solidFill>
          </w14:textFill>
        </w:rPr>
      </w:pPr>
    </w:p>
    <w:p>
      <w:pPr>
        <w:spacing w:line="560" w:lineRule="exact"/>
        <w:ind w:firstLine="640" w:firstLineChars="200"/>
        <w:rPr>
          <w:rFonts w:ascii="Times New Roman" w:hAnsi="Times New Roman" w:eastAsia="仿宋_GB2312"/>
          <w:color w:val="000000" w:themeColor="text1"/>
          <w:kern w:val="36"/>
          <w:sz w:val="32"/>
          <w:szCs w:val="32"/>
          <w14:textFill>
            <w14:solidFill>
              <w14:schemeClr w14:val="tx1"/>
            </w14:solidFill>
          </w14:textFill>
        </w:rPr>
      </w:pPr>
      <w:r>
        <w:rPr>
          <w:rFonts w:hint="eastAsia" w:ascii="Times New Roman" w:hAnsi="Times New Roman" w:eastAsia="仿宋_GB2312"/>
          <w:color w:val="000000" w:themeColor="text1"/>
          <w:kern w:val="36"/>
          <w:sz w:val="32"/>
          <w:szCs w:val="32"/>
          <w14:textFill>
            <w14:solidFill>
              <w14:schemeClr w14:val="tx1"/>
            </w14:solidFill>
          </w14:textFill>
        </w:rPr>
        <w:t>坚持党管青年原则，围绕青年思想道德、教育、健康、婚恋、就业创业、文化、社会融入与社会参与、维护青年合法权益、预防青年违法犯罪、社会保障等领域，抓好青年发展重点项目建设、“青年就业见习计划”、“青年创业创新行动”和“健全‘公益资助+政府配套+志愿者参与’的新时代‘希望工程’资助体系”等工作。推进乡镇、街道建成1个以上“广西青空间”青少年综合服务平台并形成日常化工作机制，着力构建覆盖国企、农村、社会组织等各领域优秀青年，不断为党培养和输送青年政治骨干的培养体系。服务青年紧迫需求，维护青年发展权益，稳步推动落实中长期青年发展规划，促进青年全面发展。</w:t>
      </w:r>
    </w:p>
    <w:p>
      <w:pPr>
        <w:spacing w:line="560" w:lineRule="exact"/>
        <w:ind w:firstLine="640" w:firstLineChars="200"/>
        <w:rPr>
          <w:rFonts w:ascii="Times New Roman" w:hAnsi="Times New Roman" w:eastAsia="仿宋_GB2312"/>
          <w:color w:val="000000" w:themeColor="text1"/>
          <w:kern w:val="36"/>
          <w:sz w:val="32"/>
          <w:szCs w:val="32"/>
          <w14:textFill>
            <w14:solidFill>
              <w14:schemeClr w14:val="tx1"/>
            </w14:solidFill>
          </w14:textFill>
        </w:rPr>
      </w:pPr>
    </w:p>
    <w:p>
      <w:pPr>
        <w:pStyle w:val="5"/>
        <w:keepNext w:val="0"/>
        <w:keepLines w:val="0"/>
        <w:spacing w:before="0" w:after="0" w:line="560" w:lineRule="exact"/>
        <w:jc w:val="center"/>
        <w:rPr>
          <w:rFonts w:ascii="Times New Roman" w:hAnsi="Times New Roman" w:eastAsia="黑体"/>
          <w:b w:val="0"/>
          <w:color w:val="000000" w:themeColor="text1"/>
          <w14:textFill>
            <w14:solidFill>
              <w14:schemeClr w14:val="tx1"/>
            </w14:solidFill>
          </w14:textFill>
        </w:rPr>
      </w:pPr>
      <w:bookmarkStart w:id="355" w:name="_Toc30688"/>
      <w:r>
        <w:rPr>
          <w:rFonts w:hint="eastAsia" w:ascii="Times New Roman" w:hAnsi="Times New Roman" w:eastAsia="黑体"/>
          <w:b w:val="0"/>
          <w:color w:val="000000" w:themeColor="text1"/>
          <w14:textFill>
            <w14:solidFill>
              <w14:schemeClr w14:val="tx1"/>
            </w14:solidFill>
          </w14:textFill>
        </w:rPr>
        <w:t>第五节  推动劳动力就业创业</w:t>
      </w:r>
      <w:bookmarkEnd w:id="352"/>
      <w:bookmarkEnd w:id="353"/>
      <w:bookmarkEnd w:id="355"/>
    </w:p>
    <w:p>
      <w:pPr>
        <w:spacing w:line="560" w:lineRule="exact"/>
        <w:ind w:firstLine="640" w:firstLineChars="200"/>
        <w:rPr>
          <w:rFonts w:ascii="Times New Roman" w:hAnsi="Times New Roman" w:eastAsia="仿宋_GB2312"/>
          <w:color w:val="000000" w:themeColor="text1"/>
          <w:kern w:val="36"/>
          <w:sz w:val="32"/>
          <w:szCs w:val="32"/>
          <w14:textFill>
            <w14:solidFill>
              <w14:schemeClr w14:val="tx1"/>
            </w14:solidFill>
          </w14:textFill>
        </w:rPr>
      </w:pPr>
    </w:p>
    <w:p>
      <w:pPr>
        <w:spacing w:line="560" w:lineRule="exact"/>
        <w:ind w:firstLine="640" w:firstLineChars="200"/>
        <w:rPr>
          <w:rFonts w:ascii="Times New Roman" w:hAnsi="Times New Roman" w:eastAsia="仿宋_GB2312"/>
          <w:color w:val="000000" w:themeColor="text1"/>
          <w:kern w:val="36"/>
          <w:sz w:val="32"/>
          <w:szCs w:val="32"/>
          <w14:textFill>
            <w14:solidFill>
              <w14:schemeClr w14:val="tx1"/>
            </w14:solidFill>
          </w14:textFill>
        </w:rPr>
      </w:pPr>
      <w:r>
        <w:rPr>
          <w:rFonts w:hint="eastAsia" w:ascii="Times New Roman" w:hAnsi="Times New Roman" w:eastAsia="仿宋_GB2312"/>
          <w:color w:val="000000" w:themeColor="text1"/>
          <w:kern w:val="36"/>
          <w:sz w:val="32"/>
          <w:szCs w:val="32"/>
          <w14:textFill>
            <w14:solidFill>
              <w14:schemeClr w14:val="tx1"/>
            </w14:solidFill>
          </w14:textFill>
        </w:rPr>
        <w:t>完善劳动力市场和就业机制，坚持“以责任制规范就业、以岗位促进就业、以培训提高就业、以补贴援助就业、以创业带动就业、以服务企业稳定就业”思路，推动劳动力就业创业，实施就业优先战略和政策，支持以创业带就业，实现更高质量的就业，形成市场经济条件下促进就业的长效机制。做好农村劳动力转移就业创业工作，统筹推进高校毕业生、退役军人等重点人群就业。强化就业技能培训和就业援助，城镇失业人员、进城务工人员、新成长劳动力免费接受基本职业技能培训实现全覆盖。到2025年实现城镇新增就业0.25万人以上，城镇登记失业率控制在4.5%以内，新增转移农村劳动力0.35万人左右，城镇失业人员、进城务工人员、新成长劳动力免费接受基本职业技能培训实现全覆盖。</w:t>
      </w:r>
      <w:bookmarkStart w:id="356" w:name="_Toc61110823"/>
      <w:bookmarkStart w:id="357" w:name="_Toc3511"/>
    </w:p>
    <w:p>
      <w:pPr>
        <w:spacing w:line="560" w:lineRule="exact"/>
        <w:jc w:val="center"/>
        <w:rPr>
          <w:rFonts w:ascii="Times New Roman" w:hAnsi="Times New Roman" w:eastAsia="楷体_GB2312"/>
          <w:bCs/>
          <w:color w:val="000000" w:themeColor="text1"/>
          <w:sz w:val="32"/>
          <w:szCs w:val="32"/>
          <w14:textFill>
            <w14:solidFill>
              <w14:schemeClr w14:val="tx1"/>
            </w14:solidFill>
          </w14:textFill>
        </w:rPr>
      </w:pPr>
    </w:p>
    <w:p>
      <w:pPr>
        <w:spacing w:line="560" w:lineRule="exact"/>
        <w:jc w:val="center"/>
        <w:outlineLvl w:val="2"/>
        <w:rPr>
          <w:rFonts w:ascii="Times New Roman" w:hAnsi="Times New Roman" w:eastAsia="黑体"/>
          <w:bCs/>
          <w:color w:val="000000" w:themeColor="text1"/>
          <w:sz w:val="32"/>
          <w:szCs w:val="32"/>
          <w14:textFill>
            <w14:solidFill>
              <w14:schemeClr w14:val="tx1"/>
            </w14:solidFill>
          </w14:textFill>
        </w:rPr>
      </w:pPr>
      <w:bookmarkStart w:id="358" w:name="_Toc24101"/>
      <w:r>
        <w:rPr>
          <w:rFonts w:hint="eastAsia" w:ascii="Times New Roman" w:hAnsi="Times New Roman" w:eastAsia="黑体"/>
          <w:bCs/>
          <w:color w:val="000000" w:themeColor="text1"/>
          <w:sz w:val="32"/>
          <w:szCs w:val="32"/>
          <w14:textFill>
            <w14:solidFill>
              <w14:schemeClr w14:val="tx1"/>
            </w14:solidFill>
          </w14:textFill>
        </w:rPr>
        <w:t>第六节  提升公共服务均等化水平</w:t>
      </w:r>
      <w:bookmarkEnd w:id="356"/>
      <w:bookmarkEnd w:id="357"/>
      <w:bookmarkEnd w:id="358"/>
    </w:p>
    <w:p>
      <w:pPr>
        <w:spacing w:line="560" w:lineRule="exact"/>
        <w:ind w:firstLine="640" w:firstLineChars="200"/>
        <w:rPr>
          <w:rFonts w:ascii="Times New Roman" w:hAnsi="Times New Roman" w:eastAsia="仿宋_GB2312"/>
          <w:color w:val="000000" w:themeColor="text1"/>
          <w:kern w:val="36"/>
          <w:sz w:val="32"/>
          <w:szCs w:val="32"/>
          <w14:textFill>
            <w14:solidFill>
              <w14:schemeClr w14:val="tx1"/>
            </w14:solidFill>
          </w14:textFill>
        </w:rPr>
      </w:pPr>
    </w:p>
    <w:p>
      <w:pPr>
        <w:spacing w:line="560" w:lineRule="exact"/>
        <w:ind w:firstLine="640" w:firstLineChars="200"/>
        <w:rPr>
          <w:rFonts w:ascii="Times New Roman" w:hAnsi="Times New Roman" w:eastAsia="仿宋_GB2312"/>
          <w:color w:val="000000" w:themeColor="text1"/>
          <w:kern w:val="36"/>
          <w:sz w:val="32"/>
          <w:szCs w:val="32"/>
          <w14:textFill>
            <w14:solidFill>
              <w14:schemeClr w14:val="tx1"/>
            </w14:solidFill>
          </w14:textFill>
        </w:rPr>
      </w:pPr>
      <w:r>
        <w:rPr>
          <w:rFonts w:hint="eastAsia" w:ascii="Times New Roman" w:hAnsi="Times New Roman" w:eastAsia="仿宋_GB2312"/>
          <w:color w:val="000000" w:themeColor="text1"/>
          <w:kern w:val="36"/>
          <w:sz w:val="32"/>
          <w:szCs w:val="32"/>
          <w14:textFill>
            <w14:solidFill>
              <w14:schemeClr w14:val="tx1"/>
            </w14:solidFill>
          </w14:textFill>
        </w:rPr>
        <w:t>基本公共服务均等化水平明显提升，建成政府主导、覆盖城乡、功能完善、分布合理、管理有效、可持续的基本公共服务体系，实现城乡、区域和不同社会群体间基本公共服务制度的统一，标准一致和水平一样的均衡，实现人人平等地享受基本公共服务。人力资源和社会保障基本公共服务制度规范基本定型，基本公共服务清单全面建立，标准体系基本健全，基层服务条件更加完善，服务水平和群众满意度明显提升，群众享有基本公共服务的可及性显著提高，基本公共服务均等化基本实现。到2025年，社会保障卡持卡人数达16万人以上。</w:t>
      </w:r>
    </w:p>
    <w:p>
      <w:pPr>
        <w:spacing w:line="560" w:lineRule="exact"/>
        <w:ind w:firstLine="640" w:firstLineChars="200"/>
        <w:rPr>
          <w:rFonts w:ascii="Times New Roman" w:hAnsi="Times New Roman" w:eastAsia="仿宋_GB2312"/>
          <w:color w:val="000000" w:themeColor="text1"/>
          <w:kern w:val="36"/>
          <w:sz w:val="32"/>
          <w:szCs w:val="32"/>
          <w14:textFill>
            <w14:solidFill>
              <w14:schemeClr w14:val="tx1"/>
            </w14:solidFill>
          </w14:textFill>
        </w:rPr>
      </w:pPr>
    </w:p>
    <w:p>
      <w:pPr>
        <w:pStyle w:val="5"/>
        <w:keepNext w:val="0"/>
        <w:keepLines w:val="0"/>
        <w:spacing w:before="0" w:after="0" w:line="560" w:lineRule="exact"/>
        <w:jc w:val="center"/>
        <w:rPr>
          <w:rFonts w:ascii="Times New Roman" w:hAnsi="Times New Roman" w:eastAsia="黑体"/>
          <w:b w:val="0"/>
          <w:color w:val="000000" w:themeColor="text1"/>
          <w14:textFill>
            <w14:solidFill>
              <w14:schemeClr w14:val="tx1"/>
            </w14:solidFill>
          </w14:textFill>
        </w:rPr>
      </w:pPr>
      <w:bookmarkStart w:id="359" w:name="_Toc7127"/>
      <w:r>
        <w:rPr>
          <w:rFonts w:hint="eastAsia" w:ascii="Times New Roman" w:hAnsi="Times New Roman" w:eastAsia="黑体"/>
          <w:b w:val="0"/>
          <w:color w:val="000000" w:themeColor="text1"/>
          <w14:textFill>
            <w14:solidFill>
              <w14:schemeClr w14:val="tx1"/>
            </w14:solidFill>
          </w14:textFill>
        </w:rPr>
        <w:t>第七节  完善科技创新体制机制</w:t>
      </w:r>
      <w:bookmarkEnd w:id="359"/>
    </w:p>
    <w:p>
      <w:pPr>
        <w:spacing w:line="560" w:lineRule="exact"/>
        <w:ind w:firstLine="616" w:firstLineChars="200"/>
        <w:rPr>
          <w:rFonts w:ascii="Times New Roman" w:hAnsi="Times New Roman" w:eastAsia="仿宋_GB2312"/>
          <w:color w:val="000000" w:themeColor="text1"/>
          <w:spacing w:val="-6"/>
          <w:kern w:val="36"/>
          <w:sz w:val="32"/>
          <w:szCs w:val="32"/>
          <w14:textFill>
            <w14:solidFill>
              <w14:schemeClr w14:val="tx1"/>
            </w14:solidFill>
          </w14:textFill>
        </w:rPr>
      </w:pPr>
    </w:p>
    <w:p>
      <w:pPr>
        <w:spacing w:line="560" w:lineRule="exact"/>
        <w:ind w:firstLine="640" w:firstLineChars="200"/>
        <w:rPr>
          <w:rFonts w:ascii="Times New Roman" w:hAnsi="Times New Roman" w:eastAsia="仿宋_GB2312"/>
          <w:color w:val="000000" w:themeColor="text1"/>
          <w:kern w:val="36"/>
          <w:sz w:val="32"/>
          <w:szCs w:val="32"/>
          <w14:textFill>
            <w14:solidFill>
              <w14:schemeClr w14:val="tx1"/>
            </w14:solidFill>
          </w14:textFill>
        </w:rPr>
      </w:pPr>
      <w:r>
        <w:rPr>
          <w:rFonts w:hint="eastAsia" w:ascii="Times New Roman" w:hAnsi="Times New Roman" w:eastAsia="仿宋_GB2312"/>
          <w:color w:val="000000" w:themeColor="text1"/>
          <w:kern w:val="36"/>
          <w:sz w:val="32"/>
          <w:szCs w:val="32"/>
          <w14:textFill>
            <w14:solidFill>
              <w14:schemeClr w14:val="tx1"/>
            </w14:solidFill>
          </w14:textFill>
        </w:rPr>
        <w:t>以优化科技资源配置、激发创新主体活力、完善科技治理机制为着力点，按要求深化新一轮科技体制改革，加强科技力量统筹，加强知识产权保护，提高科技成果转移转化成效。健全政府投入为主，社会多渠道投入机制，鼓励企业加大技术研发投入，对企业投入基础研究实行税收优惠。加强科普工作，加快科普场馆的建设，营造崇尚创新的社会氛围。</w:t>
      </w:r>
      <w:r>
        <w:rPr>
          <w:rFonts w:hint="eastAsia" w:ascii="Times New Roman" w:hAnsi="Times New Roman" w:eastAsia="仿宋_GB2312"/>
          <w:b/>
          <w:color w:val="000000" w:themeColor="text1"/>
          <w:kern w:val="36"/>
          <w:sz w:val="32"/>
          <w:szCs w:val="32"/>
          <w14:textFill>
            <w14:solidFill>
              <w14:schemeClr w14:val="tx1"/>
            </w14:solidFill>
          </w14:textFill>
        </w:rPr>
        <w:t>一是</w:t>
      </w:r>
      <w:r>
        <w:rPr>
          <w:rFonts w:hint="eastAsia" w:ascii="Times New Roman" w:hAnsi="Times New Roman" w:eastAsia="仿宋_GB2312"/>
          <w:color w:val="000000" w:themeColor="text1"/>
          <w:kern w:val="36"/>
          <w:sz w:val="32"/>
          <w:szCs w:val="32"/>
          <w14:textFill>
            <w14:solidFill>
              <w14:schemeClr w14:val="tx1"/>
            </w14:solidFill>
          </w14:textFill>
        </w:rPr>
        <w:t>建立以企业为主体创新体系。支持企业和各主体融通创新，发挥好国有民营企业、金融机构、应用和需求者等各主体的作用，形成各得其所、相互协同、相互支撑的良好创新生态系统。创新促进科技成果转化机制，深入推进职务科技发明成果所有权改革，加快完善科技成果使用、处置、收益制度，疏通科技成果转化的体制机制关卡。提升产业基础能力和产业链现代化水平，夯实产业高质量发展的基础，提高自主可控水平，增强产业链韧性和抗风险能力。</w:t>
      </w:r>
      <w:r>
        <w:rPr>
          <w:rFonts w:hint="eastAsia" w:ascii="Times New Roman" w:hAnsi="Times New Roman" w:eastAsia="仿宋_GB2312"/>
          <w:b/>
          <w:color w:val="000000" w:themeColor="text1"/>
          <w:kern w:val="36"/>
          <w:sz w:val="32"/>
          <w:szCs w:val="32"/>
          <w14:textFill>
            <w14:solidFill>
              <w14:schemeClr w14:val="tx1"/>
            </w14:solidFill>
          </w14:textFill>
        </w:rPr>
        <w:t>二是</w:t>
      </w:r>
      <w:r>
        <w:rPr>
          <w:rFonts w:hint="eastAsia" w:ascii="Times New Roman" w:hAnsi="Times New Roman" w:eastAsia="仿宋_GB2312"/>
          <w:color w:val="000000" w:themeColor="text1"/>
          <w:kern w:val="36"/>
          <w:sz w:val="32"/>
          <w:szCs w:val="32"/>
          <w14:textFill>
            <w14:solidFill>
              <w14:schemeClr w14:val="tx1"/>
            </w14:solidFill>
          </w14:textFill>
        </w:rPr>
        <w:t>弘扬科学精神和工匠精神。完善科技人才发现、培养、激励机制，支持鼓励滑石企业界引进世界级、国家级的高端人才参与龙胜</w:t>
      </w:r>
      <w:r>
        <w:rPr>
          <w:rFonts w:hint="eastAsia" w:ascii="Times New Roman" w:hAnsi="Times New Roman" w:eastAsia="仿宋_GB2312"/>
          <w:color w:val="000000" w:themeColor="text1"/>
          <w:sz w:val="32"/>
          <w:szCs w:val="32"/>
          <w14:textFill>
            <w14:solidFill>
              <w14:schemeClr w14:val="tx1"/>
            </w14:solidFill>
          </w14:textFill>
        </w:rPr>
        <w:t>县</w:t>
      </w:r>
      <w:r>
        <w:rPr>
          <w:rFonts w:hint="eastAsia" w:ascii="Times New Roman" w:hAnsi="Times New Roman" w:eastAsia="仿宋_GB2312"/>
          <w:color w:val="000000" w:themeColor="text1"/>
          <w:kern w:val="36"/>
          <w:sz w:val="32"/>
          <w:szCs w:val="32"/>
          <w14:textFill>
            <w14:solidFill>
              <w14:schemeClr w14:val="tx1"/>
            </w14:solidFill>
          </w14:textFill>
        </w:rPr>
        <w:t>滑石产业生产、开发和科研活动。各产业园区、各相关职能部门要主动引入人才。弘扬科学精神和工匠精神，鼓励个人从小发明小创造开始，不断提高动手能力，逐步提升创新本领，努力成为热爱创新、精益求精、感恩奉献的龙胜工匠。</w:t>
      </w:r>
      <w:r>
        <w:rPr>
          <w:rFonts w:hint="eastAsia" w:ascii="Times New Roman" w:hAnsi="Times New Roman" w:eastAsia="仿宋_GB2312"/>
          <w:b/>
          <w:color w:val="000000" w:themeColor="text1"/>
          <w:kern w:val="36"/>
          <w:sz w:val="32"/>
          <w:szCs w:val="32"/>
          <w14:textFill>
            <w14:solidFill>
              <w14:schemeClr w14:val="tx1"/>
            </w14:solidFill>
          </w14:textFill>
        </w:rPr>
        <w:t>三是</w:t>
      </w:r>
      <w:r>
        <w:rPr>
          <w:rFonts w:hint="eastAsia" w:ascii="Times New Roman" w:hAnsi="Times New Roman" w:eastAsia="仿宋_GB2312"/>
          <w:color w:val="000000" w:themeColor="text1"/>
          <w:kern w:val="36"/>
          <w:sz w:val="32"/>
          <w:szCs w:val="32"/>
          <w14:textFill>
            <w14:solidFill>
              <w14:schemeClr w14:val="tx1"/>
            </w14:solidFill>
          </w14:textFill>
        </w:rPr>
        <w:t>改进科技评价体系。健全符合科研规律的科技管理体制和政策体系，各相关部门做好创造环境、引导方向提供服务等工作，不断优化科技计划体系布局和管理机制。改革科技经费的管理办法，让科技专家有更大的技术路线决策权、更大的经费支配权、更大的资源调动权，使科技工作者有更充足的精力和更广阔的空间做好工作。</w:t>
      </w:r>
    </w:p>
    <w:p>
      <w:pPr>
        <w:pStyle w:val="2"/>
        <w:spacing w:line="560" w:lineRule="exact"/>
        <w:rPr>
          <w:rFonts w:ascii="Times New Roman" w:hAnsi="Times New Roman"/>
        </w:rPr>
      </w:pPr>
    </w:p>
    <w:p>
      <w:pPr>
        <w:pStyle w:val="5"/>
        <w:keepNext w:val="0"/>
        <w:keepLines w:val="0"/>
        <w:spacing w:before="0" w:after="0" w:line="560" w:lineRule="exact"/>
        <w:jc w:val="center"/>
        <w:rPr>
          <w:rFonts w:ascii="Times New Roman" w:hAnsi="Times New Roman" w:eastAsia="黑体"/>
          <w:b w:val="0"/>
          <w:color w:val="000000" w:themeColor="text1"/>
          <w14:textFill>
            <w14:solidFill>
              <w14:schemeClr w14:val="tx1"/>
            </w14:solidFill>
          </w14:textFill>
        </w:rPr>
      </w:pPr>
      <w:bookmarkStart w:id="360" w:name="_Toc6447"/>
      <w:bookmarkStart w:id="361" w:name="_Toc61110824"/>
      <w:bookmarkStart w:id="362" w:name="_Toc29039"/>
      <w:r>
        <w:rPr>
          <w:rFonts w:hint="eastAsia" w:ascii="Times New Roman" w:hAnsi="Times New Roman" w:eastAsia="黑体"/>
          <w:b w:val="0"/>
          <w:color w:val="000000" w:themeColor="text1"/>
          <w14:textFill>
            <w14:solidFill>
              <w14:schemeClr w14:val="tx1"/>
            </w14:solidFill>
          </w14:textFill>
        </w:rPr>
        <w:t>第八节  完善应急体系建设</w:t>
      </w:r>
      <w:bookmarkEnd w:id="360"/>
      <w:bookmarkEnd w:id="361"/>
      <w:bookmarkEnd w:id="362"/>
    </w:p>
    <w:p>
      <w:pPr>
        <w:spacing w:line="560" w:lineRule="exact"/>
        <w:ind w:firstLine="616" w:firstLineChars="200"/>
        <w:rPr>
          <w:rFonts w:ascii="Times New Roman" w:hAnsi="Times New Roman" w:eastAsia="仿宋_GB2312"/>
          <w:color w:val="000000" w:themeColor="text1"/>
          <w:spacing w:val="-6"/>
          <w:kern w:val="36"/>
          <w:sz w:val="32"/>
          <w:szCs w:val="32"/>
          <w14:textFill>
            <w14:solidFill>
              <w14:schemeClr w14:val="tx1"/>
            </w14:solidFill>
          </w14:textFill>
        </w:rPr>
      </w:pPr>
    </w:p>
    <w:p>
      <w:pPr>
        <w:spacing w:line="560" w:lineRule="exact"/>
        <w:ind w:firstLine="616" w:firstLineChars="200"/>
        <w:rPr>
          <w:rFonts w:ascii="Times New Roman" w:hAnsi="Times New Roman" w:eastAsia="仿宋_GB2312"/>
          <w:color w:val="000000" w:themeColor="text1"/>
          <w:spacing w:val="-6"/>
          <w:kern w:val="36"/>
          <w:sz w:val="32"/>
          <w:szCs w:val="32"/>
          <w14:textFill>
            <w14:solidFill>
              <w14:schemeClr w14:val="tx1"/>
            </w14:solidFill>
          </w14:textFill>
        </w:rPr>
      </w:pPr>
      <w:r>
        <w:rPr>
          <w:rFonts w:hint="eastAsia" w:ascii="Times New Roman" w:hAnsi="Times New Roman" w:eastAsia="仿宋_GB2312"/>
          <w:color w:val="000000" w:themeColor="text1"/>
          <w:spacing w:val="-6"/>
          <w:kern w:val="36"/>
          <w:sz w:val="32"/>
          <w:szCs w:val="32"/>
          <w14:textFill>
            <w14:solidFill>
              <w14:schemeClr w14:val="tx1"/>
            </w14:solidFill>
          </w14:textFill>
        </w:rPr>
        <w:t>提升应急综合管理能力，强化安全责任、隐患治理、执法监察、预测预警、防灾减灾、应急救援和基础保障体系建设，构建防灾、减灾、救灾、指挥、救援、监管、执法、保障等职能分工清晰、互为衔接的“大应急”管理格局。做好应急救灾物资储备，抓好四类灾种（自然灾害、事故灾害、公共卫生事件和社会安全事件）预警、防控源头，关口前移，探索龙胜灾害发生规律，减少一般事故，有效控制较大事故，坚决杜绝重特大事故。</w:t>
      </w:r>
      <w:r>
        <w:rPr>
          <w:rFonts w:hint="eastAsia" w:ascii="Times New Roman" w:hAnsi="Times New Roman" w:eastAsia="仿宋_GB2312"/>
          <w:b/>
          <w:color w:val="000000" w:themeColor="text1"/>
          <w:sz w:val="32"/>
          <w:szCs w:val="32"/>
          <w14:textFill>
            <w14:solidFill>
              <w14:schemeClr w14:val="tx1"/>
            </w14:solidFill>
          </w14:textFill>
        </w:rPr>
        <w:t>一是</w:t>
      </w:r>
      <w:r>
        <w:rPr>
          <w:rFonts w:hint="eastAsia" w:ascii="Times New Roman" w:hAnsi="Times New Roman" w:eastAsia="仿宋_GB2312"/>
          <w:color w:val="000000" w:themeColor="text1"/>
          <w:spacing w:val="-6"/>
          <w:kern w:val="36"/>
          <w:sz w:val="32"/>
          <w:szCs w:val="32"/>
          <w14:textFill>
            <w14:solidFill>
              <w14:schemeClr w14:val="tx1"/>
            </w14:solidFill>
          </w14:textFill>
        </w:rPr>
        <w:t>安全生产方面。压实企业主体责任，持续推进重点行业领域攻坚治理，强化风险隐患排查治理和双重预防机制建设，提升全民整体安全素质。</w:t>
      </w:r>
      <w:r>
        <w:rPr>
          <w:rFonts w:hint="eastAsia" w:ascii="Times New Roman" w:hAnsi="Times New Roman" w:eastAsia="仿宋_GB2312"/>
          <w:b/>
          <w:color w:val="000000" w:themeColor="text1"/>
          <w:sz w:val="32"/>
          <w:szCs w:val="32"/>
          <w14:textFill>
            <w14:solidFill>
              <w14:schemeClr w14:val="tx1"/>
            </w14:solidFill>
          </w14:textFill>
        </w:rPr>
        <w:t>二是</w:t>
      </w:r>
      <w:r>
        <w:rPr>
          <w:rFonts w:hint="eastAsia" w:ascii="Times New Roman" w:hAnsi="Times New Roman" w:eastAsia="仿宋_GB2312"/>
          <w:color w:val="000000" w:themeColor="text1"/>
          <w:spacing w:val="-6"/>
          <w:kern w:val="36"/>
          <w:sz w:val="32"/>
          <w:szCs w:val="32"/>
          <w14:textFill>
            <w14:solidFill>
              <w14:schemeClr w14:val="tx1"/>
            </w14:solidFill>
          </w14:textFill>
        </w:rPr>
        <w:t>防灾减灾方面。完善综合监测预警机制，建立健全灾害救助平台，引导社会组织参与减灾救灾，构建政府主导、多元联动、协同配合、有序参与的防灾减灾新格局，增强自然灾害风险防治能力。</w:t>
      </w:r>
      <w:r>
        <w:rPr>
          <w:rFonts w:hint="eastAsia" w:ascii="Times New Roman" w:hAnsi="Times New Roman" w:eastAsia="仿宋_GB2312"/>
          <w:b/>
          <w:color w:val="000000" w:themeColor="text1"/>
          <w:sz w:val="32"/>
          <w:szCs w:val="32"/>
          <w14:textFill>
            <w14:solidFill>
              <w14:schemeClr w14:val="tx1"/>
            </w14:solidFill>
          </w14:textFill>
        </w:rPr>
        <w:t>三是</w:t>
      </w:r>
      <w:r>
        <w:rPr>
          <w:rFonts w:hint="eastAsia" w:ascii="Times New Roman" w:hAnsi="Times New Roman" w:eastAsia="仿宋_GB2312"/>
          <w:color w:val="000000" w:themeColor="text1"/>
          <w:spacing w:val="-6"/>
          <w:kern w:val="36"/>
          <w:sz w:val="32"/>
          <w:szCs w:val="32"/>
          <w14:textFill>
            <w14:solidFill>
              <w14:schemeClr w14:val="tx1"/>
            </w14:solidFill>
          </w14:textFill>
        </w:rPr>
        <w:t>应急救援方面，完善应急预案体系并强化应急演练，推进救援队伍体系建设，增强应急实战能力。加快应急平台推进应急避难场所建设。完善应急物资保障系统，推进应急物资建设和管理，加强信息发布和舆情引导。</w:t>
      </w:r>
      <w:r>
        <w:rPr>
          <w:rFonts w:hint="eastAsia" w:ascii="Times New Roman" w:hAnsi="Times New Roman" w:eastAsia="仿宋_GB2312"/>
          <w:b/>
          <w:color w:val="000000" w:themeColor="text1"/>
          <w:sz w:val="32"/>
          <w:szCs w:val="32"/>
          <w14:textFill>
            <w14:solidFill>
              <w14:schemeClr w14:val="tx1"/>
            </w14:solidFill>
          </w14:textFill>
        </w:rPr>
        <w:t>四是</w:t>
      </w:r>
      <w:r>
        <w:rPr>
          <w:rFonts w:hint="eastAsia" w:ascii="Times New Roman" w:hAnsi="Times New Roman" w:eastAsia="仿宋_GB2312"/>
          <w:color w:val="000000" w:themeColor="text1"/>
          <w:spacing w:val="-6"/>
          <w:kern w:val="36"/>
          <w:sz w:val="32"/>
          <w:szCs w:val="32"/>
          <w14:textFill>
            <w14:solidFill>
              <w14:schemeClr w14:val="tx1"/>
            </w14:solidFill>
          </w14:textFill>
        </w:rPr>
        <w:t>人防建设方面。结合人防进行城市建设，完善人防相关设施，建立人民防空体系，保障战时人民生命财产安全。到2025年，安全生产事故控制指标全面下降。</w:t>
      </w:r>
    </w:p>
    <w:p>
      <w:pPr>
        <w:pStyle w:val="31"/>
        <w:autoSpaceDE/>
        <w:autoSpaceDN/>
        <w:adjustRightInd/>
        <w:spacing w:line="560" w:lineRule="exact"/>
        <w:jc w:val="both"/>
        <w:rPr>
          <w:rFonts w:ascii="Times New Roman" w:hAnsi="Times New Roman" w:eastAsia="仿宋"/>
          <w:b/>
          <w:bCs/>
          <w:color w:val="000000" w:themeColor="text1"/>
          <w:sz w:val="28"/>
          <w:szCs w:val="28"/>
          <w14:textFill>
            <w14:solidFill>
              <w14:schemeClr w14:val="tx1"/>
            </w14:solidFill>
          </w14:textFill>
        </w:rPr>
      </w:pPr>
    </w:p>
    <w:p>
      <w:pPr>
        <w:pStyle w:val="31"/>
        <w:autoSpaceDE/>
        <w:autoSpaceDN/>
        <w:adjustRightInd/>
        <w:spacing w:line="560" w:lineRule="exact"/>
        <w:jc w:val="center"/>
        <w:rPr>
          <w:rFonts w:ascii="Times New Roman" w:hAnsi="Times New Roman" w:eastAsia="仿宋"/>
          <w:b/>
          <w:bCs/>
          <w:color w:val="000000" w:themeColor="text1"/>
          <w:sz w:val="28"/>
          <w:szCs w:val="28"/>
          <w14:textFill>
            <w14:solidFill>
              <w14:schemeClr w14:val="tx1"/>
            </w14:solidFill>
          </w14:textFill>
        </w:rPr>
      </w:pPr>
      <w:r>
        <w:rPr>
          <w:rFonts w:hint="eastAsia" w:ascii="Times New Roman" w:hAnsi="Times New Roman" w:eastAsia="仿宋"/>
          <w:b/>
          <w:bCs/>
          <w:color w:val="000000" w:themeColor="text1"/>
          <w:sz w:val="28"/>
          <w:szCs w:val="28"/>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-44450</wp:posOffset>
                </wp:positionH>
                <wp:positionV relativeFrom="paragraph">
                  <wp:posOffset>622300</wp:posOffset>
                </wp:positionV>
                <wp:extent cx="5882005" cy="3890645"/>
                <wp:effectExtent l="4445" t="4445" r="19050" b="10160"/>
                <wp:wrapSquare wrapText="bothSides"/>
                <wp:docPr id="14" name="文本框 14"/>
                <wp:cNvGraphicFramePr/>
                <a:graphic xmlns:a="http://schemas.openxmlformats.org/drawingml/2006/main">
                  <a:graphicData uri="http://schemas.microsoft.com/office/word/2010/wordprocessingShape">
                    <wps:wsp>
                      <wps:cNvSpPr txBox="1"/>
                      <wps:spPr>
                        <a:xfrm>
                          <a:off x="0" y="0"/>
                          <a:ext cx="5882005" cy="389064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pStyle w:val="31"/>
                              <w:spacing w:line="360" w:lineRule="auto"/>
                              <w:rPr>
                                <w:rFonts w:ascii="仿宋" w:hAnsi="仿宋" w:eastAsia="仿宋" w:cs="仿宋"/>
                                <w:bCs/>
                                <w:color w:val="auto"/>
                              </w:rPr>
                            </w:pPr>
                            <w:r>
                              <w:rPr>
                                <w:rFonts w:hint="eastAsia" w:ascii="仿宋" w:hAnsi="仿宋" w:eastAsia="仿宋" w:cs="仿宋"/>
                                <w:b/>
                              </w:rPr>
                              <w:t>1.教育事业：</w:t>
                            </w:r>
                            <w:r>
                              <w:rPr>
                                <w:rFonts w:hint="eastAsia" w:ascii="仿宋" w:hAnsi="仿宋" w:eastAsia="仿宋" w:cs="仿宋"/>
                                <w:bCs/>
                              </w:rPr>
                              <w:t>龙胜县龙胜镇第三小学、龙胜县第二高中新建二期工程项目及第二高中校园基础设施建设</w:t>
                            </w:r>
                            <w:r>
                              <w:rPr>
                                <w:rFonts w:hint="eastAsia" w:ascii="仿宋" w:hAnsi="仿宋" w:eastAsia="仿宋" w:cs="仿宋"/>
                                <w:bCs/>
                                <w:color w:val="auto"/>
                              </w:rPr>
                              <w:t>工程项目、龙胜县教育信息化、仪器装备采购、龙胜县乡村幼儿园建设项目、马堤乡芙蓉小学改扩建项目。</w:t>
                            </w:r>
                          </w:p>
                          <w:p>
                            <w:pPr>
                              <w:pStyle w:val="31"/>
                              <w:spacing w:line="360" w:lineRule="auto"/>
                              <w:rPr>
                                <w:rFonts w:ascii="仿宋" w:hAnsi="仿宋" w:eastAsia="仿宋" w:cs="仿宋"/>
                                <w:bCs/>
                              </w:rPr>
                            </w:pPr>
                            <w:r>
                              <w:rPr>
                                <w:rFonts w:hint="eastAsia" w:ascii="仿宋" w:hAnsi="仿宋" w:eastAsia="仿宋" w:cs="仿宋"/>
                                <w:b/>
                                <w:color w:val="auto"/>
                              </w:rPr>
                              <w:t>2.卫生事业</w:t>
                            </w:r>
                            <w:r>
                              <w:rPr>
                                <w:rFonts w:hint="eastAsia" w:ascii="仿宋" w:hAnsi="仿宋" w:eastAsia="仿宋" w:cs="仿宋"/>
                                <w:bCs/>
                                <w:color w:val="auto"/>
                              </w:rPr>
                              <w:t>：龙胜县乡（镇）卫生院综合楼改造、龙胜县妇幼保健院公</w:t>
                            </w:r>
                            <w:r>
                              <w:rPr>
                                <w:rFonts w:hint="eastAsia" w:ascii="仿宋" w:hAnsi="仿宋" w:eastAsia="仿宋" w:cs="仿宋"/>
                                <w:bCs/>
                              </w:rPr>
                              <w:t>卫医技综合楼、龙胜县人民医院提升医疗服务水平及抗击疫情大型医学设备购置、龙胜县中医医院肾内科、骨伤科、ICU项目建设、龙胜县中医药产业基地建设项目。</w:t>
                            </w:r>
                          </w:p>
                          <w:p>
                            <w:pPr>
                              <w:pStyle w:val="31"/>
                              <w:spacing w:line="360" w:lineRule="auto"/>
                              <w:rPr>
                                <w:rFonts w:ascii="仿宋" w:hAnsi="仿宋" w:eastAsia="仿宋" w:cs="仿宋"/>
                                <w:bCs/>
                              </w:rPr>
                            </w:pPr>
                            <w:r>
                              <w:rPr>
                                <w:rFonts w:hint="eastAsia" w:ascii="仿宋" w:hAnsi="仿宋" w:eastAsia="仿宋" w:cs="仿宋"/>
                                <w:b/>
                              </w:rPr>
                              <w:t>3.体育事业：</w:t>
                            </w:r>
                            <w:r>
                              <w:rPr>
                                <w:rFonts w:hint="eastAsia" w:ascii="仿宋" w:hAnsi="仿宋" w:eastAsia="仿宋" w:cs="仿宋"/>
                                <w:bCs/>
                              </w:rPr>
                              <w:t>龙胜县民族体育休闲公园（一期）项目、龙胜县足球场建设项目。</w:t>
                            </w:r>
                          </w:p>
                          <w:p>
                            <w:pPr>
                              <w:pStyle w:val="31"/>
                              <w:spacing w:line="360" w:lineRule="auto"/>
                              <w:rPr>
                                <w:rFonts w:ascii="仿宋" w:hAnsi="仿宋" w:eastAsia="仿宋" w:cs="仿宋"/>
                                <w:bCs/>
                              </w:rPr>
                            </w:pPr>
                            <w:r>
                              <w:rPr>
                                <w:rFonts w:hint="eastAsia" w:ascii="仿宋" w:hAnsi="仿宋" w:eastAsia="仿宋" w:cs="仿宋"/>
                                <w:b/>
                              </w:rPr>
                              <w:t>4.应急体系：</w:t>
                            </w:r>
                            <w:r>
                              <w:rPr>
                                <w:rFonts w:hint="eastAsia" w:ascii="仿宋" w:hAnsi="仿宋" w:eastAsia="仿宋" w:cs="仿宋"/>
                                <w:bCs/>
                              </w:rPr>
                              <w:t>龙胜县应急监测预警智能化指挥中心建设项目、龙胜县乡镇应急救援保障中心、龙胜县应急信息化管理指挥系统平台、龙胜县应急物资装备储备仓库建设项目、人民防空指挥中心建设项目。</w:t>
                            </w:r>
                          </w:p>
                          <w:p>
                            <w:pPr>
                              <w:pStyle w:val="31"/>
                              <w:spacing w:line="360" w:lineRule="auto"/>
                              <w:rPr>
                                <w:rFonts w:ascii="仿宋" w:hAnsi="仿宋" w:eastAsia="仿宋" w:cs="仿宋"/>
                                <w:bCs/>
                              </w:rPr>
                            </w:pPr>
                            <w:r>
                              <w:rPr>
                                <w:rFonts w:hint="eastAsia" w:ascii="仿宋" w:hAnsi="仿宋" w:eastAsia="仿宋" w:cs="仿宋"/>
                                <w:b/>
                              </w:rPr>
                              <w:t>5.民生和其他：</w:t>
                            </w:r>
                            <w:r>
                              <w:rPr>
                                <w:rFonts w:hint="eastAsia" w:ascii="仿宋" w:hAnsi="仿宋" w:eastAsia="仿宋" w:cs="仿宋"/>
                                <w:bCs/>
                              </w:rPr>
                              <w:t>龙胜县养老服务设施园区设施配套项目、龙胜县殡仪服务项目、龙胜县及乡镇居家养老和社区日间照料中心提升改造建设工程项目。</w:t>
                            </w:r>
                          </w:p>
                          <w:p>
                            <w:pPr>
                              <w:pStyle w:val="31"/>
                              <w:spacing w:line="360" w:lineRule="auto"/>
                              <w:rPr>
                                <w:rFonts w:ascii="仿宋" w:hAnsi="仿宋" w:eastAsia="仿宋" w:cs="仿宋"/>
                                <w:bC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pt;margin-top:49pt;height:306.35pt;width:463.15pt;mso-wrap-distance-bottom:0pt;mso-wrap-distance-left:9pt;mso-wrap-distance-right:9pt;mso-wrap-distance-top:0pt;z-index:251668480;mso-width-relative:page;mso-height-relative:page;" filled="f" stroked="t" coordsize="21600,21600" o:gfxdata="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rdDyQ2gAAAAkB&#10;AAAPAAAAAAAAAAEAIAAAACIAAABkcnMvZG93bnJldi54bWxQSwECFAAUAAAACACHTuJAIRl63FIC&#10;AACRBAAADgAAAAAAAAABACAAAAApAQAAZHJzL2Uyb0RvYy54bWxQSwUGAAAAAAYABgBZAQAA7QUA&#10;AAAA&#10;">
                <v:fill on="f" focussize="0,0"/>
                <v:stroke weight="0.5pt" color="#000000 [3204]" joinstyle="round"/>
                <v:imagedata o:title=""/>
                <o:lock v:ext="edit" aspectratio="f"/>
                <v:textbox>
                  <w:txbxContent>
                    <w:p>
                      <w:pPr>
                        <w:pStyle w:val="31"/>
                        <w:spacing w:line="360" w:lineRule="auto"/>
                        <w:rPr>
                          <w:rFonts w:ascii="仿宋" w:hAnsi="仿宋" w:eastAsia="仿宋" w:cs="仿宋"/>
                          <w:bCs/>
                          <w:color w:val="auto"/>
                        </w:rPr>
                      </w:pPr>
                      <w:r>
                        <w:rPr>
                          <w:rFonts w:hint="eastAsia" w:ascii="仿宋" w:hAnsi="仿宋" w:eastAsia="仿宋" w:cs="仿宋"/>
                          <w:b/>
                        </w:rPr>
                        <w:t>1.教育事业：</w:t>
                      </w:r>
                      <w:r>
                        <w:rPr>
                          <w:rFonts w:hint="eastAsia" w:ascii="仿宋" w:hAnsi="仿宋" w:eastAsia="仿宋" w:cs="仿宋"/>
                          <w:bCs/>
                        </w:rPr>
                        <w:t>龙胜县龙胜镇第三小学、龙胜县第二高中新建二期工程项目及第二高中校园基础设施建设</w:t>
                      </w:r>
                      <w:r>
                        <w:rPr>
                          <w:rFonts w:hint="eastAsia" w:ascii="仿宋" w:hAnsi="仿宋" w:eastAsia="仿宋" w:cs="仿宋"/>
                          <w:bCs/>
                          <w:color w:val="auto"/>
                        </w:rPr>
                        <w:t>工程项目、龙胜县教育信息化、仪器装备采购、龙胜县乡村幼儿园建设项目、马堤乡芙蓉小学改扩建项目。</w:t>
                      </w:r>
                    </w:p>
                    <w:p>
                      <w:pPr>
                        <w:pStyle w:val="31"/>
                        <w:spacing w:line="360" w:lineRule="auto"/>
                        <w:rPr>
                          <w:rFonts w:ascii="仿宋" w:hAnsi="仿宋" w:eastAsia="仿宋" w:cs="仿宋"/>
                          <w:bCs/>
                        </w:rPr>
                      </w:pPr>
                      <w:r>
                        <w:rPr>
                          <w:rFonts w:hint="eastAsia" w:ascii="仿宋" w:hAnsi="仿宋" w:eastAsia="仿宋" w:cs="仿宋"/>
                          <w:b/>
                          <w:color w:val="auto"/>
                        </w:rPr>
                        <w:t>2.卫生事业</w:t>
                      </w:r>
                      <w:r>
                        <w:rPr>
                          <w:rFonts w:hint="eastAsia" w:ascii="仿宋" w:hAnsi="仿宋" w:eastAsia="仿宋" w:cs="仿宋"/>
                          <w:bCs/>
                          <w:color w:val="auto"/>
                        </w:rPr>
                        <w:t>：龙胜县乡（镇）卫生院综合楼改造、龙胜县妇幼保健院公</w:t>
                      </w:r>
                      <w:r>
                        <w:rPr>
                          <w:rFonts w:hint="eastAsia" w:ascii="仿宋" w:hAnsi="仿宋" w:eastAsia="仿宋" w:cs="仿宋"/>
                          <w:bCs/>
                        </w:rPr>
                        <w:t>卫医技综合楼、龙胜县人民医院提升医疗服务水平及抗击疫情大型医学设备购置、龙胜县中医医院肾内科、骨伤科、ICU项目建设、龙胜县中医药产业基地建设项目。</w:t>
                      </w:r>
                    </w:p>
                    <w:p>
                      <w:pPr>
                        <w:pStyle w:val="31"/>
                        <w:spacing w:line="360" w:lineRule="auto"/>
                        <w:rPr>
                          <w:rFonts w:ascii="仿宋" w:hAnsi="仿宋" w:eastAsia="仿宋" w:cs="仿宋"/>
                          <w:bCs/>
                        </w:rPr>
                      </w:pPr>
                      <w:r>
                        <w:rPr>
                          <w:rFonts w:hint="eastAsia" w:ascii="仿宋" w:hAnsi="仿宋" w:eastAsia="仿宋" w:cs="仿宋"/>
                          <w:b/>
                        </w:rPr>
                        <w:t>3.体育事业：</w:t>
                      </w:r>
                      <w:r>
                        <w:rPr>
                          <w:rFonts w:hint="eastAsia" w:ascii="仿宋" w:hAnsi="仿宋" w:eastAsia="仿宋" w:cs="仿宋"/>
                          <w:bCs/>
                        </w:rPr>
                        <w:t>龙胜县民族体育休闲公园（一期）项目、龙胜县足球场建设项目。</w:t>
                      </w:r>
                    </w:p>
                    <w:p>
                      <w:pPr>
                        <w:pStyle w:val="31"/>
                        <w:spacing w:line="360" w:lineRule="auto"/>
                        <w:rPr>
                          <w:rFonts w:ascii="仿宋" w:hAnsi="仿宋" w:eastAsia="仿宋" w:cs="仿宋"/>
                          <w:bCs/>
                        </w:rPr>
                      </w:pPr>
                      <w:r>
                        <w:rPr>
                          <w:rFonts w:hint="eastAsia" w:ascii="仿宋" w:hAnsi="仿宋" w:eastAsia="仿宋" w:cs="仿宋"/>
                          <w:b/>
                        </w:rPr>
                        <w:t>4.应急体系：</w:t>
                      </w:r>
                      <w:r>
                        <w:rPr>
                          <w:rFonts w:hint="eastAsia" w:ascii="仿宋" w:hAnsi="仿宋" w:eastAsia="仿宋" w:cs="仿宋"/>
                          <w:bCs/>
                        </w:rPr>
                        <w:t>龙胜县应急监测预警智能化指挥中心建设项目、龙胜县乡镇应急救援保障中心、龙胜县应急信息化管理指挥系统平台、龙胜县应急物资装备储备仓库建设项目、人民防空指挥中心建设项目。</w:t>
                      </w:r>
                    </w:p>
                    <w:p>
                      <w:pPr>
                        <w:pStyle w:val="31"/>
                        <w:spacing w:line="360" w:lineRule="auto"/>
                        <w:rPr>
                          <w:rFonts w:ascii="仿宋" w:hAnsi="仿宋" w:eastAsia="仿宋" w:cs="仿宋"/>
                          <w:bCs/>
                        </w:rPr>
                      </w:pPr>
                      <w:r>
                        <w:rPr>
                          <w:rFonts w:hint="eastAsia" w:ascii="仿宋" w:hAnsi="仿宋" w:eastAsia="仿宋" w:cs="仿宋"/>
                          <w:b/>
                        </w:rPr>
                        <w:t>5.民生和其他：</w:t>
                      </w:r>
                      <w:r>
                        <w:rPr>
                          <w:rFonts w:hint="eastAsia" w:ascii="仿宋" w:hAnsi="仿宋" w:eastAsia="仿宋" w:cs="仿宋"/>
                          <w:bCs/>
                        </w:rPr>
                        <w:t>龙胜县养老服务设施园区设施配套项目、龙胜县殡仪服务项目、龙胜县及乡镇居家养老和社区日间照料中心提升改造建设工程项目。</w:t>
                      </w:r>
                    </w:p>
                    <w:p>
                      <w:pPr>
                        <w:pStyle w:val="31"/>
                        <w:spacing w:line="360" w:lineRule="auto"/>
                        <w:rPr>
                          <w:rFonts w:ascii="仿宋" w:hAnsi="仿宋" w:eastAsia="仿宋" w:cs="仿宋"/>
                          <w:bCs/>
                        </w:rPr>
                      </w:pPr>
                    </w:p>
                  </w:txbxContent>
                </v:textbox>
                <w10:wrap type="square"/>
              </v:shape>
            </w:pict>
          </mc:Fallback>
        </mc:AlternateContent>
      </w:r>
      <w:r>
        <w:rPr>
          <w:rFonts w:hint="eastAsia" w:ascii="Times New Roman" w:hAnsi="Times New Roman" w:eastAsia="仿宋"/>
          <w:b/>
          <w:bCs/>
          <w:color w:val="000000" w:themeColor="text1"/>
          <w:sz w:val="28"/>
          <w:szCs w:val="28"/>
          <w14:textFill>
            <w14:solidFill>
              <w14:schemeClr w14:val="tx1"/>
            </w14:solidFill>
          </w14:textFill>
        </w:rPr>
        <w:t>专栏1</w:t>
      </w:r>
      <w:r>
        <w:rPr>
          <w:rFonts w:ascii="Times New Roman" w:hAnsi="Times New Roman" w:eastAsia="仿宋"/>
          <w:b/>
          <w:bCs/>
          <w:color w:val="000000" w:themeColor="text1"/>
          <w:sz w:val="28"/>
          <w:szCs w:val="28"/>
          <w14:textFill>
            <w14:solidFill>
              <w14:schemeClr w14:val="tx1"/>
            </w14:solidFill>
          </w14:textFill>
        </w:rPr>
        <w:t>1</w:t>
      </w:r>
      <w:r>
        <w:rPr>
          <w:rFonts w:hint="eastAsia" w:ascii="Times New Roman" w:hAnsi="Times New Roman" w:eastAsia="仿宋"/>
          <w:b/>
          <w:bCs/>
          <w:color w:val="000000" w:themeColor="text1"/>
          <w:sz w:val="28"/>
          <w:szCs w:val="28"/>
          <w14:textFill>
            <w14:solidFill>
              <w14:schemeClr w14:val="tx1"/>
            </w14:solidFill>
          </w14:textFill>
        </w:rPr>
        <w:t xml:space="preserve">  民生改善重大建设工程</w:t>
      </w:r>
      <w:bookmarkStart w:id="363" w:name="_Toc25790"/>
      <w:bookmarkStart w:id="364" w:name="_Toc28356"/>
      <w:r>
        <w:rPr>
          <w:rFonts w:hint="eastAsia" w:ascii="Times New Roman" w:hAnsi="Times New Roman" w:eastAsia="黑体"/>
          <w:b/>
          <w:color w:val="000000" w:themeColor="text1"/>
          <w:sz w:val="32"/>
          <w:szCs w:val="32"/>
          <w14:textFill>
            <w14:solidFill>
              <w14:schemeClr w14:val="tx1"/>
            </w14:solidFill>
          </w14:textFill>
        </w:rPr>
        <w:br w:type="page"/>
      </w:r>
    </w:p>
    <w:p>
      <w:pPr>
        <w:pStyle w:val="4"/>
        <w:keepNext w:val="0"/>
        <w:keepLines w:val="0"/>
        <w:spacing w:before="0" w:after="0" w:line="560" w:lineRule="exact"/>
        <w:jc w:val="center"/>
        <w:rPr>
          <w:rFonts w:ascii="Times New Roman" w:hAnsi="Times New Roman" w:eastAsia="黑体" w:cs="Times New Roman"/>
          <w:b w:val="0"/>
          <w:color w:val="000000" w:themeColor="text1"/>
          <w14:textFill>
            <w14:solidFill>
              <w14:schemeClr w14:val="tx1"/>
            </w14:solidFill>
          </w14:textFill>
        </w:rPr>
      </w:pPr>
      <w:bookmarkStart w:id="365" w:name="_Toc61110825"/>
      <w:bookmarkStart w:id="366" w:name="_Toc9744"/>
      <w:r>
        <w:rPr>
          <w:rFonts w:hint="eastAsia" w:ascii="Times New Roman" w:hAnsi="Times New Roman" w:eastAsia="黑体" w:cs="Times New Roman"/>
          <w:b w:val="0"/>
          <w:color w:val="000000" w:themeColor="text1"/>
          <w14:textFill>
            <w14:solidFill>
              <w14:schemeClr w14:val="tx1"/>
            </w14:solidFill>
          </w14:textFill>
        </w:rPr>
        <w:t>第十四章  创新社会治理 提高治理效能</w:t>
      </w:r>
      <w:bookmarkEnd w:id="363"/>
      <w:bookmarkEnd w:id="365"/>
      <w:bookmarkEnd w:id="366"/>
    </w:p>
    <w:p>
      <w:pPr>
        <w:spacing w:line="560" w:lineRule="exact"/>
        <w:rPr>
          <w:rFonts w:ascii="Times New Roman" w:hAnsi="Times New Roman" w:eastAsia="楷体_GB2312"/>
          <w:color w:val="000000" w:themeColor="text1"/>
          <w:sz w:val="32"/>
          <w:szCs w:val="32"/>
          <w14:textFill>
            <w14:solidFill>
              <w14:schemeClr w14:val="tx1"/>
            </w14:solidFill>
          </w14:textFill>
        </w:rPr>
      </w:pPr>
    </w:p>
    <w:p>
      <w:pP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color w:val="000000" w:themeColor="text1"/>
          <w:sz w:val="32"/>
          <w:szCs w:val="32"/>
          <w14:textFill>
            <w14:solidFill>
              <w14:schemeClr w14:val="tx1"/>
            </w14:solidFill>
          </w14:textFill>
        </w:rPr>
        <w:t>加强和创新社会治理，通过系统治理、依法治理、综合治理、源头治理，建设社会治理共同体，确保人民安居乐业，社会安定有序，扎实推进县域社会治理，实现社会治理体系和治理能力的现代化，将龙胜县的经济发展和社会稳定构筑一张牢固的“社会安全网”，让人民群众获得感、幸福感、安全感更加充实、更有保障、更可持续。</w:t>
      </w:r>
      <w:bookmarkStart w:id="367" w:name="_Toc29341"/>
    </w:p>
    <w:p>
      <w:pPr>
        <w:spacing w:line="560" w:lineRule="exact"/>
        <w:jc w:val="center"/>
        <w:rPr>
          <w:rFonts w:ascii="Times New Roman" w:hAnsi="Times New Roman" w:eastAsia="楷体_GB2312"/>
          <w:b/>
          <w:bCs/>
          <w:color w:val="000000" w:themeColor="text1"/>
          <w:sz w:val="30"/>
          <w:szCs w:val="30"/>
          <w14:textFill>
            <w14:solidFill>
              <w14:schemeClr w14:val="tx1"/>
            </w14:solidFill>
          </w14:textFill>
        </w:rPr>
      </w:pPr>
    </w:p>
    <w:p>
      <w:pPr>
        <w:pStyle w:val="5"/>
        <w:keepNext w:val="0"/>
        <w:keepLines w:val="0"/>
        <w:spacing w:before="0" w:after="0" w:line="560" w:lineRule="exact"/>
        <w:jc w:val="center"/>
        <w:rPr>
          <w:rFonts w:ascii="Times New Roman" w:hAnsi="Times New Roman" w:eastAsia="黑体"/>
          <w:b w:val="0"/>
          <w:color w:val="000000" w:themeColor="text1"/>
          <w14:textFill>
            <w14:solidFill>
              <w14:schemeClr w14:val="tx1"/>
            </w14:solidFill>
          </w14:textFill>
        </w:rPr>
      </w:pPr>
      <w:bookmarkStart w:id="368" w:name="_Toc14364"/>
      <w:r>
        <w:rPr>
          <w:rFonts w:hint="eastAsia" w:ascii="Times New Roman" w:hAnsi="Times New Roman" w:eastAsia="黑体"/>
          <w:b w:val="0"/>
          <w:color w:val="000000" w:themeColor="text1"/>
          <w14:textFill>
            <w14:solidFill>
              <w14:schemeClr w14:val="tx1"/>
            </w14:solidFill>
          </w14:textFill>
        </w:rPr>
        <w:t>第一节  加强法治建设</w:t>
      </w:r>
      <w:bookmarkEnd w:id="367"/>
      <w:bookmarkEnd w:id="368"/>
      <w:bookmarkStart w:id="369" w:name="_Toc2061"/>
    </w:p>
    <w:p>
      <w:pPr>
        <w:spacing w:line="560" w:lineRule="exact"/>
        <w:rPr>
          <w:rFonts w:ascii="Times New Roman" w:hAnsi="Times New Roman" w:eastAsia="楷体_GB2312"/>
          <w:color w:val="000000" w:themeColor="text1"/>
          <w:sz w:val="32"/>
          <w:szCs w:val="32"/>
          <w:lang w:val="zh-CN"/>
          <w14:textFill>
            <w14:solidFill>
              <w14:schemeClr w14:val="tx1"/>
            </w14:solidFill>
          </w14:textFill>
        </w:rPr>
      </w:pPr>
    </w:p>
    <w:p>
      <w:pPr>
        <w:spacing w:line="560" w:lineRule="exact"/>
        <w:ind w:firstLine="640" w:firstLineChars="200"/>
        <w:rPr>
          <w:rFonts w:ascii="Times New Roman" w:hAnsi="Times New Roman" w:eastAsia="仿宋_GB2312"/>
          <w:color w:val="000000" w:themeColor="text1"/>
          <w:sz w:val="32"/>
          <w:szCs w:val="32"/>
          <w:lang w:val="zh-CN"/>
          <w14:textFill>
            <w14:solidFill>
              <w14:schemeClr w14:val="tx1"/>
            </w14:solidFill>
          </w14:textFill>
        </w:rPr>
      </w:pPr>
      <w:r>
        <w:rPr>
          <w:rFonts w:hint="eastAsia" w:ascii="Times New Roman" w:hAnsi="Times New Roman" w:eastAsia="仿宋_GB2312"/>
          <w:color w:val="000000" w:themeColor="text1"/>
          <w:sz w:val="32"/>
          <w:szCs w:val="32"/>
          <w:lang w:val="zh-CN"/>
          <w14:textFill>
            <w14:solidFill>
              <w14:schemeClr w14:val="tx1"/>
            </w14:solidFill>
          </w14:textFill>
        </w:rPr>
        <w:t>加强法治建设，创新社会治理体制，维护人民根本利益，最大限度增加和谐因素，确保人民安居乐业、社会安定、民族团结。推进全面依法治县，加强党对法治建设的领导，党政主要负责人切实履行法治建设第一责任人职责，健全全面依法治县制度和工作机制，推进行政复议体制改革，依法履行政府职责，提高法治思维，推进科学立法、严格执法、公正司法、全民守法。适应社会加快转型的新形势，提高社会治理能力。加强基层管理和服务机制，发挥群众组织和社会组织作用，着眼于政府、社会、公众三个维度，共同治理，实现政府行政管理与基层群众自治有效衔接、良性互动，调动群众推进社会治理的积极性、主动性、创造性，把人民智慧和力量凝聚到社会治理体制创新上来。创新社会治理的有效路径，依法打击各种犯罪活动，推进龙胜社会治理体系和治理能力现代化建设，提高社会治理效能。</w:t>
      </w:r>
    </w:p>
    <w:p>
      <w:pPr>
        <w:pStyle w:val="5"/>
        <w:keepNext w:val="0"/>
        <w:keepLines w:val="0"/>
        <w:spacing w:before="0" w:after="0" w:line="560" w:lineRule="exact"/>
        <w:jc w:val="center"/>
        <w:rPr>
          <w:rFonts w:ascii="Times New Roman" w:hAnsi="Times New Roman" w:eastAsia="黑体"/>
          <w:b w:val="0"/>
          <w:color w:val="000000" w:themeColor="text1"/>
          <w14:textFill>
            <w14:solidFill>
              <w14:schemeClr w14:val="tx1"/>
            </w14:solidFill>
          </w14:textFill>
        </w:rPr>
      </w:pPr>
      <w:bookmarkStart w:id="370" w:name="_Toc61110826"/>
      <w:bookmarkStart w:id="371" w:name="_Toc16798"/>
      <w:r>
        <w:rPr>
          <w:rFonts w:hint="eastAsia" w:ascii="Times New Roman" w:hAnsi="Times New Roman" w:eastAsia="黑体"/>
          <w:b w:val="0"/>
          <w:color w:val="000000" w:themeColor="text1"/>
          <w14:textFill>
            <w14:solidFill>
              <w14:schemeClr w14:val="tx1"/>
            </w14:solidFill>
          </w14:textFill>
        </w:rPr>
        <w:t>第二节  加强公共安全</w:t>
      </w:r>
      <w:bookmarkEnd w:id="369"/>
      <w:bookmarkEnd w:id="370"/>
      <w:bookmarkEnd w:id="371"/>
    </w:p>
    <w:p>
      <w:pPr>
        <w:spacing w:line="560" w:lineRule="exact"/>
        <w:rPr>
          <w:rFonts w:ascii="Times New Roman" w:hAnsi="Times New Roman" w:eastAsia="楷体_GB2312"/>
          <w:color w:val="000000" w:themeColor="text1"/>
          <w:sz w:val="32"/>
          <w:szCs w:val="32"/>
          <w14:textFill>
            <w14:solidFill>
              <w14:schemeClr w14:val="tx1"/>
            </w14:solidFill>
          </w14:textFill>
        </w:rPr>
      </w:pPr>
    </w:p>
    <w:p>
      <w:pPr>
        <w:spacing w:line="560" w:lineRule="exact"/>
        <w:ind w:firstLine="643"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b/>
          <w:bCs/>
          <w:color w:val="000000" w:themeColor="text1"/>
          <w:sz w:val="32"/>
          <w:szCs w:val="32"/>
          <w14:textFill>
            <w14:solidFill>
              <w14:schemeClr w14:val="tx1"/>
            </w14:solidFill>
          </w14:textFill>
        </w:rPr>
        <w:t>（一）完善雪亮工程建设。</w:t>
      </w:r>
      <w:r>
        <w:rPr>
          <w:rFonts w:hint="eastAsia" w:ascii="Times New Roman" w:hAnsi="Times New Roman" w:eastAsia="仿宋_GB2312"/>
          <w:color w:val="000000" w:themeColor="text1"/>
          <w:sz w:val="32"/>
          <w:szCs w:val="32"/>
          <w14:textFill>
            <w14:solidFill>
              <w14:schemeClr w14:val="tx1"/>
            </w14:solidFill>
          </w14:textFill>
        </w:rPr>
        <w:t>提升城乡管理水平、创新社会治理体制，</w:t>
      </w:r>
      <w:r>
        <w:rPr>
          <w:rFonts w:hint="eastAsia" w:ascii="Times New Roman" w:hAnsi="Times New Roman" w:eastAsia="仿宋_GB2312"/>
          <w:color w:val="000000" w:themeColor="text1"/>
          <w:sz w:val="32"/>
          <w:szCs w:val="32"/>
          <w:lang w:val="zh-CN"/>
          <w14:textFill>
            <w14:solidFill>
              <w14:schemeClr w14:val="tx1"/>
            </w14:solidFill>
          </w14:textFill>
        </w:rPr>
        <w:t>实现全县主干道路、</w:t>
      </w:r>
      <w:r>
        <w:rPr>
          <w:rFonts w:hint="eastAsia" w:ascii="Times New Roman" w:hAnsi="Times New Roman" w:eastAsia="仿宋_GB2312"/>
          <w:color w:val="000000" w:themeColor="text1"/>
          <w:sz w:val="32"/>
          <w:szCs w:val="32"/>
          <w14:textFill>
            <w14:solidFill>
              <w14:schemeClr w14:val="tx1"/>
            </w14:solidFill>
          </w14:textFill>
        </w:rPr>
        <w:t>所有行政村（社区）的</w:t>
      </w:r>
      <w:r>
        <w:rPr>
          <w:rFonts w:hint="eastAsia" w:ascii="Times New Roman" w:hAnsi="Times New Roman" w:eastAsia="仿宋_GB2312"/>
          <w:color w:val="000000" w:themeColor="text1"/>
          <w:sz w:val="32"/>
          <w:szCs w:val="32"/>
          <w:lang w:val="zh-CN"/>
          <w14:textFill>
            <w14:solidFill>
              <w14:schemeClr w14:val="tx1"/>
            </w14:solidFill>
          </w14:textFill>
        </w:rPr>
        <w:t>监控全覆盖，完成社会面监控探头的建设。整合资源，完成“雪亮工程”视频监控、综治视联网、综治信息系统“三网合一”建设，加强立体防控体系建设</w:t>
      </w:r>
      <w:r>
        <w:rPr>
          <w:rFonts w:hint="eastAsia" w:ascii="Times New Roman" w:hAnsi="Times New Roman" w:eastAsia="仿宋_GB2312"/>
          <w:color w:val="000000" w:themeColor="text1"/>
          <w:sz w:val="32"/>
          <w:szCs w:val="32"/>
          <w14:textFill>
            <w14:solidFill>
              <w14:schemeClr w14:val="tx1"/>
            </w14:solidFill>
          </w14:textFill>
        </w:rPr>
        <w:t>，提升社会稳定风险防范化解水平，</w:t>
      </w:r>
      <w:r>
        <w:rPr>
          <w:rFonts w:hint="eastAsia" w:ascii="Times New Roman" w:hAnsi="Times New Roman" w:eastAsia="仿宋_GB2312"/>
          <w:color w:val="000000" w:themeColor="text1"/>
          <w:sz w:val="32"/>
          <w:szCs w:val="32"/>
          <w:lang w:val="zh-CN"/>
          <w14:textFill>
            <w14:solidFill>
              <w14:schemeClr w14:val="tx1"/>
            </w14:solidFill>
          </w14:textFill>
        </w:rPr>
        <w:t>维护社会稳定。推进综治中心建设，</w:t>
      </w:r>
      <w:r>
        <w:rPr>
          <w:rFonts w:hint="eastAsia" w:ascii="Times New Roman" w:hAnsi="Times New Roman" w:eastAsia="仿宋_GB2312"/>
          <w:color w:val="000000" w:themeColor="text1"/>
          <w:sz w:val="32"/>
          <w:szCs w:val="32"/>
          <w14:textFill>
            <w14:solidFill>
              <w14:schemeClr w14:val="tx1"/>
            </w14:solidFill>
          </w14:textFill>
        </w:rPr>
        <w:t>加快网格员专职化进程。</w:t>
      </w:r>
      <w:r>
        <w:rPr>
          <w:rFonts w:hint="eastAsia" w:ascii="Times New Roman" w:hAnsi="Times New Roman" w:eastAsia="仿宋_GB2312"/>
          <w:color w:val="000000" w:themeColor="text1"/>
          <w:sz w:val="32"/>
          <w:szCs w:val="32"/>
          <w:lang w:val="zh-CN"/>
          <w14:textFill>
            <w14:solidFill>
              <w14:schemeClr w14:val="tx1"/>
            </w14:solidFill>
          </w14:textFill>
        </w:rPr>
        <w:t>到2025年底，完成“雪亮工程”、“天网工程”建设视频监控安装任务。</w:t>
      </w:r>
    </w:p>
    <w:p>
      <w:pPr>
        <w:spacing w:line="560" w:lineRule="exact"/>
        <w:ind w:firstLine="643"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b/>
          <w:bCs/>
          <w:color w:val="000000" w:themeColor="text1"/>
          <w:sz w:val="32"/>
          <w:szCs w:val="32"/>
          <w14:textFill>
            <w14:solidFill>
              <w14:schemeClr w14:val="tx1"/>
            </w14:solidFill>
          </w14:textFill>
        </w:rPr>
        <w:t>（二）推进综治中心建设。</w:t>
      </w:r>
      <w:r>
        <w:rPr>
          <w:rFonts w:hint="eastAsia" w:ascii="Times New Roman" w:hAnsi="Times New Roman" w:eastAsia="仿宋_GB2312"/>
          <w:color w:val="000000" w:themeColor="text1"/>
          <w:sz w:val="32"/>
          <w:szCs w:val="32"/>
          <w14:textFill>
            <w14:solidFill>
              <w14:schemeClr w14:val="tx1"/>
            </w14:solidFill>
          </w14:textFill>
        </w:rPr>
        <w:t>推进县、乡（镇）、村（社区）三级综治中心实体化运行，建立综合协调、治安防控、矛盾调解、指挥调度和群众诉求服务、综治信息“四室一厅一平台”；建立科学有效的矛盾调处机制，强化矛盾纠纷化解，引入相关部门及各类行业性、专业性调解组织进驻，整合律师等第三方调解资源，因地制宜创新调解方式方法，实现综治、信访、司法、检察、公安、法院等部门联合办公，提高效率和服务能力。</w:t>
      </w:r>
    </w:p>
    <w:p>
      <w:pPr>
        <w:spacing w:line="560" w:lineRule="exact"/>
        <w:ind w:firstLine="643"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b/>
          <w:bCs/>
          <w:color w:val="000000" w:themeColor="text1"/>
          <w:sz w:val="32"/>
          <w:szCs w:val="32"/>
          <w14:textFill>
            <w14:solidFill>
              <w14:schemeClr w14:val="tx1"/>
            </w14:solidFill>
          </w14:textFill>
        </w:rPr>
        <w:t>（三）建立社区戒毒中心。</w:t>
      </w:r>
      <w:r>
        <w:rPr>
          <w:rFonts w:hint="eastAsia" w:ascii="Times New Roman" w:hAnsi="Times New Roman" w:eastAsia="仿宋_GB2312"/>
          <w:color w:val="000000" w:themeColor="text1"/>
          <w:sz w:val="32"/>
          <w:szCs w:val="32"/>
          <w14:textFill>
            <w14:solidFill>
              <w14:schemeClr w14:val="tx1"/>
            </w14:solidFill>
          </w14:textFill>
        </w:rPr>
        <w:t>建立社区戒毒（康复）中心，挽救吸毒人员、减少违法犯罪，促进社会和谐稳定。加强全县吸毒人员基础信息调查和吸毒人员毛发筛查，将吸毒人员情况摸好底，做好各乡（镇）吸毒人员毛发仪器检测，加强社区戒毒（康复）中心与各相关部门的协作，深入推进戒毒康复。</w:t>
      </w:r>
    </w:p>
    <w:p>
      <w:pP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bookmarkStart w:id="372" w:name="_Toc26431"/>
      <w:bookmarkStart w:id="373" w:name="_Toc61110827"/>
    </w:p>
    <w:p>
      <w:pPr>
        <w:pStyle w:val="2"/>
        <w:rPr>
          <w:rFonts w:ascii="Times New Roman" w:hAnsi="Times New Roman" w:eastAsia="仿宋_GB2312"/>
          <w:color w:val="000000" w:themeColor="text1"/>
          <w:sz w:val="32"/>
          <w:szCs w:val="32"/>
          <w14:textFill>
            <w14:solidFill>
              <w14:schemeClr w14:val="tx1"/>
            </w14:solidFill>
          </w14:textFill>
        </w:rPr>
      </w:pPr>
    </w:p>
    <w:p>
      <w:pPr>
        <w:rPr>
          <w:rFonts w:ascii="Times New Roman" w:hAnsi="Times New Roman" w:eastAsia="仿宋_GB2312"/>
          <w:color w:val="000000" w:themeColor="text1"/>
          <w:sz w:val="32"/>
          <w:szCs w:val="32"/>
          <w14:textFill>
            <w14:solidFill>
              <w14:schemeClr w14:val="tx1"/>
            </w14:solidFill>
          </w14:textFill>
        </w:rPr>
      </w:pPr>
    </w:p>
    <w:p>
      <w:pPr>
        <w:pStyle w:val="2"/>
        <w:rPr>
          <w:rFonts w:ascii="Times New Roman" w:hAnsi="Times New Roman"/>
        </w:rPr>
      </w:pPr>
    </w:p>
    <w:p>
      <w:pPr>
        <w:pStyle w:val="5"/>
        <w:keepNext w:val="0"/>
        <w:keepLines w:val="0"/>
        <w:spacing w:before="0" w:after="0" w:line="560" w:lineRule="exact"/>
        <w:jc w:val="center"/>
        <w:rPr>
          <w:rFonts w:ascii="Times New Roman" w:hAnsi="Times New Roman" w:eastAsia="黑体"/>
          <w:b w:val="0"/>
          <w:color w:val="000000" w:themeColor="text1"/>
          <w14:textFill>
            <w14:solidFill>
              <w14:schemeClr w14:val="tx1"/>
            </w14:solidFill>
          </w14:textFill>
        </w:rPr>
      </w:pPr>
      <w:bookmarkStart w:id="374" w:name="_Toc26907"/>
      <w:r>
        <w:rPr>
          <w:rFonts w:hint="eastAsia" w:ascii="Times New Roman" w:hAnsi="Times New Roman" w:eastAsia="黑体"/>
          <w:b w:val="0"/>
          <w:color w:val="000000" w:themeColor="text1"/>
          <w14:textFill>
            <w14:solidFill>
              <w14:schemeClr w14:val="tx1"/>
            </w14:solidFill>
          </w14:textFill>
        </w:rPr>
        <w:t>第三节  加强社会民主</w:t>
      </w:r>
      <w:bookmarkEnd w:id="372"/>
      <w:bookmarkEnd w:id="373"/>
      <w:bookmarkEnd w:id="374"/>
    </w:p>
    <w:p>
      <w:pPr>
        <w:spacing w:line="560" w:lineRule="exact"/>
        <w:rPr>
          <w:rFonts w:ascii="Times New Roman" w:hAnsi="Times New Roman" w:eastAsia="楷体_GB2312"/>
          <w:color w:val="000000" w:themeColor="text1"/>
          <w:sz w:val="32"/>
          <w:szCs w:val="32"/>
          <w14:textFill>
            <w14:solidFill>
              <w14:schemeClr w14:val="tx1"/>
            </w14:solidFill>
          </w14:textFill>
        </w:rPr>
      </w:pPr>
    </w:p>
    <w:p>
      <w:pP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color w:val="000000" w:themeColor="text1"/>
          <w:sz w:val="32"/>
          <w:szCs w:val="32"/>
          <w14:textFill>
            <w14:solidFill>
              <w14:schemeClr w14:val="tx1"/>
            </w14:solidFill>
          </w14:textFill>
        </w:rPr>
        <w:t>加强基层民主建设，通过民主选举选出合格的代表，积极参与国家事务的管理，行使知情权、参与权、表达权、监督权；对经济政治文化社会各项活动进行民主决策、民主管理、民主监督；集中人民群众的智慧，问政于民、问需于民、问计于民，听取群众意见呼声；加强协商民主制度建设，建立畅通有序的诉求表达机制，拓宽社情民意表达渠道，形成有效的对话和协商制度，推动协商民主广泛、多层、制度化发展，统筹推进政党协商、人大协商、政府协商、政协协商、人民团体协商、基层协商以及社会组织协商。</w:t>
      </w:r>
    </w:p>
    <w:p>
      <w:pPr>
        <w:pStyle w:val="19"/>
        <w:widowControl w:val="0"/>
        <w:spacing w:before="0" w:beforeAutospacing="0" w:after="0" w:afterAutospacing="0" w:line="560" w:lineRule="exact"/>
        <w:jc w:val="center"/>
        <w:rPr>
          <w:rFonts w:ascii="Times New Roman" w:hAnsi="Times New Roman" w:eastAsia="楷体_GB2312" w:cs="Times New Roman"/>
          <w:b/>
          <w:bCs/>
          <w:color w:val="000000" w:themeColor="text1"/>
          <w:sz w:val="28"/>
          <w:szCs w:val="28"/>
          <w14:textFill>
            <w14:solidFill>
              <w14:schemeClr w14:val="tx1"/>
            </w14:solidFill>
          </w14:textFill>
        </w:rPr>
      </w:pPr>
    </w:p>
    <w:p>
      <w:pPr>
        <w:pStyle w:val="19"/>
        <w:widowControl w:val="0"/>
        <w:spacing w:before="0" w:beforeAutospacing="0" w:after="0" w:afterAutospacing="0" w:line="560" w:lineRule="exact"/>
        <w:jc w:val="center"/>
        <w:rPr>
          <w:rFonts w:ascii="Times New Roman" w:hAnsi="Times New Roman" w:eastAsia="楷体_GB2312" w:cs="Times New Roman"/>
          <w:b/>
          <w:bCs/>
          <w:color w:val="000000" w:themeColor="text1"/>
          <w:sz w:val="28"/>
          <w:szCs w:val="28"/>
          <w14:textFill>
            <w14:solidFill>
              <w14:schemeClr w14:val="tx1"/>
            </w14:solidFill>
          </w14:textFill>
        </w:rPr>
      </w:pPr>
      <w:r>
        <w:rPr>
          <w:rFonts w:hint="eastAsia" w:ascii="Times New Roman" w:hAnsi="Times New Roman" w:eastAsia="楷体_GB2312" w:cs="Times New Roman"/>
          <w:color w:val="000000" w:themeColor="text1"/>
          <w:sz w:val="28"/>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-24765</wp:posOffset>
                </wp:positionH>
                <wp:positionV relativeFrom="paragraph">
                  <wp:posOffset>431800</wp:posOffset>
                </wp:positionV>
                <wp:extent cx="5683885" cy="1670685"/>
                <wp:effectExtent l="4445" t="5080" r="7620" b="19685"/>
                <wp:wrapSquare wrapText="bothSides"/>
                <wp:docPr id="12" name="文本框 12"/>
                <wp:cNvGraphicFramePr/>
                <a:graphic xmlns:a="http://schemas.openxmlformats.org/drawingml/2006/main">
                  <a:graphicData uri="http://schemas.microsoft.com/office/word/2010/wordprocessingShape">
                    <wps:wsp>
                      <wps:cNvSpPr txBox="1"/>
                      <wps:spPr>
                        <a:xfrm>
                          <a:off x="0" y="0"/>
                          <a:ext cx="5683885" cy="1670685"/>
                        </a:xfrm>
                        <a:prstGeom prst="rect">
                          <a:avLst/>
                        </a:prstGeom>
                        <a:noFill/>
                        <a:ln w="9525" cap="flat" cmpd="sng">
                          <a:solidFill>
                            <a:srgbClr val="000000"/>
                          </a:solidFill>
                          <a:prstDash val="solid"/>
                          <a:miter/>
                          <a:headEnd type="none" w="med" len="med"/>
                          <a:tailEnd type="none" w="med" len="med"/>
                        </a:ln>
                      </wps:spPr>
                      <wps:txbx>
                        <w:txbxContent>
                          <w:p>
                            <w:pPr>
                              <w:spacing w:line="360" w:lineRule="auto"/>
                              <w:jc w:val="left"/>
                              <w:rPr>
                                <w:rFonts w:ascii="仿宋" w:hAnsi="仿宋" w:eastAsia="仿宋" w:cs="仿宋"/>
                                <w:sz w:val="24"/>
                              </w:rPr>
                            </w:pPr>
                            <w:r>
                              <w:rPr>
                                <w:rFonts w:hint="eastAsia" w:ascii="仿宋" w:hAnsi="仿宋" w:eastAsia="仿宋" w:cs="仿宋"/>
                                <w:sz w:val="24"/>
                              </w:rPr>
                              <w:t>1.龙胜县警务技能培训基地建设项目（反恐训练基地）。</w:t>
                            </w:r>
                          </w:p>
                          <w:p>
                            <w:pPr>
                              <w:spacing w:line="360" w:lineRule="auto"/>
                              <w:jc w:val="left"/>
                              <w:rPr>
                                <w:rFonts w:ascii="仿宋" w:hAnsi="仿宋" w:eastAsia="仿宋" w:cs="仿宋"/>
                                <w:sz w:val="24"/>
                              </w:rPr>
                            </w:pPr>
                            <w:r>
                              <w:rPr>
                                <w:rFonts w:hint="eastAsia" w:ascii="仿宋" w:hAnsi="仿宋" w:eastAsia="仿宋" w:cs="仿宋"/>
                                <w:sz w:val="24"/>
                              </w:rPr>
                              <w:t>2.龙胜县公安局监管中心建设项目。</w:t>
                            </w:r>
                          </w:p>
                          <w:p>
                            <w:pPr>
                              <w:spacing w:line="360" w:lineRule="auto"/>
                              <w:jc w:val="left"/>
                              <w:rPr>
                                <w:rFonts w:ascii="仿宋" w:hAnsi="仿宋" w:eastAsia="仿宋" w:cs="仿宋"/>
                                <w:sz w:val="24"/>
                              </w:rPr>
                            </w:pPr>
                            <w:r>
                              <w:rPr>
                                <w:rFonts w:hint="eastAsia" w:ascii="仿宋" w:hAnsi="仿宋" w:eastAsia="仿宋" w:cs="仿宋"/>
                                <w:sz w:val="24"/>
                              </w:rPr>
                              <w:t>3.龙胜县公安局龙胜镇派出所建设项目。</w:t>
                            </w:r>
                          </w:p>
                          <w:p>
                            <w:pPr>
                              <w:pStyle w:val="31"/>
                              <w:spacing w:line="360" w:lineRule="auto"/>
                              <w:rPr>
                                <w:rFonts w:ascii="仿宋" w:hAnsi="仿宋" w:eastAsia="仿宋" w:cs="仿宋"/>
                                <w:color w:val="auto"/>
                                <w:kern w:val="2"/>
                              </w:rPr>
                            </w:pPr>
                            <w:r>
                              <w:rPr>
                                <w:rFonts w:hint="eastAsia" w:ascii="仿宋" w:hAnsi="仿宋" w:eastAsia="仿宋" w:cs="仿宋"/>
                                <w:color w:val="auto"/>
                                <w:kern w:val="2"/>
                              </w:rPr>
                              <w:t>4.龙胜县“雪亮工程”项目。</w:t>
                            </w:r>
                          </w:p>
                          <w:p>
                            <w:pPr>
                              <w:pStyle w:val="31"/>
                              <w:spacing w:line="360" w:lineRule="auto"/>
                              <w:rPr>
                                <w:rFonts w:ascii="仿宋" w:hAnsi="仿宋" w:eastAsia="仿宋" w:cs="仿宋"/>
                                <w:color w:val="auto"/>
                                <w:kern w:val="2"/>
                              </w:rPr>
                            </w:pPr>
                            <w:r>
                              <w:rPr>
                                <w:rFonts w:hint="eastAsia" w:ascii="仿宋" w:hAnsi="仿宋" w:eastAsia="仿宋" w:cs="仿宋"/>
                                <w:color w:val="auto"/>
                                <w:kern w:val="2"/>
                              </w:rPr>
                              <w:t>5.龙胜县综治中心和社区戒毒（康复）中心（各乡镇）项目。</w:t>
                            </w:r>
                          </w:p>
                          <w:p>
                            <w:pPr>
                              <w:pStyle w:val="31"/>
                              <w:spacing w:line="360" w:lineRule="auto"/>
                              <w:rPr>
                                <w:rFonts w:ascii="仿宋" w:hAnsi="仿宋" w:eastAsia="仿宋" w:cs="仿宋"/>
                                <w:b/>
                                <w:bCs/>
                                <w:color w:val="auto"/>
                                <w:kern w:val="2"/>
                              </w:rPr>
                            </w:pPr>
                          </w:p>
                        </w:txbxContent>
                      </wps:txbx>
                      <wps:bodyPr upright="1">
                        <a:noAutofit/>
                      </wps:bodyPr>
                    </wps:wsp>
                  </a:graphicData>
                </a:graphic>
              </wp:anchor>
            </w:drawing>
          </mc:Choice>
          <mc:Fallback>
            <w:pict>
              <v:shape id="_x0000_s1026" o:spid="_x0000_s1026" o:spt="202" type="#_x0000_t202" style="position:absolute;left:0pt;margin-left:-1.95pt;margin-top:34pt;height:131.55pt;width:447.55pt;mso-wrap-distance-bottom:0pt;mso-wrap-distance-left:9pt;mso-wrap-distance-right:9pt;mso-wrap-distance-top:0pt;z-index:251665408;mso-width-relative:page;mso-height-relative:page;" filled="f" stroked="t" coordsize="21600,21600" o:gfxdata="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B7Hud9YAAAAJAQAADwAAAAAAAAABACAA&#10;AAAiAAAAZHJzL2Rvd25yZXYueG1sUEsBAhQAFAAAAAgAh07iQNNLxfYPAgAAKgQAAA4AAAAAAAAA&#10;AQAgAAAAJQEAAGRycy9lMm9Eb2MueG1sUEsFBgAAAAAGAAYAWQEAAKYFAAAAAA==&#10;">
                <v:fill on="f" focussize="0,0"/>
                <v:stroke color="#000000" joinstyle="miter"/>
                <v:imagedata o:title=""/>
                <o:lock v:ext="edit" aspectratio="f"/>
                <v:textbox>
                  <w:txbxContent>
                    <w:p>
                      <w:pPr>
                        <w:spacing w:line="360" w:lineRule="auto"/>
                        <w:jc w:val="left"/>
                        <w:rPr>
                          <w:rFonts w:ascii="仿宋" w:hAnsi="仿宋" w:eastAsia="仿宋" w:cs="仿宋"/>
                          <w:sz w:val="24"/>
                        </w:rPr>
                      </w:pPr>
                      <w:r>
                        <w:rPr>
                          <w:rFonts w:hint="eastAsia" w:ascii="仿宋" w:hAnsi="仿宋" w:eastAsia="仿宋" w:cs="仿宋"/>
                          <w:sz w:val="24"/>
                        </w:rPr>
                        <w:t>1.龙胜县警务技能培训基地建设项目（反恐训练基地）。</w:t>
                      </w:r>
                    </w:p>
                    <w:p>
                      <w:pPr>
                        <w:spacing w:line="360" w:lineRule="auto"/>
                        <w:jc w:val="left"/>
                        <w:rPr>
                          <w:rFonts w:ascii="仿宋" w:hAnsi="仿宋" w:eastAsia="仿宋" w:cs="仿宋"/>
                          <w:sz w:val="24"/>
                        </w:rPr>
                      </w:pPr>
                      <w:r>
                        <w:rPr>
                          <w:rFonts w:hint="eastAsia" w:ascii="仿宋" w:hAnsi="仿宋" w:eastAsia="仿宋" w:cs="仿宋"/>
                          <w:sz w:val="24"/>
                        </w:rPr>
                        <w:t>2.龙胜县公安局监管中心建设项目。</w:t>
                      </w:r>
                    </w:p>
                    <w:p>
                      <w:pPr>
                        <w:spacing w:line="360" w:lineRule="auto"/>
                        <w:jc w:val="left"/>
                        <w:rPr>
                          <w:rFonts w:ascii="仿宋" w:hAnsi="仿宋" w:eastAsia="仿宋" w:cs="仿宋"/>
                          <w:sz w:val="24"/>
                        </w:rPr>
                      </w:pPr>
                      <w:r>
                        <w:rPr>
                          <w:rFonts w:hint="eastAsia" w:ascii="仿宋" w:hAnsi="仿宋" w:eastAsia="仿宋" w:cs="仿宋"/>
                          <w:sz w:val="24"/>
                        </w:rPr>
                        <w:t>3.龙胜县公安局龙胜镇派出所建设项目。</w:t>
                      </w:r>
                    </w:p>
                    <w:p>
                      <w:pPr>
                        <w:pStyle w:val="31"/>
                        <w:spacing w:line="360" w:lineRule="auto"/>
                        <w:rPr>
                          <w:rFonts w:ascii="仿宋" w:hAnsi="仿宋" w:eastAsia="仿宋" w:cs="仿宋"/>
                          <w:color w:val="auto"/>
                          <w:kern w:val="2"/>
                        </w:rPr>
                      </w:pPr>
                      <w:r>
                        <w:rPr>
                          <w:rFonts w:hint="eastAsia" w:ascii="仿宋" w:hAnsi="仿宋" w:eastAsia="仿宋" w:cs="仿宋"/>
                          <w:color w:val="auto"/>
                          <w:kern w:val="2"/>
                        </w:rPr>
                        <w:t>4.龙胜县“雪亮工程”项目。</w:t>
                      </w:r>
                    </w:p>
                    <w:p>
                      <w:pPr>
                        <w:pStyle w:val="31"/>
                        <w:spacing w:line="360" w:lineRule="auto"/>
                        <w:rPr>
                          <w:rFonts w:ascii="仿宋" w:hAnsi="仿宋" w:eastAsia="仿宋" w:cs="仿宋"/>
                          <w:color w:val="auto"/>
                          <w:kern w:val="2"/>
                        </w:rPr>
                      </w:pPr>
                      <w:r>
                        <w:rPr>
                          <w:rFonts w:hint="eastAsia" w:ascii="仿宋" w:hAnsi="仿宋" w:eastAsia="仿宋" w:cs="仿宋"/>
                          <w:color w:val="auto"/>
                          <w:kern w:val="2"/>
                        </w:rPr>
                        <w:t>5.龙胜县综治中心和社区戒毒（康复）中心（各乡镇）项目。</w:t>
                      </w:r>
                    </w:p>
                    <w:p>
                      <w:pPr>
                        <w:pStyle w:val="31"/>
                        <w:spacing w:line="360" w:lineRule="auto"/>
                        <w:rPr>
                          <w:rFonts w:ascii="仿宋" w:hAnsi="仿宋" w:eastAsia="仿宋" w:cs="仿宋"/>
                          <w:b/>
                          <w:bCs/>
                          <w:color w:val="auto"/>
                          <w:kern w:val="2"/>
                        </w:rPr>
                      </w:pPr>
                    </w:p>
                  </w:txbxContent>
                </v:textbox>
                <w10:wrap type="square"/>
              </v:shape>
            </w:pict>
          </mc:Fallback>
        </mc:AlternateContent>
      </w:r>
      <w:r>
        <w:rPr>
          <w:rFonts w:hint="eastAsia" w:ascii="Times New Roman" w:hAnsi="Times New Roman" w:eastAsia="楷体_GB2312" w:cs="Times New Roman"/>
          <w:b/>
          <w:bCs/>
          <w:color w:val="000000" w:themeColor="text1"/>
          <w:sz w:val="28"/>
          <w:szCs w:val="28"/>
          <w14:textFill>
            <w14:solidFill>
              <w14:schemeClr w14:val="tx1"/>
            </w14:solidFill>
          </w14:textFill>
        </w:rPr>
        <w:t>专栏12  社会管理重大建设工程</w:t>
      </w:r>
    </w:p>
    <w:bookmarkEnd w:id="364"/>
    <w:p>
      <w:pPr>
        <w:pStyle w:val="9"/>
        <w:widowControl w:val="0"/>
        <w:adjustRightInd/>
        <w:snapToGrid/>
        <w:spacing w:line="560" w:lineRule="exact"/>
        <w:ind w:firstLine="0" w:firstLineChars="0"/>
        <w:rPr>
          <w:rFonts w:ascii="Times New Roman" w:hAnsi="Times New Roman" w:eastAsia="楷体_GB2312" w:cs="Times New Roman"/>
          <w:color w:val="000000" w:themeColor="text1"/>
          <w14:textFill>
            <w14:solidFill>
              <w14:schemeClr w14:val="tx1"/>
            </w14:solidFill>
          </w14:textFill>
        </w:rPr>
        <w:sectPr>
          <w:footnotePr>
            <w:numFmt w:val="decimalEnclosedCircleChinese"/>
          </w:footnotePr>
          <w:pgSz w:w="11906" w:h="16838"/>
          <w:pgMar w:top="1587" w:right="1417" w:bottom="1304" w:left="1417" w:header="851" w:footer="850" w:gutter="0"/>
          <w:cols w:space="0" w:num="1"/>
          <w:docGrid w:type="lines" w:linePitch="312" w:charSpace="0"/>
        </w:sectPr>
      </w:pPr>
    </w:p>
    <w:p>
      <w:pPr>
        <w:pStyle w:val="41"/>
        <w:keepLines w:val="0"/>
        <w:adjustRightInd/>
        <w:snapToGrid/>
        <w:spacing w:before="0" w:beforeLines="0" w:line="640" w:lineRule="exact"/>
        <w:ind w:left="0" w:leftChars="0"/>
        <w:jc w:val="center"/>
        <w:outlineLvl w:val="0"/>
        <w:rPr>
          <w:rFonts w:ascii="Times New Roman" w:hAnsi="Times New Roman" w:eastAsia="方正小标宋_GBK" w:cs="Times New Roman"/>
          <w:color w:val="000000" w:themeColor="text1"/>
          <w:sz w:val="44"/>
          <w:szCs w:val="44"/>
          <w14:textFill>
            <w14:solidFill>
              <w14:schemeClr w14:val="tx1"/>
            </w14:solidFill>
          </w14:textFill>
        </w:rPr>
      </w:pPr>
      <w:bookmarkStart w:id="375" w:name="_Toc24007"/>
      <w:bookmarkStart w:id="376" w:name="_Toc5397"/>
      <w:bookmarkStart w:id="377" w:name="_Toc61110828"/>
      <w:r>
        <w:rPr>
          <w:rFonts w:hint="eastAsia" w:ascii="Times New Roman" w:hAnsi="Times New Roman" w:eastAsia="方正小标宋_GBK" w:cs="Times New Roman"/>
          <w:color w:val="000000" w:themeColor="text1"/>
          <w:sz w:val="44"/>
          <w:szCs w:val="44"/>
          <w14:textFill>
            <w14:solidFill>
              <w14:schemeClr w14:val="tx1"/>
            </w14:solidFill>
          </w14:textFill>
        </w:rPr>
        <w:t>第四篇  强化规划实施保障，推进规划全面落实</w:t>
      </w:r>
      <w:bookmarkEnd w:id="375"/>
    </w:p>
    <w:p>
      <w:pPr>
        <w:spacing w:line="560" w:lineRule="exact"/>
        <w:ind w:firstLine="422" w:firstLineChars="200"/>
        <w:rPr>
          <w:rFonts w:ascii="Times New Roman" w:hAnsi="Times New Roman" w:eastAsia="仿宋_GB2312"/>
          <w:b/>
          <w:color w:val="000000" w:themeColor="text1"/>
          <w14:textFill>
            <w14:solidFill>
              <w14:schemeClr w14:val="tx1"/>
            </w14:solidFill>
          </w14:textFill>
        </w:rPr>
      </w:pPr>
    </w:p>
    <w:p>
      <w:pPr>
        <w:pStyle w:val="4"/>
        <w:keepNext w:val="0"/>
        <w:keepLines w:val="0"/>
        <w:spacing w:before="0" w:after="0" w:line="560" w:lineRule="exact"/>
        <w:jc w:val="center"/>
        <w:rPr>
          <w:rFonts w:ascii="Times New Roman" w:hAnsi="Times New Roman" w:eastAsia="黑体" w:cs="Times New Roman"/>
          <w:b w:val="0"/>
          <w:color w:val="000000" w:themeColor="text1"/>
          <w14:textFill>
            <w14:solidFill>
              <w14:schemeClr w14:val="tx1"/>
            </w14:solidFill>
          </w14:textFill>
        </w:rPr>
      </w:pPr>
      <w:bookmarkStart w:id="378" w:name="_Toc22728"/>
      <w:r>
        <w:rPr>
          <w:rFonts w:hint="eastAsia" w:ascii="Times New Roman" w:hAnsi="Times New Roman" w:eastAsia="黑体" w:cs="Times New Roman"/>
          <w:b w:val="0"/>
          <w:color w:val="000000" w:themeColor="text1"/>
          <w14:textFill>
            <w14:solidFill>
              <w14:schemeClr w14:val="tx1"/>
            </w14:solidFill>
          </w14:textFill>
        </w:rPr>
        <w:t>第十五章  健全有效机制 确保规划实施</w:t>
      </w:r>
      <w:bookmarkEnd w:id="376"/>
      <w:bookmarkEnd w:id="377"/>
      <w:bookmarkEnd w:id="378"/>
    </w:p>
    <w:p>
      <w:pPr>
        <w:spacing w:line="560" w:lineRule="exact"/>
        <w:ind w:firstLine="422" w:firstLineChars="200"/>
        <w:rPr>
          <w:rFonts w:ascii="Times New Roman" w:hAnsi="Times New Roman" w:eastAsia="仿宋_GB2312"/>
          <w:b/>
          <w:color w:val="000000" w:themeColor="text1"/>
          <w14:textFill>
            <w14:solidFill>
              <w14:schemeClr w14:val="tx1"/>
            </w14:solidFill>
          </w14:textFill>
        </w:rPr>
      </w:pPr>
    </w:p>
    <w:p>
      <w:pP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color w:val="000000" w:themeColor="text1"/>
          <w:sz w:val="32"/>
          <w:szCs w:val="32"/>
          <w14:textFill>
            <w14:solidFill>
              <w14:schemeClr w14:val="tx1"/>
            </w14:solidFill>
          </w14:textFill>
        </w:rPr>
        <w:t>本纲要是龙胜国民经济和社会发展的总纲领，是编制其他各类专项规划的依据。经县人民代表大会讨论通过后，将具有等同于地方性法规的法律地位。</w:t>
      </w:r>
    </w:p>
    <w:p>
      <w:pPr>
        <w:spacing w:line="560" w:lineRule="exact"/>
        <w:ind w:firstLine="420" w:firstLineChars="200"/>
        <w:rPr>
          <w:rFonts w:ascii="Times New Roman" w:hAnsi="Times New Roman" w:eastAsia="仿宋_GB2312"/>
          <w:color w:val="000000" w:themeColor="text1"/>
          <w14:textFill>
            <w14:solidFill>
              <w14:schemeClr w14:val="tx1"/>
            </w14:solidFill>
          </w14:textFill>
        </w:rPr>
      </w:pPr>
      <w:bookmarkStart w:id="379" w:name="_Toc61110829"/>
      <w:bookmarkStart w:id="380" w:name="_Toc27521"/>
    </w:p>
    <w:p>
      <w:pPr>
        <w:pStyle w:val="5"/>
        <w:keepNext w:val="0"/>
        <w:keepLines w:val="0"/>
        <w:spacing w:before="0" w:after="0" w:line="560" w:lineRule="exact"/>
        <w:jc w:val="center"/>
        <w:rPr>
          <w:rFonts w:ascii="Times New Roman" w:hAnsi="Times New Roman" w:eastAsia="黑体"/>
          <w:b w:val="0"/>
          <w:color w:val="000000" w:themeColor="text1"/>
          <w14:textFill>
            <w14:solidFill>
              <w14:schemeClr w14:val="tx1"/>
            </w14:solidFill>
          </w14:textFill>
        </w:rPr>
      </w:pPr>
      <w:bookmarkStart w:id="381" w:name="_Toc19815"/>
      <w:r>
        <w:rPr>
          <w:rFonts w:hint="eastAsia" w:ascii="Times New Roman" w:hAnsi="Times New Roman" w:eastAsia="黑体"/>
          <w:b w:val="0"/>
          <w:color w:val="000000" w:themeColor="text1"/>
          <w14:textFill>
            <w14:solidFill>
              <w14:schemeClr w14:val="tx1"/>
            </w14:solidFill>
          </w14:textFill>
        </w:rPr>
        <w:t>第一节  加强规划纲要宣传</w:t>
      </w:r>
      <w:bookmarkEnd w:id="379"/>
      <w:bookmarkEnd w:id="380"/>
      <w:bookmarkEnd w:id="381"/>
    </w:p>
    <w:p>
      <w:pP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p>
    <w:p>
      <w:pP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color w:val="000000" w:themeColor="text1"/>
          <w:sz w:val="32"/>
          <w:szCs w:val="32"/>
          <w14:textFill>
            <w14:solidFill>
              <w14:schemeClr w14:val="tx1"/>
            </w14:solidFill>
          </w14:textFill>
        </w:rPr>
        <w:t>充分利用各种媒体，采取多种形式，面向社会、大众，加强对规划重要性的宣传工作和社会监督，统一思想、形成共识，使实施规划目标成为龙胜县全社会的自觉行动。同时，各单位要提高对发展规划的认识，树立长远发展观念，自觉以规划指导各项工作，增强工作的系统性和连续性，确保规划提出的各项目标任务如期顺利实现。</w:t>
      </w:r>
    </w:p>
    <w:p>
      <w:pPr>
        <w:spacing w:line="560" w:lineRule="exact"/>
        <w:ind w:firstLine="420" w:firstLineChars="200"/>
        <w:rPr>
          <w:rFonts w:ascii="Times New Roman" w:hAnsi="Times New Roman" w:eastAsia="仿宋_GB2312"/>
          <w:color w:val="000000" w:themeColor="text1"/>
          <w14:textFill>
            <w14:solidFill>
              <w14:schemeClr w14:val="tx1"/>
            </w14:solidFill>
          </w14:textFill>
        </w:rPr>
      </w:pPr>
      <w:bookmarkStart w:id="382" w:name="_Toc16863"/>
      <w:bookmarkStart w:id="383" w:name="_Toc61110830"/>
    </w:p>
    <w:p>
      <w:pPr>
        <w:pStyle w:val="5"/>
        <w:keepNext w:val="0"/>
        <w:keepLines w:val="0"/>
        <w:spacing w:before="0" w:after="0" w:line="560" w:lineRule="exact"/>
        <w:jc w:val="center"/>
        <w:rPr>
          <w:rFonts w:ascii="Times New Roman" w:hAnsi="Times New Roman" w:eastAsia="黑体"/>
          <w:b w:val="0"/>
          <w:color w:val="000000" w:themeColor="text1"/>
          <w14:textFill>
            <w14:solidFill>
              <w14:schemeClr w14:val="tx1"/>
            </w14:solidFill>
          </w14:textFill>
        </w:rPr>
      </w:pPr>
      <w:bookmarkStart w:id="384" w:name="_Toc11410"/>
      <w:r>
        <w:rPr>
          <w:rFonts w:hint="eastAsia" w:ascii="Times New Roman" w:hAnsi="Times New Roman" w:eastAsia="黑体"/>
          <w:b w:val="0"/>
          <w:color w:val="000000" w:themeColor="text1"/>
          <w14:textFill>
            <w14:solidFill>
              <w14:schemeClr w14:val="tx1"/>
            </w14:solidFill>
          </w14:textFill>
        </w:rPr>
        <w:t>第二节  发挥专项规划作用</w:t>
      </w:r>
      <w:bookmarkEnd w:id="382"/>
      <w:bookmarkEnd w:id="383"/>
      <w:bookmarkEnd w:id="384"/>
    </w:p>
    <w:p>
      <w:pP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p>
    <w:p>
      <w:pP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color w:val="000000" w:themeColor="text1"/>
          <w:sz w:val="32"/>
          <w:szCs w:val="32"/>
          <w14:textFill>
            <w14:solidFill>
              <w14:schemeClr w14:val="tx1"/>
            </w14:solidFill>
          </w14:textFill>
        </w:rPr>
        <w:t>以纲要确定项目，以项目落实规划。以规划项目为投资申报依据，县各部门要与上级部门沟通衔接，健全项目推进实施机制。建立项目的动态管理，增强经济社会发展后劲。科学制定年度计划，把规划纲要提出的任务项目、目标分解落实到每个计划年度中，保持规划纲要实施的连续性；做好专项规划、区域规划和年度计划与本规划纲要的衔接，形成规划纲要实施合力。</w:t>
      </w:r>
    </w:p>
    <w:p>
      <w:pP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p>
    <w:p>
      <w:pPr>
        <w:pStyle w:val="5"/>
        <w:keepNext w:val="0"/>
        <w:keepLines w:val="0"/>
        <w:spacing w:before="0" w:after="0" w:line="560" w:lineRule="exact"/>
        <w:jc w:val="center"/>
        <w:rPr>
          <w:rFonts w:ascii="Times New Roman" w:hAnsi="Times New Roman" w:eastAsia="黑体"/>
          <w:b w:val="0"/>
          <w:color w:val="000000" w:themeColor="text1"/>
          <w14:textFill>
            <w14:solidFill>
              <w14:schemeClr w14:val="tx1"/>
            </w14:solidFill>
          </w14:textFill>
        </w:rPr>
      </w:pPr>
      <w:bookmarkStart w:id="385" w:name="_Toc1426"/>
      <w:bookmarkStart w:id="386" w:name="_Toc2437"/>
      <w:bookmarkStart w:id="387" w:name="_Toc61110831"/>
      <w:r>
        <w:rPr>
          <w:rFonts w:hint="eastAsia" w:ascii="Times New Roman" w:hAnsi="Times New Roman" w:eastAsia="黑体"/>
          <w:b w:val="0"/>
          <w:color w:val="000000" w:themeColor="text1"/>
          <w14:textFill>
            <w14:solidFill>
              <w14:schemeClr w14:val="tx1"/>
            </w14:solidFill>
          </w14:textFill>
        </w:rPr>
        <w:t>第三节  强化纲要协调管理</w:t>
      </w:r>
      <w:bookmarkEnd w:id="385"/>
      <w:bookmarkEnd w:id="386"/>
      <w:bookmarkEnd w:id="387"/>
    </w:p>
    <w:p>
      <w:pP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p>
    <w:p>
      <w:pP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color w:val="000000" w:themeColor="text1"/>
          <w:sz w:val="32"/>
          <w:szCs w:val="32"/>
          <w14:textFill>
            <w14:solidFill>
              <w14:schemeClr w14:val="tx1"/>
            </w14:solidFill>
          </w14:textFill>
        </w:rPr>
        <w:t>强化规划纲要与城乡建设、国土利用等相关行业规划的衔接，形成以国民经济和社会发展总体规划为统领，以主体功能区、城乡规划、国土利用规划、专项规划和区域规划为支撑、各类规划定位清晰、统一衔接纲要规划体系。城乡规划、国土利用规划要与本规划纲要确定的城镇、农业、生态三类空间相衔接，统筹各类规划协调一致，提高依法依规办事效率，实现龙胜县“一本规划一张蓝图”绘到底的目标。</w:t>
      </w:r>
    </w:p>
    <w:p>
      <w:pPr>
        <w:spacing w:line="560" w:lineRule="exact"/>
        <w:ind w:firstLine="420" w:firstLineChars="200"/>
        <w:rPr>
          <w:rFonts w:ascii="Times New Roman" w:hAnsi="Times New Roman" w:eastAsia="仿宋_GB2312"/>
          <w:color w:val="000000" w:themeColor="text1"/>
          <w14:textFill>
            <w14:solidFill>
              <w14:schemeClr w14:val="tx1"/>
            </w14:solidFill>
          </w14:textFill>
        </w:rPr>
      </w:pPr>
      <w:bookmarkStart w:id="388" w:name="_Toc61110832"/>
      <w:bookmarkStart w:id="389" w:name="_Toc11012"/>
    </w:p>
    <w:p>
      <w:pPr>
        <w:pStyle w:val="5"/>
        <w:keepNext w:val="0"/>
        <w:keepLines w:val="0"/>
        <w:spacing w:before="0" w:after="0" w:line="560" w:lineRule="exact"/>
        <w:jc w:val="center"/>
        <w:rPr>
          <w:rFonts w:ascii="Times New Roman" w:hAnsi="Times New Roman" w:eastAsia="黑体"/>
          <w:b w:val="0"/>
          <w:color w:val="000000" w:themeColor="text1"/>
          <w14:textFill>
            <w14:solidFill>
              <w14:schemeClr w14:val="tx1"/>
            </w14:solidFill>
          </w14:textFill>
        </w:rPr>
      </w:pPr>
      <w:bookmarkStart w:id="390" w:name="_Toc7862"/>
      <w:r>
        <w:rPr>
          <w:rFonts w:hint="eastAsia" w:ascii="Times New Roman" w:hAnsi="Times New Roman" w:eastAsia="黑体"/>
          <w:b w:val="0"/>
          <w:color w:val="000000" w:themeColor="text1"/>
          <w14:textFill>
            <w14:solidFill>
              <w14:schemeClr w14:val="tx1"/>
            </w14:solidFill>
          </w14:textFill>
        </w:rPr>
        <w:t>第四节  规划实施及监督考核</w:t>
      </w:r>
      <w:bookmarkEnd w:id="388"/>
      <w:bookmarkEnd w:id="389"/>
      <w:bookmarkEnd w:id="390"/>
    </w:p>
    <w:p>
      <w:pP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p>
    <w:p>
      <w:pP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color w:val="000000" w:themeColor="text1"/>
          <w:sz w:val="32"/>
          <w:szCs w:val="32"/>
          <w14:textFill>
            <w14:solidFill>
              <w14:schemeClr w14:val="tx1"/>
            </w14:solidFill>
          </w14:textFill>
        </w:rPr>
        <w:t>健全绩效评价考核体系，建立规划目标责任制，及时分解落实规划中发展目标、任务和政策，明确部门分工，落实部门责任，将其列入年度政府考核目标，并将考核结果作为领导班子调整和干部选拔任用、奖励惩戒的重要依据。</w:t>
      </w:r>
    </w:p>
    <w:p>
      <w:pP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color w:val="000000" w:themeColor="text1"/>
          <w:sz w:val="32"/>
          <w:szCs w:val="32"/>
          <w14:textFill>
            <w14:solidFill>
              <w14:schemeClr w14:val="tx1"/>
            </w14:solidFill>
          </w14:textFill>
        </w:rPr>
        <w:t>县政府主管部门要跟踪分析总体规划的执行情况，加强经济运行情况的监测分析和预警，定期向县委、县政府报告，及时向社会发布，自觉接受县人大、县政协对规划执行情况的监督检查。相关部门负责重点专项规划、区域规划的跟踪分析。</w:t>
      </w:r>
    </w:p>
    <w:p>
      <w:pPr>
        <w:spacing w:line="560" w:lineRule="exact"/>
        <w:ind w:firstLine="420" w:firstLineChars="200"/>
        <w:rPr>
          <w:rFonts w:ascii="Times New Roman" w:hAnsi="Times New Roman" w:eastAsia="仿宋_GB2312"/>
          <w:color w:val="000000" w:themeColor="text1"/>
          <w14:textFill>
            <w14:solidFill>
              <w14:schemeClr w14:val="tx1"/>
            </w14:solidFill>
          </w14:textFill>
        </w:rPr>
      </w:pPr>
      <w:bookmarkStart w:id="391" w:name="_Toc23101"/>
      <w:bookmarkStart w:id="392" w:name="_Toc61110833"/>
    </w:p>
    <w:p>
      <w:pPr>
        <w:pStyle w:val="2"/>
        <w:rPr>
          <w:rFonts w:ascii="Times New Roman" w:hAnsi="Times New Roman" w:eastAsia="仿宋_GB2312"/>
          <w:color w:val="000000" w:themeColor="text1"/>
          <w14:textFill>
            <w14:solidFill>
              <w14:schemeClr w14:val="tx1"/>
            </w14:solidFill>
          </w14:textFill>
        </w:rPr>
      </w:pPr>
    </w:p>
    <w:p>
      <w:pPr>
        <w:rPr>
          <w:rFonts w:ascii="Times New Roman" w:hAnsi="Times New Roman"/>
        </w:rPr>
      </w:pPr>
    </w:p>
    <w:p>
      <w:pPr>
        <w:pStyle w:val="5"/>
        <w:keepNext w:val="0"/>
        <w:keepLines w:val="0"/>
        <w:spacing w:before="0" w:after="0" w:line="560" w:lineRule="exact"/>
        <w:jc w:val="center"/>
        <w:rPr>
          <w:rFonts w:ascii="Times New Roman" w:hAnsi="Times New Roman" w:eastAsia="黑体"/>
          <w:b w:val="0"/>
          <w:color w:val="000000" w:themeColor="text1"/>
          <w14:textFill>
            <w14:solidFill>
              <w14:schemeClr w14:val="tx1"/>
            </w14:solidFill>
          </w14:textFill>
        </w:rPr>
      </w:pPr>
      <w:bookmarkStart w:id="393" w:name="_Toc21081"/>
      <w:r>
        <w:rPr>
          <w:rFonts w:hint="eastAsia" w:ascii="Times New Roman" w:hAnsi="Times New Roman" w:eastAsia="黑体"/>
          <w:b w:val="0"/>
          <w:color w:val="000000" w:themeColor="text1"/>
          <w14:textFill>
            <w14:solidFill>
              <w14:schemeClr w14:val="tx1"/>
            </w14:solidFill>
          </w14:textFill>
        </w:rPr>
        <w:t>第五节  建立规划评估机制</w:t>
      </w:r>
      <w:bookmarkEnd w:id="391"/>
      <w:bookmarkEnd w:id="392"/>
      <w:bookmarkEnd w:id="393"/>
    </w:p>
    <w:p>
      <w:pP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p>
    <w:p>
      <w:pPr>
        <w:spacing w:line="56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color w:val="000000" w:themeColor="text1"/>
          <w:sz w:val="32"/>
          <w:szCs w:val="32"/>
          <w14:textFill>
            <w14:solidFill>
              <w14:schemeClr w14:val="tx1"/>
            </w14:solidFill>
          </w14:textFill>
        </w:rPr>
        <w:t>加强规划实施评估。建立规划中期、末期评估机制，总结规划实施成效。总体规划由县政府组织评估，专项规划、区域规划由发改部门和主管业务部门组织评估，及时向县人大报告和向县政协通报规划执行情况；中期和末期评估报告要提请县人大常委会审议，并根据评估结果对规划进行调整修订。当经济运行环境发生重大变化或由于其他原因使经济运行偏离规划目标太大时，应及时提出调整方案，报请县人大常委会审议批准实施，以确保实现“十四五”规划提出的各项目标任务。</w:t>
      </w:r>
    </w:p>
    <w:sectPr>
      <w:footerReference r:id="rId10" w:type="default"/>
      <w:footnotePr>
        <w:numFmt w:val="decimalEnclosedCircleChinese"/>
      </w:footnotePr>
      <w:pgSz w:w="11906" w:h="16838"/>
      <w:pgMar w:top="1587" w:right="1417" w:bottom="1304" w:left="1417" w:header="851" w:footer="850"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8D079F6-4BFE-4420-836B-21FB75BCE6AC}"/>
  </w:font>
  <w:font w:name="Arial">
    <w:panose1 w:val="020B0604020202020204"/>
    <w:charset w:val="01"/>
    <w:family w:val="swiss"/>
    <w:pitch w:val="default"/>
    <w:sig w:usb0="E0002EFF" w:usb1="C000785B" w:usb2="00000009" w:usb3="00000000" w:csb0="400001FF" w:csb1="FFFF0000"/>
    <w:embedRegular r:id="rId2" w:fontKey="{EF02B94A-B574-4AAB-946B-8552B75B8762}"/>
  </w:font>
  <w:font w:name="黑体">
    <w:panose1 w:val="02010609060101010101"/>
    <w:charset w:val="86"/>
    <w:family w:val="auto"/>
    <w:pitch w:val="default"/>
    <w:sig w:usb0="800002BF" w:usb1="38CF7CFA" w:usb2="00000016" w:usb3="00000000" w:csb0="00040001" w:csb1="00000000"/>
    <w:embedRegular r:id="rId3" w:fontKey="{15C0BAE7-DD03-44FD-A814-8D04622B70C4}"/>
  </w:font>
  <w:font w:name="Courier New">
    <w:panose1 w:val="02070309020205020404"/>
    <w:charset w:val="01"/>
    <w:family w:val="modern"/>
    <w:pitch w:val="default"/>
    <w:sig w:usb0="E0002EFF" w:usb1="C0007843" w:usb2="00000009" w:usb3="00000000" w:csb0="400001FF" w:csb1="FFFF0000"/>
    <w:embedRegular r:id="rId4" w:fontKey="{CD1C7CD8-5C46-47BE-BB78-B1B37573413A}"/>
  </w:font>
  <w:font w:name="Symbol">
    <w:panose1 w:val="05050102010706020507"/>
    <w:charset w:val="02"/>
    <w:family w:val="roman"/>
    <w:pitch w:val="default"/>
    <w:sig w:usb0="00000000" w:usb1="00000000" w:usb2="00000000" w:usb3="00000000" w:csb0="80000000" w:csb1="00000000"/>
    <w:embedRegular r:id="rId5" w:fontKey="{79BCE3CD-BD4D-40AC-A2C6-D5E1DB4678AA}"/>
  </w:font>
  <w:font w:name="Calibri">
    <w:panose1 w:val="020F0502020204030204"/>
    <w:charset w:val="00"/>
    <w:family w:val="swiss"/>
    <w:pitch w:val="default"/>
    <w:sig w:usb0="E4002EFF" w:usb1="C000247B" w:usb2="00000009" w:usb3="00000000" w:csb0="200001FF" w:csb1="00000000"/>
    <w:embedRegular r:id="rId6" w:fontKey="{90BDF187-447B-40E3-AEF2-A2D49D26C738}"/>
  </w:font>
  <w:font w:name="楷体_GB2312">
    <w:panose1 w:val="02010609030101010101"/>
    <w:charset w:val="86"/>
    <w:family w:val="modern"/>
    <w:pitch w:val="default"/>
    <w:sig w:usb0="00000001" w:usb1="080E0000" w:usb2="00000000" w:usb3="00000000" w:csb0="00040000" w:csb1="00000000"/>
    <w:embedRegular r:id="rId7" w:fontKey="{BA35D146-F4F1-4280-9AFE-8F990D43D470}"/>
  </w:font>
  <w:font w:name="Cambria">
    <w:panose1 w:val="02040503050406030204"/>
    <w:charset w:val="00"/>
    <w:family w:val="roman"/>
    <w:pitch w:val="default"/>
    <w:sig w:usb0="E00006FF" w:usb1="420024FF" w:usb2="02000000" w:usb3="00000000" w:csb0="2000019F" w:csb1="00000000"/>
    <w:embedRegular r:id="rId8" w:fontKey="{BBEA96E3-0C69-470A-8073-E8BC4E46D67D}"/>
  </w:font>
  <w:font w:name="仿宋_GB2312">
    <w:panose1 w:val="02010609030101010101"/>
    <w:charset w:val="86"/>
    <w:family w:val="modern"/>
    <w:pitch w:val="default"/>
    <w:sig w:usb0="00000001" w:usb1="080E0000" w:usb2="00000000" w:usb3="00000000" w:csb0="00040000" w:csb1="00000000"/>
    <w:embedRegular r:id="rId9" w:fontKey="{AE86C0C5-28E5-48E1-BAD6-EF1F6D5264FE}"/>
  </w:font>
  <w:font w:name="楷体">
    <w:panose1 w:val="02010609060101010101"/>
    <w:charset w:val="86"/>
    <w:family w:val="modern"/>
    <w:pitch w:val="default"/>
    <w:sig w:usb0="800002BF" w:usb1="38CF7CFA" w:usb2="00000016" w:usb3="00000000" w:csb0="00040001" w:csb1="00000000"/>
  </w:font>
  <w:font w:name="方正小标宋_GBK">
    <w:panose1 w:val="03000509000000000000"/>
    <w:charset w:val="86"/>
    <w:family w:val="script"/>
    <w:pitch w:val="default"/>
    <w:sig w:usb0="00000001" w:usb1="080E0000" w:usb2="00000000" w:usb3="00000000" w:csb0="00040000" w:csb1="00000000"/>
    <w:embedRegular r:id="rId10" w:fontKey="{D4671375-68A1-43EC-B72C-4EBBB7F4AD9F}"/>
  </w:font>
  <w:font w:name="方正仿宋_GBK">
    <w:altName w:val="微软雅黑"/>
    <w:panose1 w:val="00000000000000000000"/>
    <w:charset w:val="86"/>
    <w:family w:val="script"/>
    <w:pitch w:val="default"/>
    <w:sig w:usb0="00000000" w:usb1="00000000" w:usb2="00000000" w:usb3="00000000" w:csb0="00040000" w:csb1="00000000"/>
    <w:embedRegular r:id="rId11" w:fontKey="{5C7BD8FB-BD8B-4986-BCC0-003F862BDAF2}"/>
  </w:font>
  <w:font w:name="华文楷体">
    <w:panose1 w:val="02010600040101010101"/>
    <w:charset w:val="86"/>
    <w:family w:val="auto"/>
    <w:pitch w:val="default"/>
    <w:sig w:usb0="00000287" w:usb1="080F0000" w:usb2="00000000" w:usb3="00000000" w:csb0="0004009F" w:csb1="DFD70000"/>
    <w:embedRegular r:id="rId12" w:fontKey="{6D921F34-33C1-464D-AC37-20980DDEA69E}"/>
  </w:font>
  <w:font w:name="仿宋">
    <w:panose1 w:val="02010609060101010101"/>
    <w:charset w:val="86"/>
    <w:family w:val="modern"/>
    <w:pitch w:val="default"/>
    <w:sig w:usb0="800002BF" w:usb1="38CF7CFA" w:usb2="00000016" w:usb3="00000000" w:csb0="00040001" w:csb1="00000000"/>
    <w:embedRegular r:id="rId13" w:fontKey="{122A8CF1-FCC0-4B2C-9210-77AAF7478CAD}"/>
  </w:font>
  <w:font w:name="方正黑体_GBK">
    <w:altName w:val="微软雅黑"/>
    <w:panose1 w:val="00000000000000000000"/>
    <w:charset w:val="86"/>
    <w:family w:val="auto"/>
    <w:pitch w:val="default"/>
    <w:sig w:usb0="00000000" w:usb1="00000000" w:usb2="00000000" w:usb3="00000000" w:csb0="00040000" w:csb1="00000000"/>
    <w:embedRegular r:id="rId14" w:fontKey="{AC3EB8FD-EA1E-40CF-A366-F586422A993C}"/>
  </w:font>
  <w:font w:name="微软雅黑">
    <w:panose1 w:val="020B0503020204020204"/>
    <w:charset w:val="86"/>
    <w:family w:val="auto"/>
    <w:pitch w:val="default"/>
    <w:sig w:usb0="80000287" w:usb1="2ACF3C50" w:usb2="00000016" w:usb3="00000000" w:csb0="0004001F"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p>
  <w:p>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PAGE  \* MERGEFORMAT </w:instrText>
                          </w:r>
                          <w:r>
                            <w:rPr>
                              <w:rFonts w:ascii="Times New Roman" w:hAnsi="Times New Roman"/>
                              <w:sz w:val="24"/>
                              <w:szCs w:val="24"/>
                            </w:rPr>
                            <w:fldChar w:fldCharType="separate"/>
                          </w:r>
                          <w:r>
                            <w:rPr>
                              <w:rFonts w:ascii="Times New Roman" w:hAnsi="Times New Roman"/>
                              <w:sz w:val="24"/>
                              <w:szCs w:val="24"/>
                            </w:rPr>
                            <w:t>70</w:t>
                          </w:r>
                          <w:r>
                            <w:rPr>
                              <w:rFonts w:ascii="Times New Roman" w:hAnsi="Times New Roman"/>
                              <w:sz w:val="24"/>
                              <w:szCs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15"/>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PAGE  \* MERGEFORMAT </w:instrText>
                    </w:r>
                    <w:r>
                      <w:rPr>
                        <w:rFonts w:ascii="Times New Roman" w:hAnsi="Times New Roman"/>
                        <w:sz w:val="24"/>
                        <w:szCs w:val="24"/>
                      </w:rPr>
                      <w:fldChar w:fldCharType="separate"/>
                    </w:r>
                    <w:r>
                      <w:rPr>
                        <w:rFonts w:ascii="Times New Roman" w:hAnsi="Times New Roman"/>
                        <w:sz w:val="24"/>
                        <w:szCs w:val="24"/>
                      </w:rPr>
                      <w:t>70</w:t>
                    </w:r>
                    <w:r>
                      <w:rPr>
                        <w:rFonts w:ascii="Times New Roman" w:hAnsi="Times New Roman"/>
                        <w:sz w:val="24"/>
                        <w:szCs w:val="24"/>
                      </w:rPr>
                      <w:fldChar w:fldCharType="end"/>
                    </w:r>
                  </w:p>
                </w:txbxContent>
              </v:textbox>
            </v:shape>
          </w:pict>
        </mc:Fallback>
      </mc:AlternateContent>
    </w:r>
    <w:sdt>
      <w:sdtPr>
        <w:id w:val="1179312634"/>
      </w:sdtPr>
      <w:sdtContent/>
    </w:sdt>
  </w:p>
  <w:p>
    <w:pPr>
      <w:pStyle w:val="1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r>
      <mc:AlternateContent>
        <mc:Choice Requires="wps">
          <w:drawing>
            <wp:anchor distT="0" distB="0" distL="114300" distR="114300" simplePos="0" relativeHeight="251663360" behindDoc="0" locked="0" layoutInCell="1" allowOverlap="1">
              <wp:simplePos x="0" y="0"/>
              <wp:positionH relativeFrom="margin">
                <wp:posOffset>5183505</wp:posOffset>
              </wp:positionH>
              <wp:positionV relativeFrom="paragraph">
                <wp:posOffset>-18415</wp:posOffset>
              </wp:positionV>
              <wp:extent cx="1828800" cy="1828800"/>
              <wp:effectExtent l="0" t="0" r="0" b="0"/>
              <wp:wrapNone/>
              <wp:docPr id="1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5"/>
                            <w:jc w:val="center"/>
                            <w:rPr>
                              <w:rFonts w:ascii="Times New Roman" w:hAnsi="Times New Roman"/>
                              <w:sz w:val="24"/>
                              <w:szCs w:val="24"/>
                            </w:rPr>
                          </w:pPr>
                          <w:r>
                            <w:rPr>
                              <w:rFonts w:hint="eastAsia" w:ascii="Times New Roman" w:hAnsi="Times New Roman"/>
                              <w:sz w:val="24"/>
                              <w:szCs w:val="24"/>
                            </w:rPr>
                            <w:t xml:space="preserve">— </w:t>
                          </w:r>
                          <w:sdt>
                            <w:sdtPr>
                              <w:rPr>
                                <w:rFonts w:ascii="Times New Roman" w:hAnsi="Times New Roman"/>
                                <w:sz w:val="24"/>
                                <w:szCs w:val="24"/>
                              </w:rPr>
                              <w:id w:val="1886368215"/>
                            </w:sdtPr>
                            <w:sdtEndPr>
                              <w:rPr>
                                <w:rFonts w:ascii="Times New Roman" w:hAnsi="Times New Roman"/>
                                <w:sz w:val="24"/>
                                <w:szCs w:val="24"/>
                              </w:rPr>
                            </w:sdtEndPr>
                            <w:sdtContent>
                              <w:r>
                                <w:rPr>
                                  <w:rFonts w:ascii="Times New Roman" w:hAnsi="Times New Roman" w:eastAsiaTheme="minorEastAsia"/>
                                  <w:sz w:val="24"/>
                                  <w:szCs w:val="24"/>
                                </w:rPr>
                                <w:fldChar w:fldCharType="begin"/>
                              </w:r>
                              <w:r>
                                <w:rPr>
                                  <w:rFonts w:ascii="Times New Roman" w:hAnsi="Times New Roman" w:eastAsiaTheme="minorEastAsia"/>
                                  <w:sz w:val="24"/>
                                  <w:szCs w:val="24"/>
                                </w:rPr>
                                <w:instrText xml:space="preserve">PAGE   \* MERGEFORMAT</w:instrText>
                              </w:r>
                              <w:r>
                                <w:rPr>
                                  <w:rFonts w:ascii="Times New Roman" w:hAnsi="Times New Roman" w:eastAsiaTheme="minorEastAsia"/>
                                  <w:sz w:val="24"/>
                                  <w:szCs w:val="24"/>
                                </w:rPr>
                                <w:fldChar w:fldCharType="separate"/>
                              </w:r>
                              <w:r>
                                <w:rPr>
                                  <w:rFonts w:ascii="Times New Roman" w:hAnsi="Times New Roman" w:eastAsiaTheme="minorEastAsia"/>
                                  <w:sz w:val="24"/>
                                  <w:szCs w:val="24"/>
                                  <w:lang w:val="zh-CN"/>
                                </w:rPr>
                                <w:t>2</w:t>
                              </w:r>
                              <w:r>
                                <w:rPr>
                                  <w:rFonts w:ascii="Times New Roman" w:hAnsi="Times New Roman" w:eastAsiaTheme="minorEastAsia"/>
                                  <w:sz w:val="24"/>
                                  <w:szCs w:val="24"/>
                                </w:rPr>
                                <w:fldChar w:fldCharType="end"/>
                              </w:r>
                              <w:r>
                                <w:rPr>
                                  <w:rFonts w:hint="eastAsia" w:ascii="Times New Roman" w:hAnsi="Times New Roman" w:eastAsiaTheme="minorEastAsia"/>
                                  <w:sz w:val="24"/>
                                  <w:szCs w:val="24"/>
                                </w:rPr>
                                <w:t xml:space="preserve"> —</w:t>
                              </w:r>
                            </w:sdtContent>
                          </w:sdt>
                        </w:p>
                        <w:p>
                          <w:pPr>
                            <w:pStyle w:val="4"/>
                            <w:rPr>
                              <w:rFonts w:ascii="Times New Roman" w:hAnsi="Times New Roman" w:cs="Times New Roman"/>
                              <w:sz w:val="24"/>
                              <w:szCs w:val="24"/>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left:408.15pt;margin-top:-1.45pt;height:144pt;width:144pt;mso-position-horizontal-relative:margin;mso-wrap-style:none;z-index:251663360;mso-width-relative:page;mso-height-relative:page;" filled="f" stroked="f" coordsize="21600,21600" o:gfxdata="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irEwl9gAAAALAQAADwAAAAAAAAABACAAAAAiAAAAZHJzL2Rvd25yZXYueG1s&#10;UEsBAhQAFAAAAAgAh07iQMfgJVAxAgAAZAQAAA4AAAAAAAAAAQAgAAAAJwEAAGRycy9lMm9Eb2Mu&#10;eG1sUEsFBgAAAAAGAAYAWQEAAMoFAAAAAA==&#10;">
              <v:fill on="f" focussize="0,0"/>
              <v:stroke on="f" weight="0.5pt"/>
              <v:imagedata o:title=""/>
              <o:lock v:ext="edit" aspectratio="f"/>
              <v:textbox inset="0mm,0mm,0mm,0mm" style="mso-fit-shape-to-text:t;">
                <w:txbxContent>
                  <w:p>
                    <w:pPr>
                      <w:pStyle w:val="15"/>
                      <w:jc w:val="center"/>
                      <w:rPr>
                        <w:rFonts w:ascii="Times New Roman" w:hAnsi="Times New Roman"/>
                        <w:sz w:val="24"/>
                        <w:szCs w:val="24"/>
                      </w:rPr>
                    </w:pPr>
                    <w:r>
                      <w:rPr>
                        <w:rFonts w:hint="eastAsia" w:ascii="Times New Roman" w:hAnsi="Times New Roman"/>
                        <w:sz w:val="24"/>
                        <w:szCs w:val="24"/>
                      </w:rPr>
                      <w:t xml:space="preserve">— </w:t>
                    </w:r>
                    <w:sdt>
                      <w:sdtPr>
                        <w:rPr>
                          <w:rFonts w:ascii="Times New Roman" w:hAnsi="Times New Roman"/>
                          <w:sz w:val="24"/>
                          <w:szCs w:val="24"/>
                        </w:rPr>
                        <w:id w:val="1886368215"/>
                      </w:sdtPr>
                      <w:sdtEndPr>
                        <w:rPr>
                          <w:rFonts w:ascii="Times New Roman" w:hAnsi="Times New Roman"/>
                          <w:sz w:val="24"/>
                          <w:szCs w:val="24"/>
                        </w:rPr>
                      </w:sdtEndPr>
                      <w:sdtContent>
                        <w:r>
                          <w:rPr>
                            <w:rFonts w:ascii="Times New Roman" w:hAnsi="Times New Roman" w:eastAsiaTheme="minorEastAsia"/>
                            <w:sz w:val="24"/>
                            <w:szCs w:val="24"/>
                          </w:rPr>
                          <w:fldChar w:fldCharType="begin"/>
                        </w:r>
                        <w:r>
                          <w:rPr>
                            <w:rFonts w:ascii="Times New Roman" w:hAnsi="Times New Roman" w:eastAsiaTheme="minorEastAsia"/>
                            <w:sz w:val="24"/>
                            <w:szCs w:val="24"/>
                          </w:rPr>
                          <w:instrText xml:space="preserve">PAGE   \* MERGEFORMAT</w:instrText>
                        </w:r>
                        <w:r>
                          <w:rPr>
                            <w:rFonts w:ascii="Times New Roman" w:hAnsi="Times New Roman" w:eastAsiaTheme="minorEastAsia"/>
                            <w:sz w:val="24"/>
                            <w:szCs w:val="24"/>
                          </w:rPr>
                          <w:fldChar w:fldCharType="separate"/>
                        </w:r>
                        <w:r>
                          <w:rPr>
                            <w:rFonts w:ascii="Times New Roman" w:hAnsi="Times New Roman" w:eastAsiaTheme="minorEastAsia"/>
                            <w:sz w:val="24"/>
                            <w:szCs w:val="24"/>
                            <w:lang w:val="zh-CN"/>
                          </w:rPr>
                          <w:t>2</w:t>
                        </w:r>
                        <w:r>
                          <w:rPr>
                            <w:rFonts w:ascii="Times New Roman" w:hAnsi="Times New Roman" w:eastAsiaTheme="minorEastAsia"/>
                            <w:sz w:val="24"/>
                            <w:szCs w:val="24"/>
                          </w:rPr>
                          <w:fldChar w:fldCharType="end"/>
                        </w:r>
                        <w:r>
                          <w:rPr>
                            <w:rFonts w:hint="eastAsia" w:ascii="Times New Roman" w:hAnsi="Times New Roman" w:eastAsiaTheme="minorEastAsia"/>
                            <w:sz w:val="24"/>
                            <w:szCs w:val="24"/>
                          </w:rPr>
                          <w:t xml:space="preserve"> —</w:t>
                        </w:r>
                      </w:sdtContent>
                    </w:sdt>
                  </w:p>
                  <w:p>
                    <w:pPr>
                      <w:pStyle w:val="4"/>
                      <w:rPr>
                        <w:rFonts w:ascii="Times New Roman" w:hAnsi="Times New Roman" w:cs="Times New Roman"/>
                        <w:sz w:val="24"/>
                        <w:szCs w:val="24"/>
                      </w:rPr>
                    </w:pPr>
                  </w:p>
                </w:txbxContent>
              </v:textbox>
            </v:shape>
          </w:pict>
        </mc:Fallback>
      </mc:AlternateContent>
    </w:r>
  </w:p>
  <w:p>
    <w:pPr>
      <w:pStyle w:val="1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r>
      <mc:AlternateContent>
        <mc:Choice Requires="wps">
          <w:drawing>
            <wp:anchor distT="0" distB="0" distL="114300" distR="114300" simplePos="0" relativeHeight="251669504" behindDoc="0" locked="0" layoutInCell="1" allowOverlap="1">
              <wp:simplePos x="0" y="0"/>
              <wp:positionH relativeFrom="margin">
                <wp:posOffset>5126355</wp:posOffset>
              </wp:positionH>
              <wp:positionV relativeFrom="paragraph">
                <wp:posOffset>1270</wp:posOffset>
              </wp:positionV>
              <wp:extent cx="605790" cy="245110"/>
              <wp:effectExtent l="0" t="0" r="0" b="0"/>
              <wp:wrapNone/>
              <wp:docPr id="2" name="文本框 1"/>
              <wp:cNvGraphicFramePr/>
              <a:graphic xmlns:a="http://schemas.openxmlformats.org/drawingml/2006/main">
                <a:graphicData uri="http://schemas.microsoft.com/office/word/2010/wordprocessingShape">
                  <wps:wsp>
                    <wps:cNvSpPr txBox="1"/>
                    <wps:spPr>
                      <a:xfrm>
                        <a:off x="0" y="0"/>
                        <a:ext cx="605790" cy="245110"/>
                      </a:xfrm>
                      <a:prstGeom prst="rect">
                        <a:avLst/>
                      </a:prstGeom>
                      <a:noFill/>
                      <a:ln w="6350">
                        <a:noFill/>
                      </a:ln>
                      <a:effectLst/>
                    </wps:spPr>
                    <wps:txbx>
                      <w:txbxContent>
                        <w:p>
                          <w:pPr>
                            <w:pStyle w:val="15"/>
                            <w:jc w:val="center"/>
                            <w:rPr>
                              <w:rFonts w:ascii="Times New Roman" w:hAnsi="Times New Roman"/>
                              <w:sz w:val="24"/>
                              <w:szCs w:val="24"/>
                            </w:rPr>
                          </w:pPr>
                          <w:r>
                            <w:rPr>
                              <w:rFonts w:ascii="Times New Roman" w:hAnsi="Times New Roman"/>
                              <w:sz w:val="24"/>
                              <w:szCs w:val="24"/>
                            </w:rPr>
                            <w:t xml:space="preserve">— </w:t>
                          </w:r>
                          <w:sdt>
                            <w:sdtPr>
                              <w:rPr>
                                <w:rFonts w:ascii="Times New Roman" w:hAnsi="Times New Roman"/>
                                <w:sz w:val="24"/>
                                <w:szCs w:val="24"/>
                              </w:rPr>
                              <w:id w:val="-2055999060"/>
                            </w:sdtPr>
                            <w:sdtEndPr>
                              <w:rPr>
                                <w:rFonts w:ascii="Times New Roman" w:hAnsi="Times New Roman"/>
                                <w:sz w:val="24"/>
                                <w:szCs w:val="24"/>
                              </w:rPr>
                            </w:sdtEndPr>
                            <w:sdtContent>
                              <w:r>
                                <w:rPr>
                                  <w:rFonts w:ascii="Times New Roman" w:hAnsi="Times New Roman" w:eastAsiaTheme="minorEastAsia"/>
                                  <w:sz w:val="24"/>
                                  <w:szCs w:val="24"/>
                                </w:rPr>
                                <w:fldChar w:fldCharType="begin"/>
                              </w:r>
                              <w:r>
                                <w:rPr>
                                  <w:rFonts w:ascii="Times New Roman" w:hAnsi="Times New Roman" w:eastAsiaTheme="minorEastAsia"/>
                                  <w:sz w:val="24"/>
                                  <w:szCs w:val="24"/>
                                </w:rPr>
                                <w:instrText xml:space="preserve">PAGE   \* MERGEFORMAT</w:instrText>
                              </w:r>
                              <w:r>
                                <w:rPr>
                                  <w:rFonts w:ascii="Times New Roman" w:hAnsi="Times New Roman" w:eastAsiaTheme="minorEastAsia"/>
                                  <w:sz w:val="24"/>
                                  <w:szCs w:val="24"/>
                                </w:rPr>
                                <w:fldChar w:fldCharType="separate"/>
                              </w:r>
                              <w:r>
                                <w:rPr>
                                  <w:rFonts w:ascii="Times New Roman" w:hAnsi="Times New Roman" w:eastAsiaTheme="minorEastAsia"/>
                                  <w:sz w:val="24"/>
                                  <w:szCs w:val="24"/>
                                  <w:lang w:val="zh-CN"/>
                                </w:rPr>
                                <w:t>20</w:t>
                              </w:r>
                              <w:r>
                                <w:rPr>
                                  <w:rFonts w:ascii="Times New Roman" w:hAnsi="Times New Roman" w:eastAsiaTheme="minorEastAsia"/>
                                  <w:sz w:val="24"/>
                                  <w:szCs w:val="24"/>
                                </w:rPr>
                                <w:fldChar w:fldCharType="end"/>
                              </w:r>
                              <w:r>
                                <w:rPr>
                                  <w:rFonts w:ascii="Times New Roman" w:hAnsi="Times New Roman" w:eastAsiaTheme="minorEastAsia"/>
                                  <w:sz w:val="24"/>
                                  <w:szCs w:val="24"/>
                                </w:rPr>
                                <w:t xml:space="preserve"> —</w:t>
                              </w:r>
                            </w:sdtContent>
                          </w:sdt>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1" o:spid="_x0000_s1026" o:spt="202" type="#_x0000_t202" style="position:absolute;left:0pt;margin-left:403.65pt;margin-top:0.1pt;height:19.3pt;width:47.7pt;mso-position-horizontal-relative:margin;z-index:251669504;mso-width-relative:page;mso-height-relative:page;" filled="f" stroked="f" coordsize="21600,21600" o:gfxdata="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Thsm5tUAAAAHAQAADwAAAAAAAAABACAAAAAiAAAAZHJzL2Rvd25yZXYu&#10;eG1sUEsBAhQAFAAAAAgAh07iQJvBUgw3AgAAYwQAAA4AAAAAAAAAAQAgAAAAJAEAAGRycy9lMm9E&#10;b2MueG1sUEsFBgAAAAAGAAYAWQEAAM0FAAAAAA==&#10;">
              <v:fill on="f" focussize="0,0"/>
              <v:stroke on="f" weight="0.5pt"/>
              <v:imagedata o:title=""/>
              <o:lock v:ext="edit" aspectratio="f"/>
              <v:textbox inset="0mm,0mm,0mm,0mm">
                <w:txbxContent>
                  <w:p>
                    <w:pPr>
                      <w:pStyle w:val="15"/>
                      <w:jc w:val="center"/>
                      <w:rPr>
                        <w:rFonts w:ascii="Times New Roman" w:hAnsi="Times New Roman"/>
                        <w:sz w:val="24"/>
                        <w:szCs w:val="24"/>
                      </w:rPr>
                    </w:pPr>
                    <w:r>
                      <w:rPr>
                        <w:rFonts w:ascii="Times New Roman" w:hAnsi="Times New Roman"/>
                        <w:sz w:val="24"/>
                        <w:szCs w:val="24"/>
                      </w:rPr>
                      <w:t xml:space="preserve">— </w:t>
                    </w:r>
                    <w:sdt>
                      <w:sdtPr>
                        <w:rPr>
                          <w:rFonts w:ascii="Times New Roman" w:hAnsi="Times New Roman"/>
                          <w:sz w:val="24"/>
                          <w:szCs w:val="24"/>
                        </w:rPr>
                        <w:id w:val="-2055999060"/>
                      </w:sdtPr>
                      <w:sdtEndPr>
                        <w:rPr>
                          <w:rFonts w:ascii="Times New Roman" w:hAnsi="Times New Roman"/>
                          <w:sz w:val="24"/>
                          <w:szCs w:val="24"/>
                        </w:rPr>
                      </w:sdtEndPr>
                      <w:sdtContent>
                        <w:r>
                          <w:rPr>
                            <w:rFonts w:ascii="Times New Roman" w:hAnsi="Times New Roman" w:eastAsiaTheme="minorEastAsia"/>
                            <w:sz w:val="24"/>
                            <w:szCs w:val="24"/>
                          </w:rPr>
                          <w:fldChar w:fldCharType="begin"/>
                        </w:r>
                        <w:r>
                          <w:rPr>
                            <w:rFonts w:ascii="Times New Roman" w:hAnsi="Times New Roman" w:eastAsiaTheme="minorEastAsia"/>
                            <w:sz w:val="24"/>
                            <w:szCs w:val="24"/>
                          </w:rPr>
                          <w:instrText xml:space="preserve">PAGE   \* MERGEFORMAT</w:instrText>
                        </w:r>
                        <w:r>
                          <w:rPr>
                            <w:rFonts w:ascii="Times New Roman" w:hAnsi="Times New Roman" w:eastAsiaTheme="minorEastAsia"/>
                            <w:sz w:val="24"/>
                            <w:szCs w:val="24"/>
                          </w:rPr>
                          <w:fldChar w:fldCharType="separate"/>
                        </w:r>
                        <w:r>
                          <w:rPr>
                            <w:rFonts w:ascii="Times New Roman" w:hAnsi="Times New Roman" w:eastAsiaTheme="minorEastAsia"/>
                            <w:sz w:val="24"/>
                            <w:szCs w:val="24"/>
                            <w:lang w:val="zh-CN"/>
                          </w:rPr>
                          <w:t>20</w:t>
                        </w:r>
                        <w:r>
                          <w:rPr>
                            <w:rFonts w:ascii="Times New Roman" w:hAnsi="Times New Roman" w:eastAsiaTheme="minorEastAsia"/>
                            <w:sz w:val="24"/>
                            <w:szCs w:val="24"/>
                          </w:rPr>
                          <w:fldChar w:fldCharType="end"/>
                        </w:r>
                        <w:r>
                          <w:rPr>
                            <w:rFonts w:ascii="Times New Roman" w:hAnsi="Times New Roman" w:eastAsiaTheme="minorEastAsia"/>
                            <w:sz w:val="24"/>
                            <w:szCs w:val="24"/>
                          </w:rPr>
                          <w:t xml:space="preserve"> —</w:t>
                        </w:r>
                      </w:sdtContent>
                    </w:sdt>
                  </w:p>
                </w:txbxContent>
              </v:textbox>
            </v:shape>
          </w:pict>
        </mc:Fallback>
      </mc:AlternateContent>
    </w:r>
  </w:p>
  <w:p>
    <w:pPr>
      <w:pStyle w:val="1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r>
      <mc:AlternateContent>
        <mc:Choice Requires="wps">
          <w:drawing>
            <wp:anchor distT="0" distB="0" distL="114300" distR="114300" simplePos="0" relativeHeight="251661312" behindDoc="0" locked="0" layoutInCell="1" allowOverlap="1">
              <wp:simplePos x="0" y="0"/>
              <wp:positionH relativeFrom="margin">
                <wp:posOffset>5088255</wp:posOffset>
              </wp:positionH>
              <wp:positionV relativeFrom="paragraph">
                <wp:posOffset>48260</wp:posOffset>
              </wp:positionV>
              <wp:extent cx="1828800" cy="1828800"/>
              <wp:effectExtent l="0" t="0" r="0" b="0"/>
              <wp:wrapNone/>
              <wp:docPr id="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5"/>
                            <w:jc w:val="center"/>
                            <w:rPr>
                              <w:rFonts w:ascii="Times New Roman" w:hAnsi="Times New Roman"/>
                              <w:sz w:val="24"/>
                              <w:szCs w:val="24"/>
                            </w:rPr>
                          </w:pPr>
                          <w:r>
                            <w:rPr>
                              <w:rFonts w:ascii="Times New Roman" w:hAnsi="Times New Roman"/>
                              <w:sz w:val="24"/>
                              <w:szCs w:val="24"/>
                            </w:rPr>
                            <w:t xml:space="preserve">— </w:t>
                          </w:r>
                          <w:sdt>
                            <w:sdtPr>
                              <w:rPr>
                                <w:rFonts w:ascii="Times New Roman" w:hAnsi="Times New Roman"/>
                                <w:sz w:val="24"/>
                                <w:szCs w:val="24"/>
                              </w:rPr>
                              <w:id w:val="2059584635"/>
                            </w:sdtPr>
                            <w:sdtEndPr>
                              <w:rPr>
                                <w:rFonts w:ascii="Times New Roman" w:hAnsi="Times New Roman"/>
                                <w:sz w:val="24"/>
                                <w:szCs w:val="24"/>
                              </w:rPr>
                            </w:sdtEndPr>
                            <w:sdtContent>
                              <w:r>
                                <w:rPr>
                                  <w:rFonts w:ascii="Times New Roman" w:hAnsi="Times New Roman"/>
                                  <w:sz w:val="24"/>
                                  <w:szCs w:val="24"/>
                                </w:rPr>
                                <w:fldChar w:fldCharType="begin"/>
                              </w:r>
                              <w:r>
                                <w:rPr>
                                  <w:rFonts w:ascii="Times New Roman" w:hAnsi="Times New Roman"/>
                                  <w:sz w:val="24"/>
                                  <w:szCs w:val="24"/>
                                </w:rPr>
                                <w:instrText xml:space="preserve">PAGE   \* MERGEFORMAT</w:instrText>
                              </w:r>
                              <w:r>
                                <w:rPr>
                                  <w:rFonts w:ascii="Times New Roman" w:hAnsi="Times New Roman"/>
                                  <w:sz w:val="24"/>
                                  <w:szCs w:val="24"/>
                                </w:rPr>
                                <w:fldChar w:fldCharType="separate"/>
                              </w:r>
                              <w:r>
                                <w:rPr>
                                  <w:rFonts w:ascii="Times New Roman" w:hAnsi="Times New Roman"/>
                                  <w:sz w:val="24"/>
                                  <w:szCs w:val="24"/>
                                  <w:lang w:val="zh-CN"/>
                                </w:rPr>
                                <w:t>70</w:t>
                              </w:r>
                              <w:r>
                                <w:rPr>
                                  <w:rFonts w:ascii="Times New Roman" w:hAnsi="Times New Roman"/>
                                  <w:sz w:val="24"/>
                                  <w:szCs w:val="24"/>
                                </w:rPr>
                                <w:fldChar w:fldCharType="end"/>
                              </w:r>
                            </w:sdtContent>
                          </w:sdt>
                          <w:r>
                            <w:rPr>
                              <w:rFonts w:ascii="Times New Roman" w:hAnsi="Times New Roman"/>
                              <w:sz w:val="24"/>
                              <w:szCs w:val="24"/>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left:400.65pt;margin-top:3.8pt;height:144pt;width:144pt;mso-position-horizontal-relative:margin;mso-wrap-style:none;z-index:251661312;mso-width-relative:page;mso-height-relative:page;" filled="f" stroked="f" coordsize="21600,21600" o:gfxdata="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x+Hnq9cAAAAKAQAADwAAAAAAAAABACAAAAAiAAAAZHJzL2Rvd25yZXYueG1s&#10;UEsBAhQAFAAAAAgAh07iQI87QtkyAgAAYwQAAA4AAAAAAAAAAQAgAAAAJgEAAGRycy9lMm9Eb2Mu&#10;eG1sUEsFBgAAAAAGAAYAWQEAAMoFAAAAAA==&#10;">
              <v:fill on="f" focussize="0,0"/>
              <v:stroke on="f" weight="0.5pt"/>
              <v:imagedata o:title=""/>
              <o:lock v:ext="edit" aspectratio="f"/>
              <v:textbox inset="0mm,0mm,0mm,0mm" style="mso-fit-shape-to-text:t;">
                <w:txbxContent>
                  <w:p>
                    <w:pPr>
                      <w:pStyle w:val="15"/>
                      <w:jc w:val="center"/>
                      <w:rPr>
                        <w:rFonts w:ascii="Times New Roman" w:hAnsi="Times New Roman"/>
                        <w:sz w:val="24"/>
                        <w:szCs w:val="24"/>
                      </w:rPr>
                    </w:pPr>
                    <w:r>
                      <w:rPr>
                        <w:rFonts w:ascii="Times New Roman" w:hAnsi="Times New Roman"/>
                        <w:sz w:val="24"/>
                        <w:szCs w:val="24"/>
                      </w:rPr>
                      <w:t xml:space="preserve">— </w:t>
                    </w:r>
                    <w:sdt>
                      <w:sdtPr>
                        <w:rPr>
                          <w:rFonts w:ascii="Times New Roman" w:hAnsi="Times New Roman"/>
                          <w:sz w:val="24"/>
                          <w:szCs w:val="24"/>
                        </w:rPr>
                        <w:id w:val="2059584635"/>
                      </w:sdtPr>
                      <w:sdtEndPr>
                        <w:rPr>
                          <w:rFonts w:ascii="Times New Roman" w:hAnsi="Times New Roman"/>
                          <w:sz w:val="24"/>
                          <w:szCs w:val="24"/>
                        </w:rPr>
                      </w:sdtEndPr>
                      <w:sdtContent>
                        <w:r>
                          <w:rPr>
                            <w:rFonts w:ascii="Times New Roman" w:hAnsi="Times New Roman"/>
                            <w:sz w:val="24"/>
                            <w:szCs w:val="24"/>
                          </w:rPr>
                          <w:fldChar w:fldCharType="begin"/>
                        </w:r>
                        <w:r>
                          <w:rPr>
                            <w:rFonts w:ascii="Times New Roman" w:hAnsi="Times New Roman"/>
                            <w:sz w:val="24"/>
                            <w:szCs w:val="24"/>
                          </w:rPr>
                          <w:instrText xml:space="preserve">PAGE   \* MERGEFORMAT</w:instrText>
                        </w:r>
                        <w:r>
                          <w:rPr>
                            <w:rFonts w:ascii="Times New Roman" w:hAnsi="Times New Roman"/>
                            <w:sz w:val="24"/>
                            <w:szCs w:val="24"/>
                          </w:rPr>
                          <w:fldChar w:fldCharType="separate"/>
                        </w:r>
                        <w:r>
                          <w:rPr>
                            <w:rFonts w:ascii="Times New Roman" w:hAnsi="Times New Roman"/>
                            <w:sz w:val="24"/>
                            <w:szCs w:val="24"/>
                            <w:lang w:val="zh-CN"/>
                          </w:rPr>
                          <w:t>70</w:t>
                        </w:r>
                        <w:r>
                          <w:rPr>
                            <w:rFonts w:ascii="Times New Roman" w:hAnsi="Times New Roman"/>
                            <w:sz w:val="24"/>
                            <w:szCs w:val="24"/>
                          </w:rPr>
                          <w:fldChar w:fldCharType="end"/>
                        </w:r>
                      </w:sdtContent>
                    </w:sdt>
                    <w:r>
                      <w:rPr>
                        <w:rFonts w:ascii="Times New Roman" w:hAnsi="Times New Roman"/>
                        <w:sz w:val="24"/>
                        <w:szCs w:val="24"/>
                      </w:rPr>
                      <w:t xml:space="preserve"> —</w:t>
                    </w:r>
                  </w:p>
                </w:txbxContent>
              </v:textbox>
            </v:shape>
          </w:pict>
        </mc:Fallback>
      </mc:AlternateContent>
    </w:r>
  </w:p>
  <w:p>
    <w:pPr>
      <w:pStyle w:val="1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r>
      <mc:AlternateContent>
        <mc:Choice Requires="wps">
          <w:drawing>
            <wp:anchor distT="0" distB="0" distL="114300" distR="114300" simplePos="0" relativeHeight="251671552" behindDoc="0" locked="0" layoutInCell="1" allowOverlap="1">
              <wp:simplePos x="0" y="0"/>
              <wp:positionH relativeFrom="margin">
                <wp:posOffset>5215890</wp:posOffset>
              </wp:positionH>
              <wp:positionV relativeFrom="paragraph">
                <wp:posOffset>11430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jc w:val="center"/>
                            <w:rPr>
                              <w:rFonts w:ascii="Times New Roman" w:hAnsi="Times New Roman"/>
                            </w:rPr>
                          </w:pPr>
                          <w:r>
                            <w:rPr>
                              <w:rFonts w:ascii="Times New Roman" w:hAnsi="Times New Roman"/>
                            </w:rPr>
                            <w:t xml:space="preserve">— </w:t>
                          </w:r>
                          <w:sdt>
                            <w:sdtPr>
                              <w:rPr>
                                <w:rFonts w:ascii="Times New Roman" w:hAnsi="Times New Roman"/>
                              </w:rPr>
                              <w:id w:val="-909928935"/>
                            </w:sdtPr>
                            <w:sdtEndPr>
                              <w:rPr>
                                <w:rFonts w:ascii="Times New Roman" w:hAnsi="Times New Roman"/>
                              </w:rPr>
                            </w:sdtEndPr>
                            <w:sdtContent>
                              <w:r>
                                <w:rPr>
                                  <w:rFonts w:ascii="Times New Roman" w:hAnsi="Times New Roman"/>
                                  <w:sz w:val="24"/>
                                  <w:szCs w:val="24"/>
                                </w:rPr>
                                <w:fldChar w:fldCharType="begin"/>
                              </w:r>
                              <w:r>
                                <w:rPr>
                                  <w:rFonts w:ascii="Times New Roman" w:hAnsi="Times New Roman"/>
                                  <w:sz w:val="24"/>
                                  <w:szCs w:val="24"/>
                                </w:rPr>
                                <w:instrText xml:space="preserve">PAGE   \* MERGEFORMAT</w:instrText>
                              </w:r>
                              <w:r>
                                <w:rPr>
                                  <w:rFonts w:ascii="Times New Roman" w:hAnsi="Times New Roman"/>
                                  <w:sz w:val="24"/>
                                  <w:szCs w:val="24"/>
                                </w:rPr>
                                <w:fldChar w:fldCharType="separate"/>
                              </w:r>
                              <w:r>
                                <w:rPr>
                                  <w:rFonts w:ascii="Times New Roman" w:hAnsi="Times New Roman"/>
                                  <w:sz w:val="24"/>
                                  <w:szCs w:val="24"/>
                                  <w:lang w:val="zh-CN"/>
                                </w:rPr>
                                <w:t>89</w:t>
                              </w:r>
                              <w:r>
                                <w:rPr>
                                  <w:rFonts w:ascii="Times New Roman" w:hAnsi="Times New Roman"/>
                                  <w:sz w:val="24"/>
                                  <w:szCs w:val="24"/>
                                </w:rPr>
                                <w:fldChar w:fldCharType="end"/>
                              </w:r>
                            </w:sdtContent>
                          </w:sdt>
                          <w:r>
                            <w:rPr>
                              <w:rFonts w:ascii="Times New Roman" w:hAnsi="Times New Roman"/>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410.7pt;margin-top:0.9pt;height:144pt;width:144pt;mso-position-horizontal-relative:margin;mso-wrap-style:none;z-index:251671552;mso-width-relative:page;mso-height-relative:page;" filled="f" stroked="f" coordsize="21600,21600" o:gfxdata="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5ErqH9YAAAAKAQAADwAAAAAAAAABACAAAAAiAAAAZHJzL2Rvd25yZXYueG1sUEsBAhQAFAAA&#10;AAgAh07iQIzXDnwqAgAAVQQAAA4AAAAAAAAAAQAgAAAAJQEAAGRycy9lMm9Eb2MueG1sUEsFBgAA&#10;AAAGAAYAWQEAAMEFAAAAAA==&#10;">
              <v:fill on="f" focussize="0,0"/>
              <v:stroke on="f" weight="0.5pt"/>
              <v:imagedata o:title=""/>
              <o:lock v:ext="edit" aspectratio="f"/>
              <v:textbox inset="0mm,0mm,0mm,0mm" style="mso-fit-shape-to-text:t;">
                <w:txbxContent>
                  <w:p>
                    <w:pPr>
                      <w:pStyle w:val="15"/>
                      <w:jc w:val="center"/>
                      <w:rPr>
                        <w:rFonts w:ascii="Times New Roman" w:hAnsi="Times New Roman"/>
                      </w:rPr>
                    </w:pPr>
                    <w:r>
                      <w:rPr>
                        <w:rFonts w:ascii="Times New Roman" w:hAnsi="Times New Roman"/>
                      </w:rPr>
                      <w:t xml:space="preserve">— </w:t>
                    </w:r>
                    <w:sdt>
                      <w:sdtPr>
                        <w:rPr>
                          <w:rFonts w:ascii="Times New Roman" w:hAnsi="Times New Roman"/>
                        </w:rPr>
                        <w:id w:val="-909928935"/>
                      </w:sdtPr>
                      <w:sdtEndPr>
                        <w:rPr>
                          <w:rFonts w:ascii="Times New Roman" w:hAnsi="Times New Roman"/>
                        </w:rPr>
                      </w:sdtEndPr>
                      <w:sdtContent>
                        <w:r>
                          <w:rPr>
                            <w:rFonts w:ascii="Times New Roman" w:hAnsi="Times New Roman"/>
                            <w:sz w:val="24"/>
                            <w:szCs w:val="24"/>
                          </w:rPr>
                          <w:fldChar w:fldCharType="begin"/>
                        </w:r>
                        <w:r>
                          <w:rPr>
                            <w:rFonts w:ascii="Times New Roman" w:hAnsi="Times New Roman"/>
                            <w:sz w:val="24"/>
                            <w:szCs w:val="24"/>
                          </w:rPr>
                          <w:instrText xml:space="preserve">PAGE   \* MERGEFORMAT</w:instrText>
                        </w:r>
                        <w:r>
                          <w:rPr>
                            <w:rFonts w:ascii="Times New Roman" w:hAnsi="Times New Roman"/>
                            <w:sz w:val="24"/>
                            <w:szCs w:val="24"/>
                          </w:rPr>
                          <w:fldChar w:fldCharType="separate"/>
                        </w:r>
                        <w:r>
                          <w:rPr>
                            <w:rFonts w:ascii="Times New Roman" w:hAnsi="Times New Roman"/>
                            <w:sz w:val="24"/>
                            <w:szCs w:val="24"/>
                            <w:lang w:val="zh-CN"/>
                          </w:rPr>
                          <w:t>89</w:t>
                        </w:r>
                        <w:r>
                          <w:rPr>
                            <w:rFonts w:ascii="Times New Roman" w:hAnsi="Times New Roman"/>
                            <w:sz w:val="24"/>
                            <w:szCs w:val="24"/>
                          </w:rPr>
                          <w:fldChar w:fldCharType="end"/>
                        </w:r>
                      </w:sdtContent>
                    </w:sdt>
                    <w:r>
                      <w:rPr>
                        <w:rFonts w:ascii="Times New Roman" w:hAnsi="Times New Roman"/>
                      </w:rPr>
                      <w:t xml:space="preserve"> —</w:t>
                    </w:r>
                  </w:p>
                </w:txbxContent>
              </v:textbox>
            </v:shape>
          </w:pict>
        </mc:Fallback>
      </mc:AlternateContent>
    </w:r>
  </w:p>
  <w:p>
    <w:pPr>
      <w:pStyle w:val="1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2">
    <w:p>
      <w:r>
        <w:separator/>
      </w:r>
    </w:p>
  </w:footnote>
  <w:footnote w:type="continuationSeparator" w:id="23">
    <w:p>
      <w:r>
        <w:continuationSeparator/>
      </w:r>
    </w:p>
  </w:footnote>
  <w:footnote w:id="0">
    <w:p>
      <w:pPr>
        <w:pStyle w:val="18"/>
        <w:rPr>
          <w:rFonts w:ascii="仿宋_GB2312" w:hAnsi="Times New Roman" w:eastAsia="仿宋_GB2312"/>
          <w:color w:val="000000" w:themeColor="text1"/>
          <w:sz w:val="24"/>
          <w:szCs w:val="24"/>
          <w14:textFill>
            <w14:solidFill>
              <w14:schemeClr w14:val="tx1"/>
            </w14:solidFill>
          </w14:textFill>
        </w:rPr>
      </w:pPr>
      <w:r>
        <w:rPr>
          <w:rFonts w:ascii="仿宋_GB2312" w:hAnsi="Times New Roman" w:eastAsia="仿宋_GB2312"/>
          <w:color w:val="000000" w:themeColor="text1"/>
          <w:sz w:val="24"/>
          <w:szCs w:val="24"/>
          <w14:textFill>
            <w14:solidFill>
              <w14:schemeClr w14:val="tx1"/>
            </w14:solidFill>
          </w14:textFill>
        </w:rPr>
        <w:footnoteRef/>
      </w:r>
      <w:r>
        <w:rPr>
          <w:rFonts w:hint="eastAsia" w:ascii="仿宋_GB2312" w:hAnsi="Times New Roman" w:eastAsia="仿宋_GB2312"/>
          <w:color w:val="000000" w:themeColor="text1"/>
          <w:sz w:val="24"/>
          <w:szCs w:val="24"/>
          <w14:textFill>
            <w14:solidFill>
              <w14:schemeClr w14:val="tx1"/>
            </w14:solidFill>
          </w14:textFill>
        </w:rPr>
        <w:t xml:space="preserve">“三大定位”：广西构建面向东盟的国际大通道、打造西南中南地区开放发展新的战略支点、形成“一带一路”有机衔接的重要门户。  </w:t>
      </w:r>
    </w:p>
  </w:footnote>
  <w:footnote w:id="1">
    <w:p>
      <w:pPr>
        <w:rPr>
          <w:color w:val="000000" w:themeColor="text1"/>
          <w:sz w:val="24"/>
          <w14:textFill>
            <w14:solidFill>
              <w14:schemeClr w14:val="tx1"/>
            </w14:solidFill>
          </w14:textFill>
        </w:rPr>
      </w:pPr>
      <w:r>
        <w:rPr>
          <w:rFonts w:hint="eastAsia" w:ascii="仿宋_GB2312" w:hAnsi="Times New Roman" w:eastAsia="仿宋_GB2312"/>
          <w:color w:val="000000" w:themeColor="text1"/>
          <w:sz w:val="24"/>
          <w14:textFill>
            <w14:solidFill>
              <w14:schemeClr w14:val="tx1"/>
            </w14:solidFill>
          </w14:textFill>
        </w:rPr>
        <w:footnoteRef/>
      </w:r>
      <w:r>
        <w:rPr>
          <w:rFonts w:hint="eastAsia" w:ascii="仿宋_GB2312" w:hAnsi="Times New Roman" w:eastAsia="仿宋_GB2312"/>
          <w:color w:val="000000" w:themeColor="text1"/>
          <w:sz w:val="24"/>
          <w14:textFill>
            <w14:solidFill>
              <w14:schemeClr w14:val="tx1"/>
            </w14:solidFill>
          </w14:textFill>
        </w:rPr>
        <w:t>“五个扎实”：扎实推动经济持续健康发展、扎实推进现代特色农业建设、扎实推进民生建设和脱贫攻坚、扎实推进生态环境保护建设、扎实建设坚强有力的领导班子。</w:t>
      </w:r>
    </w:p>
  </w:footnote>
  <w:footnote w:id="2">
    <w:p>
      <w:pPr>
        <w:pStyle w:val="18"/>
        <w:rPr>
          <w:color w:val="000000" w:themeColor="text1"/>
          <w:sz w:val="24"/>
          <w:szCs w:val="24"/>
          <w14:textFill>
            <w14:solidFill>
              <w14:schemeClr w14:val="tx1"/>
            </w14:solidFill>
          </w14:textFill>
        </w:rPr>
      </w:pPr>
      <w:r>
        <w:rPr>
          <w:rFonts w:ascii="仿宋_GB2312" w:hAnsi="Times New Roman" w:eastAsia="仿宋_GB2312"/>
          <w:color w:val="000000" w:themeColor="text1"/>
          <w:sz w:val="24"/>
          <w:szCs w:val="24"/>
          <w14:textFill>
            <w14:solidFill>
              <w14:schemeClr w14:val="tx1"/>
            </w14:solidFill>
          </w14:textFill>
        </w:rPr>
        <w:footnoteRef/>
      </w:r>
      <w:r>
        <w:rPr>
          <w:rFonts w:hint="eastAsia" w:ascii="仿宋_GB2312" w:hAnsi="Times New Roman" w:eastAsia="仿宋_GB2312"/>
          <w:color w:val="000000" w:themeColor="text1"/>
          <w:sz w:val="24"/>
          <w:szCs w:val="24"/>
          <w14:textFill>
            <w14:solidFill>
              <w14:schemeClr w14:val="tx1"/>
            </w14:solidFill>
          </w14:textFill>
        </w:rPr>
        <w:t xml:space="preserve"> “1+2”国家战略：“1”是指桂林国际旅游胜地建设，“2”是指桂林国家可持续发展议程创新示范区建设、桂林国家健康旅游示范基地建设。</w:t>
      </w:r>
    </w:p>
  </w:footnote>
  <w:footnote w:id="3">
    <w:p>
      <w:pPr>
        <w:pStyle w:val="18"/>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④绿水青山就是“金山银山”简称“两山”。</w:t>
      </w:r>
    </w:p>
    <w:p>
      <w:pPr>
        <w:pStyle w:val="18"/>
      </w:pPr>
    </w:p>
  </w:footnote>
  <w:footnote w:id="4">
    <w:p>
      <w:pPr>
        <w:spacing w:line="600" w:lineRule="exact"/>
        <w:ind w:firstLine="480" w:firstLineChars="200"/>
        <w:rPr>
          <w:rFonts w:ascii="仿宋_GB2312" w:hAnsi="仿宋_GB2312" w:eastAsia="仿宋_GB2312" w:cs="仿宋_GB2312"/>
          <w:color w:val="000000" w:themeColor="text1"/>
          <w:sz w:val="24"/>
          <w:shd w:val="clear" w:color="auto" w:fill="FFFFFF"/>
          <w14:textFill>
            <w14:solidFill>
              <w14:schemeClr w14:val="tx1"/>
            </w14:solidFill>
          </w14:textFill>
        </w:rPr>
      </w:pPr>
      <w:r>
        <w:rPr>
          <w:rFonts w:hint="eastAsia" w:ascii="宋体" w:hAnsi="宋体" w:cs="宋体"/>
          <w:color w:val="000000" w:themeColor="text1"/>
          <w:sz w:val="24"/>
          <w14:textFill>
            <w14:solidFill>
              <w14:schemeClr w14:val="tx1"/>
            </w14:solidFill>
          </w14:textFill>
        </w:rPr>
        <w:footnoteRef/>
      </w:r>
      <w:r>
        <w:rPr>
          <w:rFonts w:hint="eastAsia" w:ascii="宋体" w:hAnsi="宋体" w:cs="宋体"/>
          <w:color w:val="000000" w:themeColor="text1"/>
          <w:sz w:val="24"/>
          <w14:textFill>
            <w14:solidFill>
              <w14:schemeClr w14:val="tx1"/>
            </w14:solidFill>
          </w14:textFill>
        </w:rPr>
        <w:t xml:space="preserve"> </w:t>
      </w:r>
      <w:r>
        <w:rPr>
          <w:rFonts w:hint="eastAsia" w:ascii="仿宋_GB2312" w:hAnsi="仿宋_GB2312" w:eastAsia="仿宋_GB2312" w:cs="仿宋_GB2312"/>
          <w:color w:val="000000" w:themeColor="text1"/>
          <w:sz w:val="24"/>
          <w:shd w:val="clear" w:color="auto" w:fill="FFFFFF"/>
          <w14:textFill>
            <w14:solidFill>
              <w14:schemeClr w14:val="tx1"/>
            </w14:solidFill>
          </w14:textFill>
        </w:rPr>
        <w:t>央企、民企、湾企三企入桂。</w:t>
      </w:r>
    </w:p>
    <w:p>
      <w:pPr>
        <w:pStyle w:val="18"/>
      </w:pPr>
    </w:p>
  </w:footnote>
  <w:footnote w:id="5">
    <w:p>
      <w:pPr>
        <w:pStyle w:val="18"/>
        <w:adjustRightInd w:val="0"/>
        <w:rPr>
          <w:rFonts w:ascii="仿宋_GB2312" w:hAnsi="仿宋_GB2312" w:eastAsia="仿宋_GB2312" w:cs="仿宋_GB2312"/>
          <w:color w:val="000000" w:themeColor="text1"/>
          <w:sz w:val="44"/>
          <w:szCs w:val="44"/>
          <w:vertAlign w:val="subscript"/>
          <w14:textFill>
            <w14:solidFill>
              <w14:schemeClr w14:val="tx1"/>
            </w14:solidFill>
          </w14:textFill>
        </w:rPr>
      </w:pPr>
      <w:r>
        <w:rPr>
          <w:rStyle w:val="30"/>
          <w:rFonts w:hint="eastAsia" w:ascii="仿宋_GB2312" w:hAnsi="仿宋_GB2312" w:eastAsia="仿宋_GB2312" w:cs="仿宋_GB2312"/>
          <w:color w:val="000000" w:themeColor="text1"/>
          <w:sz w:val="44"/>
          <w:szCs w:val="44"/>
          <w:vertAlign w:val="subscript"/>
          <w14:textFill>
            <w14:solidFill>
              <w14:schemeClr w14:val="tx1"/>
            </w14:solidFill>
          </w14:textFill>
        </w:rPr>
        <w:footnoteRef/>
      </w:r>
      <w:r>
        <w:rPr>
          <w:rStyle w:val="30"/>
          <w:rFonts w:hint="eastAsia" w:ascii="仿宋_GB2312" w:hAnsi="仿宋_GB2312" w:eastAsia="仿宋_GB2312" w:cs="仿宋_GB2312"/>
          <w:color w:val="000000" w:themeColor="text1"/>
          <w:sz w:val="44"/>
          <w:szCs w:val="44"/>
          <w:vertAlign w:val="subscript"/>
          <w14:textFill>
            <w14:solidFill>
              <w14:schemeClr w14:val="tx1"/>
            </w14:solidFill>
          </w14:textFill>
        </w:rPr>
        <w:t>党中央决定，脱贫攻坚目标任务完成后，对摆脱贫困的县，从脱贫之日起设立5年过渡期。</w:t>
      </w:r>
    </w:p>
  </w:footnote>
  <w:footnote w:id="6">
    <w:p>
      <w:pPr>
        <w:pStyle w:val="18"/>
        <w:adjustRightInd w:val="0"/>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shd w:val="clear" w:color="auto" w:fill="FFFFFF"/>
          <w14:textFill>
            <w14:solidFill>
              <w14:schemeClr w14:val="tx1"/>
            </w14:solidFill>
          </w14:textFill>
        </w:rPr>
        <w:t>⑦无公害农产品、绿色食品、</w:t>
      </w:r>
      <w:r>
        <w:fldChar w:fldCharType="begin"/>
      </w:r>
      <w:r>
        <w:instrText xml:space="preserve"> HYPERLINK "https://baike.baidu.com/item/%E6%9C%89%E6%9C%BA%E5%86%9C%E4%BA%A7%E5%93%81/10268723" \t "https://baike.baidu.com/item/%E4%B8%89%E5%93%81%E4%B8%80%E6%A0%87/_blank" </w:instrText>
      </w:r>
      <w:r>
        <w:fldChar w:fldCharType="separate"/>
      </w:r>
      <w:r>
        <w:rPr>
          <w:rStyle w:val="28"/>
          <w:rFonts w:hint="eastAsia" w:ascii="仿宋_GB2312" w:hAnsi="仿宋_GB2312" w:eastAsia="仿宋_GB2312" w:cs="仿宋_GB2312"/>
          <w:color w:val="000000" w:themeColor="text1"/>
          <w:sz w:val="24"/>
          <w:szCs w:val="24"/>
          <w:u w:val="none"/>
          <w:shd w:val="clear" w:color="auto" w:fill="FFFFFF"/>
          <w14:textFill>
            <w14:solidFill>
              <w14:schemeClr w14:val="tx1"/>
            </w14:solidFill>
          </w14:textFill>
        </w:rPr>
        <w:t>有机农产品</w:t>
      </w:r>
      <w:r>
        <w:rPr>
          <w:rStyle w:val="28"/>
          <w:rFonts w:hint="eastAsia" w:ascii="仿宋_GB2312" w:hAnsi="仿宋_GB2312" w:eastAsia="仿宋_GB2312" w:cs="仿宋_GB2312"/>
          <w:color w:val="000000" w:themeColor="text1"/>
          <w:sz w:val="24"/>
          <w:szCs w:val="24"/>
          <w:u w:val="none"/>
          <w:shd w:val="clear" w:color="auto" w:fill="FFFFFF"/>
          <w14:textFill>
            <w14:solidFill>
              <w14:schemeClr w14:val="tx1"/>
            </w14:solidFill>
          </w14:textFill>
        </w:rPr>
        <w:fldChar w:fldCharType="end"/>
      </w:r>
      <w:r>
        <w:rPr>
          <w:rFonts w:hint="eastAsia" w:ascii="仿宋_GB2312" w:hAnsi="仿宋_GB2312" w:eastAsia="仿宋_GB2312" w:cs="仿宋_GB2312"/>
          <w:color w:val="000000" w:themeColor="text1"/>
          <w:sz w:val="24"/>
          <w:szCs w:val="24"/>
          <w:shd w:val="clear" w:color="auto" w:fill="FFFFFF"/>
          <w14:textFill>
            <w14:solidFill>
              <w14:schemeClr w14:val="tx1"/>
            </w14:solidFill>
          </w14:textFill>
        </w:rPr>
        <w:t>和农产品地理标志的统称。</w:t>
      </w:r>
    </w:p>
  </w:footnote>
  <w:footnote w:id="7">
    <w:p>
      <w:pPr>
        <w:pStyle w:val="18"/>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⑧三避：农作物避雨、避寒、避晒栽培技术</w:t>
      </w:r>
      <w:r>
        <w:rPr>
          <w:rFonts w:hint="eastAsia" w:ascii="仿宋_GB2312" w:hAnsi="仿宋_GB2312" w:eastAsia="仿宋_GB2312" w:cs="仿宋_GB2312"/>
          <w:color w:val="000000" w:themeColor="text1"/>
          <w:sz w:val="24"/>
          <w:szCs w:val="24"/>
          <w:shd w:val="clear" w:color="auto" w:fill="FFFFFF"/>
          <w14:textFill>
            <w14:solidFill>
              <w14:schemeClr w14:val="tx1"/>
            </w14:solidFill>
          </w14:textFill>
        </w:rPr>
        <w:t>的统称。</w:t>
      </w:r>
    </w:p>
  </w:footnote>
  <w:footnote w:id="8">
    <w:p>
      <w:pPr>
        <w:pStyle w:val="18"/>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⑨</w:t>
      </w:r>
      <w:r>
        <w:rPr>
          <w:rFonts w:hint="eastAsia" w:ascii="Times New Roman" w:hAnsi="Times New Roman" w:eastAsia="仿宋_GB2312"/>
          <w:color w:val="000000" w:themeColor="text1"/>
          <w:sz w:val="24"/>
          <w:szCs w:val="24"/>
          <w14:textFill>
            <w14:solidFill>
              <w14:schemeClr w14:val="tx1"/>
            </w14:solidFill>
          </w14:textFill>
        </w:rPr>
        <w:t>特色养殖：</w:t>
      </w:r>
      <w:r>
        <w:rPr>
          <w:rFonts w:hint="eastAsia" w:ascii="仿宋_GB2312" w:hAnsi="仿宋_GB2312" w:eastAsia="仿宋_GB2312" w:cs="仿宋_GB2312"/>
          <w:color w:val="000000" w:themeColor="text1"/>
          <w:sz w:val="24"/>
          <w:szCs w:val="24"/>
          <w14:textFill>
            <w14:solidFill>
              <w14:schemeClr w14:val="tx1"/>
            </w14:solidFill>
          </w14:textFill>
        </w:rPr>
        <w:t>凤鸡、翠鸭、亚冷水鱼等地方养殖业</w:t>
      </w:r>
      <w:r>
        <w:rPr>
          <w:rFonts w:hint="eastAsia" w:ascii="仿宋_GB2312" w:hAnsi="仿宋_GB2312" w:eastAsia="仿宋_GB2312" w:cs="仿宋_GB2312"/>
          <w:color w:val="000000" w:themeColor="text1"/>
          <w:sz w:val="24"/>
          <w:szCs w:val="24"/>
          <w:shd w:val="clear" w:color="auto" w:fill="FFFFFF"/>
          <w14:textFill>
            <w14:solidFill>
              <w14:schemeClr w14:val="tx1"/>
            </w14:solidFill>
          </w14:textFill>
        </w:rPr>
        <w:t>。</w:t>
      </w:r>
    </w:p>
  </w:footnote>
  <w:footnote w:id="9">
    <w:p>
      <w:pPr>
        <w:pStyle w:val="18"/>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⑩英文“Internet Protocol Version 6”（互联网协议第6版）的缩写，是互联网工程任务组（IETF）设计的用于替代IPv4的下一代IP协议，其地址数量号称可以为全世界的每一粒沙子编上一个地址。</w:t>
      </w:r>
    </w:p>
  </w:footnote>
  <w:footnote w:id="10">
    <w:p>
      <w:pPr>
        <w:pStyle w:val="18"/>
        <w:rPr>
          <w:color w:val="000000" w:themeColor="text1"/>
          <w:sz w:val="24"/>
          <w14:textFill>
            <w14:solidFill>
              <w14:schemeClr w14:val="tx1"/>
            </w14:solidFill>
          </w14:textFill>
        </w:rPr>
      </w:pPr>
      <w:r>
        <w:rPr>
          <w:rStyle w:val="30"/>
          <w:color w:val="000000" w:themeColor="text1"/>
          <w:sz w:val="32"/>
          <w:szCs w:val="32"/>
          <w:vertAlign w:val="subscript"/>
          <w14:textFill>
            <w14:solidFill>
              <w14:schemeClr w14:val="tx1"/>
            </w14:solidFill>
          </w14:textFill>
        </w:rPr>
        <w:footnoteRef/>
      </w:r>
      <w:r>
        <w:rPr>
          <w:rFonts w:hint="eastAsia" w:ascii="仿宋_GB2312" w:hAnsi="仿宋_GB2312" w:eastAsia="仿宋_GB2312" w:cs="仿宋_GB2312"/>
          <w:color w:val="000000" w:themeColor="text1"/>
          <w:sz w:val="24"/>
          <w:shd w:val="clear" w:color="auto" w:fill="FFFFFF"/>
          <w14:textFill>
            <w14:solidFill>
              <w14:schemeClr w14:val="tx1"/>
            </w14:solidFill>
          </w14:textFill>
        </w:rPr>
        <w:t>荒山、荒沟、荒丘、荒滩等未利用的土地。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BFCEC2A"/>
    <w:multiLevelType w:val="singleLevel"/>
    <w:tmpl w:val="CBFCEC2A"/>
    <w:lvl w:ilvl="0" w:tentative="0">
      <w:start w:val="2"/>
      <w:numFmt w:val="decimal"/>
      <w:suff w:val="nothing"/>
      <w:lvlText w:val="%1、"/>
      <w:lvlJc w:val="left"/>
    </w:lvl>
  </w:abstractNum>
  <w:abstractNum w:abstractNumId="1">
    <w:nsid w:val="114238F4"/>
    <w:multiLevelType w:val="singleLevel"/>
    <w:tmpl w:val="114238F4"/>
    <w:lvl w:ilvl="0" w:tentative="0">
      <w:start w:val="1"/>
      <w:numFmt w:val="chineseCounting"/>
      <w:pStyle w:val="3"/>
      <w:suff w:val="nothing"/>
      <w:lvlText w:val="（%1）"/>
      <w:lvlJc w:val="left"/>
      <w:pPr>
        <w:ind w:left="660" w:firstLine="42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1"/>
  <w:bordersDoNotSurroundFooter w:val="1"/>
  <w:hideSpellingErrors/>
  <w:documentProtection w:enforcement="0"/>
  <w:defaultTabStop w:val="420"/>
  <w:drawingGridHorizontalSpacing w:val="210"/>
  <w:drawingGridVerticalSpacing w:val="156"/>
  <w:noPunctuationKerning w:val="1"/>
  <w:characterSpacingControl w:val="compressPunctuation"/>
  <w:footnotePr>
    <w:footnote w:id="22"/>
    <w:footnote w:id="23"/>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hjMjY3NGNkOTZjMzgzYzdiYjI5YTFlNTJlNTJkY2IifQ=="/>
  </w:docVars>
  <w:rsids>
    <w:rsidRoot w:val="00E177F3"/>
    <w:rsid w:val="00004799"/>
    <w:rsid w:val="00007785"/>
    <w:rsid w:val="00007F12"/>
    <w:rsid w:val="00007F5F"/>
    <w:rsid w:val="00013444"/>
    <w:rsid w:val="0001491E"/>
    <w:rsid w:val="0002154E"/>
    <w:rsid w:val="000333B0"/>
    <w:rsid w:val="00033E90"/>
    <w:rsid w:val="00054820"/>
    <w:rsid w:val="00063FCE"/>
    <w:rsid w:val="000641EF"/>
    <w:rsid w:val="000661C5"/>
    <w:rsid w:val="00076232"/>
    <w:rsid w:val="00077284"/>
    <w:rsid w:val="00077419"/>
    <w:rsid w:val="00080794"/>
    <w:rsid w:val="0008527B"/>
    <w:rsid w:val="000861DB"/>
    <w:rsid w:val="00094444"/>
    <w:rsid w:val="00095BBE"/>
    <w:rsid w:val="00096184"/>
    <w:rsid w:val="000B082B"/>
    <w:rsid w:val="000C064F"/>
    <w:rsid w:val="000C4FF6"/>
    <w:rsid w:val="000C50DB"/>
    <w:rsid w:val="000C5F1C"/>
    <w:rsid w:val="000D4C26"/>
    <w:rsid w:val="000D53D1"/>
    <w:rsid w:val="000D6D88"/>
    <w:rsid w:val="000E11FC"/>
    <w:rsid w:val="000E17AB"/>
    <w:rsid w:val="000E4CB1"/>
    <w:rsid w:val="000E4E27"/>
    <w:rsid w:val="000F0294"/>
    <w:rsid w:val="000F167D"/>
    <w:rsid w:val="000F2082"/>
    <w:rsid w:val="000F359A"/>
    <w:rsid w:val="000F6BAF"/>
    <w:rsid w:val="00102984"/>
    <w:rsid w:val="0012362D"/>
    <w:rsid w:val="00135FCB"/>
    <w:rsid w:val="00142E29"/>
    <w:rsid w:val="0014616F"/>
    <w:rsid w:val="00147068"/>
    <w:rsid w:val="00147F18"/>
    <w:rsid w:val="00150824"/>
    <w:rsid w:val="00154382"/>
    <w:rsid w:val="001643C2"/>
    <w:rsid w:val="0016662E"/>
    <w:rsid w:val="00167F96"/>
    <w:rsid w:val="00176719"/>
    <w:rsid w:val="00185E74"/>
    <w:rsid w:val="0019537C"/>
    <w:rsid w:val="00195ADA"/>
    <w:rsid w:val="00197346"/>
    <w:rsid w:val="001A094C"/>
    <w:rsid w:val="001A544A"/>
    <w:rsid w:val="001A668E"/>
    <w:rsid w:val="001B300A"/>
    <w:rsid w:val="001B4958"/>
    <w:rsid w:val="001D12BB"/>
    <w:rsid w:val="001E0221"/>
    <w:rsid w:val="001E25F5"/>
    <w:rsid w:val="001E7897"/>
    <w:rsid w:val="002001A3"/>
    <w:rsid w:val="00203FAF"/>
    <w:rsid w:val="00205EFC"/>
    <w:rsid w:val="0021045C"/>
    <w:rsid w:val="00214E09"/>
    <w:rsid w:val="00221BEB"/>
    <w:rsid w:val="00222CA8"/>
    <w:rsid w:val="002266E4"/>
    <w:rsid w:val="00232FDD"/>
    <w:rsid w:val="002425AD"/>
    <w:rsid w:val="00264DAF"/>
    <w:rsid w:val="00266BC8"/>
    <w:rsid w:val="002672AB"/>
    <w:rsid w:val="00283CA4"/>
    <w:rsid w:val="0028402A"/>
    <w:rsid w:val="002933A9"/>
    <w:rsid w:val="00293BD8"/>
    <w:rsid w:val="002958CD"/>
    <w:rsid w:val="00297293"/>
    <w:rsid w:val="002A2928"/>
    <w:rsid w:val="002A3E2C"/>
    <w:rsid w:val="002A409C"/>
    <w:rsid w:val="002C3D5B"/>
    <w:rsid w:val="002C55CF"/>
    <w:rsid w:val="002C5FE5"/>
    <w:rsid w:val="002C629F"/>
    <w:rsid w:val="002D3504"/>
    <w:rsid w:val="002E0104"/>
    <w:rsid w:val="002E4DF8"/>
    <w:rsid w:val="002E6BFF"/>
    <w:rsid w:val="003027BB"/>
    <w:rsid w:val="00306966"/>
    <w:rsid w:val="003158D3"/>
    <w:rsid w:val="00315CF1"/>
    <w:rsid w:val="00322E48"/>
    <w:rsid w:val="00323388"/>
    <w:rsid w:val="00325D9F"/>
    <w:rsid w:val="00326FBC"/>
    <w:rsid w:val="003331B8"/>
    <w:rsid w:val="003353ED"/>
    <w:rsid w:val="00345CBC"/>
    <w:rsid w:val="00346D27"/>
    <w:rsid w:val="00356379"/>
    <w:rsid w:val="00366FD2"/>
    <w:rsid w:val="00371DED"/>
    <w:rsid w:val="00384AE1"/>
    <w:rsid w:val="0039356F"/>
    <w:rsid w:val="00395313"/>
    <w:rsid w:val="00397D76"/>
    <w:rsid w:val="003A77B5"/>
    <w:rsid w:val="003B39F1"/>
    <w:rsid w:val="003B4322"/>
    <w:rsid w:val="003B66A0"/>
    <w:rsid w:val="003C4922"/>
    <w:rsid w:val="003C5139"/>
    <w:rsid w:val="003D2FCC"/>
    <w:rsid w:val="003D4112"/>
    <w:rsid w:val="003E4CDB"/>
    <w:rsid w:val="003F0A03"/>
    <w:rsid w:val="003F164F"/>
    <w:rsid w:val="003F5C3A"/>
    <w:rsid w:val="003F6040"/>
    <w:rsid w:val="003F6EED"/>
    <w:rsid w:val="00402096"/>
    <w:rsid w:val="00414F93"/>
    <w:rsid w:val="00432B7E"/>
    <w:rsid w:val="004436F3"/>
    <w:rsid w:val="00453BDC"/>
    <w:rsid w:val="004601CC"/>
    <w:rsid w:val="0046085D"/>
    <w:rsid w:val="0046795B"/>
    <w:rsid w:val="00473159"/>
    <w:rsid w:val="004736FA"/>
    <w:rsid w:val="00475CCE"/>
    <w:rsid w:val="00494E34"/>
    <w:rsid w:val="004A01E8"/>
    <w:rsid w:val="004A24F1"/>
    <w:rsid w:val="004A590A"/>
    <w:rsid w:val="004A6534"/>
    <w:rsid w:val="004A660F"/>
    <w:rsid w:val="004B010D"/>
    <w:rsid w:val="004B0186"/>
    <w:rsid w:val="004B1A1D"/>
    <w:rsid w:val="004B263A"/>
    <w:rsid w:val="004B6D01"/>
    <w:rsid w:val="004C16BC"/>
    <w:rsid w:val="004C187A"/>
    <w:rsid w:val="004C4FDB"/>
    <w:rsid w:val="004C581A"/>
    <w:rsid w:val="004D1A87"/>
    <w:rsid w:val="004D2A4B"/>
    <w:rsid w:val="004D2E35"/>
    <w:rsid w:val="004E35A5"/>
    <w:rsid w:val="004E3B6F"/>
    <w:rsid w:val="004E3EAB"/>
    <w:rsid w:val="004E6943"/>
    <w:rsid w:val="004F4332"/>
    <w:rsid w:val="005049E4"/>
    <w:rsid w:val="005058B0"/>
    <w:rsid w:val="00506F83"/>
    <w:rsid w:val="00512AAD"/>
    <w:rsid w:val="0051332B"/>
    <w:rsid w:val="00516354"/>
    <w:rsid w:val="00516E1A"/>
    <w:rsid w:val="005176AD"/>
    <w:rsid w:val="00521B72"/>
    <w:rsid w:val="005235A5"/>
    <w:rsid w:val="00535F3D"/>
    <w:rsid w:val="00542C50"/>
    <w:rsid w:val="005604F6"/>
    <w:rsid w:val="0057161A"/>
    <w:rsid w:val="00571B69"/>
    <w:rsid w:val="00572057"/>
    <w:rsid w:val="00584FF8"/>
    <w:rsid w:val="00587C58"/>
    <w:rsid w:val="00594473"/>
    <w:rsid w:val="005A618D"/>
    <w:rsid w:val="005B24C3"/>
    <w:rsid w:val="005B67FF"/>
    <w:rsid w:val="005C2BC3"/>
    <w:rsid w:val="005C73A3"/>
    <w:rsid w:val="005D1962"/>
    <w:rsid w:val="005D2A7D"/>
    <w:rsid w:val="005D4B16"/>
    <w:rsid w:val="005D67CD"/>
    <w:rsid w:val="005E0445"/>
    <w:rsid w:val="005F0EFF"/>
    <w:rsid w:val="005F484D"/>
    <w:rsid w:val="005F6A20"/>
    <w:rsid w:val="00600F38"/>
    <w:rsid w:val="006033F1"/>
    <w:rsid w:val="00604C86"/>
    <w:rsid w:val="006078BA"/>
    <w:rsid w:val="00616394"/>
    <w:rsid w:val="00617489"/>
    <w:rsid w:val="006200E3"/>
    <w:rsid w:val="00623341"/>
    <w:rsid w:val="00630707"/>
    <w:rsid w:val="006354F8"/>
    <w:rsid w:val="006361BB"/>
    <w:rsid w:val="006408A8"/>
    <w:rsid w:val="00642F32"/>
    <w:rsid w:val="00643E74"/>
    <w:rsid w:val="006506C6"/>
    <w:rsid w:val="00652F40"/>
    <w:rsid w:val="006566DB"/>
    <w:rsid w:val="006626A6"/>
    <w:rsid w:val="00670486"/>
    <w:rsid w:val="006706AD"/>
    <w:rsid w:val="00673ABE"/>
    <w:rsid w:val="0068199B"/>
    <w:rsid w:val="00681A61"/>
    <w:rsid w:val="00682EE6"/>
    <w:rsid w:val="00691D6A"/>
    <w:rsid w:val="0069794F"/>
    <w:rsid w:val="006A4680"/>
    <w:rsid w:val="006B1ACD"/>
    <w:rsid w:val="006B494F"/>
    <w:rsid w:val="006B67F3"/>
    <w:rsid w:val="006B6B0B"/>
    <w:rsid w:val="006C0C41"/>
    <w:rsid w:val="006C0EC0"/>
    <w:rsid w:val="006D03B6"/>
    <w:rsid w:val="006E1FAC"/>
    <w:rsid w:val="006F2439"/>
    <w:rsid w:val="006F48F7"/>
    <w:rsid w:val="00703194"/>
    <w:rsid w:val="00705878"/>
    <w:rsid w:val="007114D4"/>
    <w:rsid w:val="007145F1"/>
    <w:rsid w:val="007234F6"/>
    <w:rsid w:val="00736024"/>
    <w:rsid w:val="007402D9"/>
    <w:rsid w:val="00747E6D"/>
    <w:rsid w:val="00750BC3"/>
    <w:rsid w:val="00762695"/>
    <w:rsid w:val="0076449E"/>
    <w:rsid w:val="0076720F"/>
    <w:rsid w:val="007722CE"/>
    <w:rsid w:val="007852AF"/>
    <w:rsid w:val="007869BD"/>
    <w:rsid w:val="00792205"/>
    <w:rsid w:val="00794687"/>
    <w:rsid w:val="007A0640"/>
    <w:rsid w:val="007A2297"/>
    <w:rsid w:val="007A3907"/>
    <w:rsid w:val="007B0910"/>
    <w:rsid w:val="007B4563"/>
    <w:rsid w:val="007B4FCE"/>
    <w:rsid w:val="007D1193"/>
    <w:rsid w:val="007D1537"/>
    <w:rsid w:val="007D345E"/>
    <w:rsid w:val="007E4081"/>
    <w:rsid w:val="007F19CD"/>
    <w:rsid w:val="007F3622"/>
    <w:rsid w:val="008027AB"/>
    <w:rsid w:val="00804A7F"/>
    <w:rsid w:val="00805953"/>
    <w:rsid w:val="0081231C"/>
    <w:rsid w:val="008137ED"/>
    <w:rsid w:val="0081748A"/>
    <w:rsid w:val="008259E1"/>
    <w:rsid w:val="00830048"/>
    <w:rsid w:val="008300C2"/>
    <w:rsid w:val="00831A51"/>
    <w:rsid w:val="00831DDC"/>
    <w:rsid w:val="0083264D"/>
    <w:rsid w:val="008352B5"/>
    <w:rsid w:val="0083794E"/>
    <w:rsid w:val="00837DD9"/>
    <w:rsid w:val="00840134"/>
    <w:rsid w:val="00843FE8"/>
    <w:rsid w:val="00853BF1"/>
    <w:rsid w:val="00854E3A"/>
    <w:rsid w:val="00857F94"/>
    <w:rsid w:val="008640FB"/>
    <w:rsid w:val="00864675"/>
    <w:rsid w:val="008654EF"/>
    <w:rsid w:val="00871979"/>
    <w:rsid w:val="00874D15"/>
    <w:rsid w:val="00875BE3"/>
    <w:rsid w:val="008770FE"/>
    <w:rsid w:val="0089713D"/>
    <w:rsid w:val="00897DF3"/>
    <w:rsid w:val="008A1660"/>
    <w:rsid w:val="008B1CE8"/>
    <w:rsid w:val="008B503D"/>
    <w:rsid w:val="008B79F6"/>
    <w:rsid w:val="008B7FB2"/>
    <w:rsid w:val="008C2E59"/>
    <w:rsid w:val="008C3EB1"/>
    <w:rsid w:val="008D5532"/>
    <w:rsid w:val="008D5604"/>
    <w:rsid w:val="008D6BB7"/>
    <w:rsid w:val="008D7285"/>
    <w:rsid w:val="008D7750"/>
    <w:rsid w:val="008E2EDD"/>
    <w:rsid w:val="008E7263"/>
    <w:rsid w:val="008E7BB2"/>
    <w:rsid w:val="008F0C39"/>
    <w:rsid w:val="008F5953"/>
    <w:rsid w:val="0090057D"/>
    <w:rsid w:val="00901A30"/>
    <w:rsid w:val="0091258F"/>
    <w:rsid w:val="0091304E"/>
    <w:rsid w:val="009224B2"/>
    <w:rsid w:val="009260AB"/>
    <w:rsid w:val="0092763D"/>
    <w:rsid w:val="00932B0B"/>
    <w:rsid w:val="00936F31"/>
    <w:rsid w:val="00946857"/>
    <w:rsid w:val="00951BD3"/>
    <w:rsid w:val="00963CB2"/>
    <w:rsid w:val="00977F89"/>
    <w:rsid w:val="009800EB"/>
    <w:rsid w:val="0098129B"/>
    <w:rsid w:val="00981B19"/>
    <w:rsid w:val="009821EF"/>
    <w:rsid w:val="00984FA3"/>
    <w:rsid w:val="00987226"/>
    <w:rsid w:val="0099230C"/>
    <w:rsid w:val="009943DF"/>
    <w:rsid w:val="009A1375"/>
    <w:rsid w:val="009B1725"/>
    <w:rsid w:val="009B7501"/>
    <w:rsid w:val="009C0410"/>
    <w:rsid w:val="009C089D"/>
    <w:rsid w:val="009C6D8F"/>
    <w:rsid w:val="009D2A31"/>
    <w:rsid w:val="009D32F6"/>
    <w:rsid w:val="009D3DEE"/>
    <w:rsid w:val="009E075D"/>
    <w:rsid w:val="009E49B1"/>
    <w:rsid w:val="009E7CAD"/>
    <w:rsid w:val="009E7F5A"/>
    <w:rsid w:val="009F7A95"/>
    <w:rsid w:val="00A03857"/>
    <w:rsid w:val="00A050D2"/>
    <w:rsid w:val="00A07C44"/>
    <w:rsid w:val="00A12C85"/>
    <w:rsid w:val="00A12E5B"/>
    <w:rsid w:val="00A13AFC"/>
    <w:rsid w:val="00A20DC0"/>
    <w:rsid w:val="00A23920"/>
    <w:rsid w:val="00A2566C"/>
    <w:rsid w:val="00A3091F"/>
    <w:rsid w:val="00A32872"/>
    <w:rsid w:val="00A35B6B"/>
    <w:rsid w:val="00A42563"/>
    <w:rsid w:val="00A4305B"/>
    <w:rsid w:val="00A43F1D"/>
    <w:rsid w:val="00A53A2B"/>
    <w:rsid w:val="00A54A01"/>
    <w:rsid w:val="00A54AA4"/>
    <w:rsid w:val="00A57859"/>
    <w:rsid w:val="00A57F1C"/>
    <w:rsid w:val="00A61C91"/>
    <w:rsid w:val="00A61E49"/>
    <w:rsid w:val="00A65A8C"/>
    <w:rsid w:val="00A66664"/>
    <w:rsid w:val="00A74D2A"/>
    <w:rsid w:val="00A7638B"/>
    <w:rsid w:val="00A80D2E"/>
    <w:rsid w:val="00A844C3"/>
    <w:rsid w:val="00A8497C"/>
    <w:rsid w:val="00A85BDD"/>
    <w:rsid w:val="00A909E3"/>
    <w:rsid w:val="00A90D6C"/>
    <w:rsid w:val="00AA4554"/>
    <w:rsid w:val="00AA566E"/>
    <w:rsid w:val="00AA7E9B"/>
    <w:rsid w:val="00AB2773"/>
    <w:rsid w:val="00AC5D78"/>
    <w:rsid w:val="00AD15FE"/>
    <w:rsid w:val="00AD39C2"/>
    <w:rsid w:val="00AD4952"/>
    <w:rsid w:val="00AD6048"/>
    <w:rsid w:val="00AE0E2C"/>
    <w:rsid w:val="00AE1254"/>
    <w:rsid w:val="00AE2A5E"/>
    <w:rsid w:val="00AE5087"/>
    <w:rsid w:val="00AE6C71"/>
    <w:rsid w:val="00AF5006"/>
    <w:rsid w:val="00AF739D"/>
    <w:rsid w:val="00B0208A"/>
    <w:rsid w:val="00B03300"/>
    <w:rsid w:val="00B058AE"/>
    <w:rsid w:val="00B11DBD"/>
    <w:rsid w:val="00B16A39"/>
    <w:rsid w:val="00B17451"/>
    <w:rsid w:val="00B2388F"/>
    <w:rsid w:val="00B2467A"/>
    <w:rsid w:val="00B24E5D"/>
    <w:rsid w:val="00B25843"/>
    <w:rsid w:val="00B31B83"/>
    <w:rsid w:val="00B324EC"/>
    <w:rsid w:val="00B333F9"/>
    <w:rsid w:val="00B344F8"/>
    <w:rsid w:val="00B3783A"/>
    <w:rsid w:val="00B473F9"/>
    <w:rsid w:val="00B47CEE"/>
    <w:rsid w:val="00B506A0"/>
    <w:rsid w:val="00B5591A"/>
    <w:rsid w:val="00B559C2"/>
    <w:rsid w:val="00B57324"/>
    <w:rsid w:val="00B61F4E"/>
    <w:rsid w:val="00B63172"/>
    <w:rsid w:val="00B8457C"/>
    <w:rsid w:val="00B868E1"/>
    <w:rsid w:val="00B86EE4"/>
    <w:rsid w:val="00B9539E"/>
    <w:rsid w:val="00BA24F9"/>
    <w:rsid w:val="00BA4DCE"/>
    <w:rsid w:val="00BA6700"/>
    <w:rsid w:val="00BA711F"/>
    <w:rsid w:val="00BB5880"/>
    <w:rsid w:val="00BC04AB"/>
    <w:rsid w:val="00BC4291"/>
    <w:rsid w:val="00BC45C6"/>
    <w:rsid w:val="00BC7FB9"/>
    <w:rsid w:val="00BD0562"/>
    <w:rsid w:val="00BD0FF3"/>
    <w:rsid w:val="00BD47E6"/>
    <w:rsid w:val="00BE2848"/>
    <w:rsid w:val="00BE3DE0"/>
    <w:rsid w:val="00BE6400"/>
    <w:rsid w:val="00BF2E30"/>
    <w:rsid w:val="00BF3833"/>
    <w:rsid w:val="00BF3BFD"/>
    <w:rsid w:val="00BF54C6"/>
    <w:rsid w:val="00C06AAB"/>
    <w:rsid w:val="00C115DD"/>
    <w:rsid w:val="00C119F4"/>
    <w:rsid w:val="00C12417"/>
    <w:rsid w:val="00C12F73"/>
    <w:rsid w:val="00C1352A"/>
    <w:rsid w:val="00C14291"/>
    <w:rsid w:val="00C161B9"/>
    <w:rsid w:val="00C22957"/>
    <w:rsid w:val="00C2793B"/>
    <w:rsid w:val="00C33BBF"/>
    <w:rsid w:val="00C34CDB"/>
    <w:rsid w:val="00C43E0E"/>
    <w:rsid w:val="00C44841"/>
    <w:rsid w:val="00C44F7C"/>
    <w:rsid w:val="00C51962"/>
    <w:rsid w:val="00C539E4"/>
    <w:rsid w:val="00C56397"/>
    <w:rsid w:val="00C6078B"/>
    <w:rsid w:val="00C67BC6"/>
    <w:rsid w:val="00C70E81"/>
    <w:rsid w:val="00C7426D"/>
    <w:rsid w:val="00C7448B"/>
    <w:rsid w:val="00C747DD"/>
    <w:rsid w:val="00C74C7B"/>
    <w:rsid w:val="00C772B9"/>
    <w:rsid w:val="00C809AB"/>
    <w:rsid w:val="00C81E5C"/>
    <w:rsid w:val="00C91502"/>
    <w:rsid w:val="00CA06A2"/>
    <w:rsid w:val="00CA129C"/>
    <w:rsid w:val="00CA430D"/>
    <w:rsid w:val="00CA4795"/>
    <w:rsid w:val="00CA6B23"/>
    <w:rsid w:val="00CB25C2"/>
    <w:rsid w:val="00CB440C"/>
    <w:rsid w:val="00CC4198"/>
    <w:rsid w:val="00CD7157"/>
    <w:rsid w:val="00CE2497"/>
    <w:rsid w:val="00CF0F62"/>
    <w:rsid w:val="00D132A7"/>
    <w:rsid w:val="00D167B8"/>
    <w:rsid w:val="00D1734A"/>
    <w:rsid w:val="00D4361D"/>
    <w:rsid w:val="00D45F38"/>
    <w:rsid w:val="00D547B4"/>
    <w:rsid w:val="00D62B6B"/>
    <w:rsid w:val="00D708BA"/>
    <w:rsid w:val="00D7380F"/>
    <w:rsid w:val="00D741C1"/>
    <w:rsid w:val="00D7640C"/>
    <w:rsid w:val="00D83D86"/>
    <w:rsid w:val="00D863CA"/>
    <w:rsid w:val="00D90352"/>
    <w:rsid w:val="00D906F0"/>
    <w:rsid w:val="00D911A5"/>
    <w:rsid w:val="00D91292"/>
    <w:rsid w:val="00D94405"/>
    <w:rsid w:val="00DA5E69"/>
    <w:rsid w:val="00DB512E"/>
    <w:rsid w:val="00DB597D"/>
    <w:rsid w:val="00DB79F3"/>
    <w:rsid w:val="00DD40A1"/>
    <w:rsid w:val="00DE708B"/>
    <w:rsid w:val="00DE7D2E"/>
    <w:rsid w:val="00DF075D"/>
    <w:rsid w:val="00DF21A1"/>
    <w:rsid w:val="00DF40E9"/>
    <w:rsid w:val="00E0066A"/>
    <w:rsid w:val="00E0079D"/>
    <w:rsid w:val="00E0316D"/>
    <w:rsid w:val="00E034E7"/>
    <w:rsid w:val="00E03771"/>
    <w:rsid w:val="00E05A09"/>
    <w:rsid w:val="00E06AD7"/>
    <w:rsid w:val="00E07840"/>
    <w:rsid w:val="00E120AA"/>
    <w:rsid w:val="00E1339F"/>
    <w:rsid w:val="00E177F3"/>
    <w:rsid w:val="00E17DCE"/>
    <w:rsid w:val="00E36F81"/>
    <w:rsid w:val="00E403B6"/>
    <w:rsid w:val="00E422B4"/>
    <w:rsid w:val="00E42ECD"/>
    <w:rsid w:val="00E463B3"/>
    <w:rsid w:val="00E47438"/>
    <w:rsid w:val="00E47539"/>
    <w:rsid w:val="00E51B34"/>
    <w:rsid w:val="00E610DC"/>
    <w:rsid w:val="00E6415B"/>
    <w:rsid w:val="00E65D11"/>
    <w:rsid w:val="00E6670F"/>
    <w:rsid w:val="00E67404"/>
    <w:rsid w:val="00E74760"/>
    <w:rsid w:val="00E760BB"/>
    <w:rsid w:val="00E8749A"/>
    <w:rsid w:val="00E93964"/>
    <w:rsid w:val="00E93FD9"/>
    <w:rsid w:val="00EA04DD"/>
    <w:rsid w:val="00EA170A"/>
    <w:rsid w:val="00EA3174"/>
    <w:rsid w:val="00EB31FC"/>
    <w:rsid w:val="00EB687C"/>
    <w:rsid w:val="00EB7A10"/>
    <w:rsid w:val="00EC309A"/>
    <w:rsid w:val="00ED0BDD"/>
    <w:rsid w:val="00EE07D7"/>
    <w:rsid w:val="00EE1364"/>
    <w:rsid w:val="00EF1CDC"/>
    <w:rsid w:val="00EF2904"/>
    <w:rsid w:val="00EF75D5"/>
    <w:rsid w:val="00F02D16"/>
    <w:rsid w:val="00F30A26"/>
    <w:rsid w:val="00F320BE"/>
    <w:rsid w:val="00F411D7"/>
    <w:rsid w:val="00F4278E"/>
    <w:rsid w:val="00F46BC5"/>
    <w:rsid w:val="00F575BA"/>
    <w:rsid w:val="00F60245"/>
    <w:rsid w:val="00F66E21"/>
    <w:rsid w:val="00F7320C"/>
    <w:rsid w:val="00F735A0"/>
    <w:rsid w:val="00F807C7"/>
    <w:rsid w:val="00F823E1"/>
    <w:rsid w:val="00F8693F"/>
    <w:rsid w:val="00F92198"/>
    <w:rsid w:val="00F936DB"/>
    <w:rsid w:val="00FA1A7A"/>
    <w:rsid w:val="00FA3951"/>
    <w:rsid w:val="00FA52BE"/>
    <w:rsid w:val="00FA55F9"/>
    <w:rsid w:val="00FB4555"/>
    <w:rsid w:val="00FB7042"/>
    <w:rsid w:val="00FC0227"/>
    <w:rsid w:val="00FC02C1"/>
    <w:rsid w:val="00FC41C3"/>
    <w:rsid w:val="00FE7B41"/>
    <w:rsid w:val="00FF3DE4"/>
    <w:rsid w:val="00FF5151"/>
    <w:rsid w:val="01071DAB"/>
    <w:rsid w:val="010C5E9A"/>
    <w:rsid w:val="017317EF"/>
    <w:rsid w:val="01736734"/>
    <w:rsid w:val="01A44152"/>
    <w:rsid w:val="01E45F9B"/>
    <w:rsid w:val="02116D77"/>
    <w:rsid w:val="023C0CB2"/>
    <w:rsid w:val="02854FC4"/>
    <w:rsid w:val="028A20FC"/>
    <w:rsid w:val="029933B0"/>
    <w:rsid w:val="02AB3135"/>
    <w:rsid w:val="02AD1B01"/>
    <w:rsid w:val="03AE47DF"/>
    <w:rsid w:val="03D406B8"/>
    <w:rsid w:val="03D97712"/>
    <w:rsid w:val="03E85B8B"/>
    <w:rsid w:val="04005CDB"/>
    <w:rsid w:val="04134298"/>
    <w:rsid w:val="0436209D"/>
    <w:rsid w:val="04475442"/>
    <w:rsid w:val="046763C8"/>
    <w:rsid w:val="047A69CA"/>
    <w:rsid w:val="0495240D"/>
    <w:rsid w:val="049E5F7E"/>
    <w:rsid w:val="04C3001C"/>
    <w:rsid w:val="04CD3C12"/>
    <w:rsid w:val="05135FBC"/>
    <w:rsid w:val="051618E9"/>
    <w:rsid w:val="051C244C"/>
    <w:rsid w:val="05213D6B"/>
    <w:rsid w:val="05761AB2"/>
    <w:rsid w:val="05960708"/>
    <w:rsid w:val="05DE1FA9"/>
    <w:rsid w:val="05FC61A3"/>
    <w:rsid w:val="061542C4"/>
    <w:rsid w:val="062E6874"/>
    <w:rsid w:val="0634525E"/>
    <w:rsid w:val="06813ABB"/>
    <w:rsid w:val="068416F2"/>
    <w:rsid w:val="06AB3F57"/>
    <w:rsid w:val="06D2392A"/>
    <w:rsid w:val="06E204BA"/>
    <w:rsid w:val="06FE605E"/>
    <w:rsid w:val="073D06A9"/>
    <w:rsid w:val="07414BE9"/>
    <w:rsid w:val="0776082F"/>
    <w:rsid w:val="07765731"/>
    <w:rsid w:val="077F3892"/>
    <w:rsid w:val="08071136"/>
    <w:rsid w:val="08403A81"/>
    <w:rsid w:val="08723FB4"/>
    <w:rsid w:val="088B746C"/>
    <w:rsid w:val="089E3A04"/>
    <w:rsid w:val="09110CA9"/>
    <w:rsid w:val="091C7BFC"/>
    <w:rsid w:val="091F62E2"/>
    <w:rsid w:val="09435F16"/>
    <w:rsid w:val="095B4058"/>
    <w:rsid w:val="097E1BBA"/>
    <w:rsid w:val="09824CCD"/>
    <w:rsid w:val="09A42D76"/>
    <w:rsid w:val="09AC38F3"/>
    <w:rsid w:val="09AC72BE"/>
    <w:rsid w:val="09EA5723"/>
    <w:rsid w:val="09F22972"/>
    <w:rsid w:val="09FB38FC"/>
    <w:rsid w:val="0A1C2B88"/>
    <w:rsid w:val="0A282DC6"/>
    <w:rsid w:val="0A2A3C42"/>
    <w:rsid w:val="0ADA2327"/>
    <w:rsid w:val="0AE34EFE"/>
    <w:rsid w:val="0AF13716"/>
    <w:rsid w:val="0AFD0547"/>
    <w:rsid w:val="0B095EDC"/>
    <w:rsid w:val="0B1772BC"/>
    <w:rsid w:val="0B817976"/>
    <w:rsid w:val="0B952A3A"/>
    <w:rsid w:val="0BC61B5C"/>
    <w:rsid w:val="0BC8075C"/>
    <w:rsid w:val="0BCB3E77"/>
    <w:rsid w:val="0BDD2A1E"/>
    <w:rsid w:val="0BFC1305"/>
    <w:rsid w:val="0C0543EF"/>
    <w:rsid w:val="0C062AE4"/>
    <w:rsid w:val="0C53354A"/>
    <w:rsid w:val="0C9B5B93"/>
    <w:rsid w:val="0CB67759"/>
    <w:rsid w:val="0CE67DDB"/>
    <w:rsid w:val="0CE825A7"/>
    <w:rsid w:val="0D3C6CFE"/>
    <w:rsid w:val="0DA15E73"/>
    <w:rsid w:val="0DB9663C"/>
    <w:rsid w:val="0DC532A9"/>
    <w:rsid w:val="0DCA1952"/>
    <w:rsid w:val="0E4172A2"/>
    <w:rsid w:val="0E951160"/>
    <w:rsid w:val="0EA4703E"/>
    <w:rsid w:val="0F55330C"/>
    <w:rsid w:val="0F7F0D3D"/>
    <w:rsid w:val="0FA02853"/>
    <w:rsid w:val="10205067"/>
    <w:rsid w:val="1021038A"/>
    <w:rsid w:val="106E775B"/>
    <w:rsid w:val="10764E16"/>
    <w:rsid w:val="10A01B6E"/>
    <w:rsid w:val="10B35629"/>
    <w:rsid w:val="110A6008"/>
    <w:rsid w:val="116C5E36"/>
    <w:rsid w:val="11A4040E"/>
    <w:rsid w:val="11A52587"/>
    <w:rsid w:val="11B64022"/>
    <w:rsid w:val="11C62951"/>
    <w:rsid w:val="11DA6BDB"/>
    <w:rsid w:val="11E301CB"/>
    <w:rsid w:val="11E32A0E"/>
    <w:rsid w:val="121357D2"/>
    <w:rsid w:val="123F1560"/>
    <w:rsid w:val="12557442"/>
    <w:rsid w:val="128319BA"/>
    <w:rsid w:val="12DD6C55"/>
    <w:rsid w:val="13103AA6"/>
    <w:rsid w:val="13786D24"/>
    <w:rsid w:val="13B47467"/>
    <w:rsid w:val="13CE7FBF"/>
    <w:rsid w:val="13F91C3B"/>
    <w:rsid w:val="1413274C"/>
    <w:rsid w:val="142A7EF5"/>
    <w:rsid w:val="14345ECC"/>
    <w:rsid w:val="144E188F"/>
    <w:rsid w:val="145C231B"/>
    <w:rsid w:val="1472205C"/>
    <w:rsid w:val="14977738"/>
    <w:rsid w:val="154A1DCE"/>
    <w:rsid w:val="157B0F4B"/>
    <w:rsid w:val="15976E86"/>
    <w:rsid w:val="15AC0FA8"/>
    <w:rsid w:val="15BD4F10"/>
    <w:rsid w:val="15C2159A"/>
    <w:rsid w:val="15C67F79"/>
    <w:rsid w:val="15C70AD7"/>
    <w:rsid w:val="15E96EBC"/>
    <w:rsid w:val="15F31E04"/>
    <w:rsid w:val="16006987"/>
    <w:rsid w:val="16124D3B"/>
    <w:rsid w:val="16223A97"/>
    <w:rsid w:val="1644565D"/>
    <w:rsid w:val="166002CD"/>
    <w:rsid w:val="16C43730"/>
    <w:rsid w:val="16E46D5F"/>
    <w:rsid w:val="16F40C6A"/>
    <w:rsid w:val="171346EE"/>
    <w:rsid w:val="173E25F4"/>
    <w:rsid w:val="175B6AFB"/>
    <w:rsid w:val="178B6F5F"/>
    <w:rsid w:val="17BE00C9"/>
    <w:rsid w:val="17C15961"/>
    <w:rsid w:val="181559B1"/>
    <w:rsid w:val="188E2B58"/>
    <w:rsid w:val="189C46CA"/>
    <w:rsid w:val="18F901AB"/>
    <w:rsid w:val="193A605E"/>
    <w:rsid w:val="1941587E"/>
    <w:rsid w:val="19551B59"/>
    <w:rsid w:val="195F4966"/>
    <w:rsid w:val="19936F7A"/>
    <w:rsid w:val="19BD26C4"/>
    <w:rsid w:val="1A2972A4"/>
    <w:rsid w:val="1A375F6A"/>
    <w:rsid w:val="1A8B3B25"/>
    <w:rsid w:val="1AA44B0B"/>
    <w:rsid w:val="1AB843EC"/>
    <w:rsid w:val="1AD030B6"/>
    <w:rsid w:val="1AD83127"/>
    <w:rsid w:val="1ADD2767"/>
    <w:rsid w:val="1AEF0318"/>
    <w:rsid w:val="1B064283"/>
    <w:rsid w:val="1B205CA4"/>
    <w:rsid w:val="1B2C3153"/>
    <w:rsid w:val="1B3107EB"/>
    <w:rsid w:val="1B844D9B"/>
    <w:rsid w:val="1B8B5924"/>
    <w:rsid w:val="1B982347"/>
    <w:rsid w:val="1BA62CFD"/>
    <w:rsid w:val="1BDA5E84"/>
    <w:rsid w:val="1BF17AF8"/>
    <w:rsid w:val="1C5B00A6"/>
    <w:rsid w:val="1C7F3291"/>
    <w:rsid w:val="1C96461C"/>
    <w:rsid w:val="1CA06882"/>
    <w:rsid w:val="1CE23ECF"/>
    <w:rsid w:val="1CF26A47"/>
    <w:rsid w:val="1CFA038B"/>
    <w:rsid w:val="1CFC2B79"/>
    <w:rsid w:val="1CFC3265"/>
    <w:rsid w:val="1D130BBE"/>
    <w:rsid w:val="1D424C6C"/>
    <w:rsid w:val="1DBE6917"/>
    <w:rsid w:val="1DE76D65"/>
    <w:rsid w:val="1DFE4AC7"/>
    <w:rsid w:val="1E247944"/>
    <w:rsid w:val="1E2A53AB"/>
    <w:rsid w:val="1E2E46E3"/>
    <w:rsid w:val="1E480338"/>
    <w:rsid w:val="1E751927"/>
    <w:rsid w:val="1E882155"/>
    <w:rsid w:val="1E9A6158"/>
    <w:rsid w:val="1EBC6BBB"/>
    <w:rsid w:val="1EC817D1"/>
    <w:rsid w:val="1EC9385A"/>
    <w:rsid w:val="1EEA4784"/>
    <w:rsid w:val="1EEB5C18"/>
    <w:rsid w:val="1F0439B8"/>
    <w:rsid w:val="1F5B6B5F"/>
    <w:rsid w:val="1F6461DE"/>
    <w:rsid w:val="1FC2348C"/>
    <w:rsid w:val="1FFC6614"/>
    <w:rsid w:val="2016267B"/>
    <w:rsid w:val="203743E4"/>
    <w:rsid w:val="203810B1"/>
    <w:rsid w:val="203E0AFC"/>
    <w:rsid w:val="204A281C"/>
    <w:rsid w:val="206B10D7"/>
    <w:rsid w:val="20C60FA4"/>
    <w:rsid w:val="20CD1747"/>
    <w:rsid w:val="20DD5544"/>
    <w:rsid w:val="214C0FD7"/>
    <w:rsid w:val="215632C4"/>
    <w:rsid w:val="215F0F58"/>
    <w:rsid w:val="21BF6AD2"/>
    <w:rsid w:val="21E507EA"/>
    <w:rsid w:val="21F0261F"/>
    <w:rsid w:val="22150532"/>
    <w:rsid w:val="225366C4"/>
    <w:rsid w:val="22621597"/>
    <w:rsid w:val="226774AE"/>
    <w:rsid w:val="22751CE2"/>
    <w:rsid w:val="228F1148"/>
    <w:rsid w:val="229628BF"/>
    <w:rsid w:val="22B762EB"/>
    <w:rsid w:val="22DD249A"/>
    <w:rsid w:val="22FC6EA3"/>
    <w:rsid w:val="2314294A"/>
    <w:rsid w:val="23430ED2"/>
    <w:rsid w:val="234F5CE5"/>
    <w:rsid w:val="235A7184"/>
    <w:rsid w:val="23856A56"/>
    <w:rsid w:val="238A50D3"/>
    <w:rsid w:val="23B0151F"/>
    <w:rsid w:val="23E139E7"/>
    <w:rsid w:val="240A6485"/>
    <w:rsid w:val="247D3D05"/>
    <w:rsid w:val="24E60BF5"/>
    <w:rsid w:val="24FB1852"/>
    <w:rsid w:val="25575D93"/>
    <w:rsid w:val="25876BF1"/>
    <w:rsid w:val="25EA6DAB"/>
    <w:rsid w:val="26066270"/>
    <w:rsid w:val="26460DFC"/>
    <w:rsid w:val="26485134"/>
    <w:rsid w:val="26635C9B"/>
    <w:rsid w:val="26A031DD"/>
    <w:rsid w:val="26C30FE7"/>
    <w:rsid w:val="270458FC"/>
    <w:rsid w:val="27070F3E"/>
    <w:rsid w:val="27706CE2"/>
    <w:rsid w:val="277A2263"/>
    <w:rsid w:val="27ED6133"/>
    <w:rsid w:val="2801691E"/>
    <w:rsid w:val="28016BD2"/>
    <w:rsid w:val="28017E56"/>
    <w:rsid w:val="281065DB"/>
    <w:rsid w:val="28677BD7"/>
    <w:rsid w:val="28A42483"/>
    <w:rsid w:val="28C21E77"/>
    <w:rsid w:val="28CE4FDC"/>
    <w:rsid w:val="291A31D2"/>
    <w:rsid w:val="292E3C66"/>
    <w:rsid w:val="295402E8"/>
    <w:rsid w:val="2970704E"/>
    <w:rsid w:val="299B141D"/>
    <w:rsid w:val="29B1316D"/>
    <w:rsid w:val="29B30461"/>
    <w:rsid w:val="29D60648"/>
    <w:rsid w:val="29FB6FF0"/>
    <w:rsid w:val="2A8B5620"/>
    <w:rsid w:val="2A972838"/>
    <w:rsid w:val="2AC03A64"/>
    <w:rsid w:val="2AC3230D"/>
    <w:rsid w:val="2AC9794F"/>
    <w:rsid w:val="2ACC5113"/>
    <w:rsid w:val="2B162050"/>
    <w:rsid w:val="2B460F81"/>
    <w:rsid w:val="2BCE78D5"/>
    <w:rsid w:val="2BD07AE6"/>
    <w:rsid w:val="2BD22A9D"/>
    <w:rsid w:val="2BDC2838"/>
    <w:rsid w:val="2BF0133B"/>
    <w:rsid w:val="2BFF18B7"/>
    <w:rsid w:val="2C4B3A25"/>
    <w:rsid w:val="2C5E2DB4"/>
    <w:rsid w:val="2C711547"/>
    <w:rsid w:val="2C712E3B"/>
    <w:rsid w:val="2CA92205"/>
    <w:rsid w:val="2CBF7B7E"/>
    <w:rsid w:val="2CC07E25"/>
    <w:rsid w:val="2CCF6BF3"/>
    <w:rsid w:val="2CD21C32"/>
    <w:rsid w:val="2CE13057"/>
    <w:rsid w:val="2CEA5805"/>
    <w:rsid w:val="2D07445C"/>
    <w:rsid w:val="2D1C36E1"/>
    <w:rsid w:val="2D200186"/>
    <w:rsid w:val="2D82383F"/>
    <w:rsid w:val="2D9E34FE"/>
    <w:rsid w:val="2DB01F49"/>
    <w:rsid w:val="2DC27331"/>
    <w:rsid w:val="2DE0465B"/>
    <w:rsid w:val="2E227EAC"/>
    <w:rsid w:val="2E292E14"/>
    <w:rsid w:val="2E40177D"/>
    <w:rsid w:val="2E480018"/>
    <w:rsid w:val="2E4B3CC0"/>
    <w:rsid w:val="2E9A30DF"/>
    <w:rsid w:val="2F116B6A"/>
    <w:rsid w:val="2F137B6C"/>
    <w:rsid w:val="2F1C0ABC"/>
    <w:rsid w:val="2F6F0DD2"/>
    <w:rsid w:val="2F734DBA"/>
    <w:rsid w:val="2F864DB6"/>
    <w:rsid w:val="2F9A3C45"/>
    <w:rsid w:val="2FA53187"/>
    <w:rsid w:val="2FC3240C"/>
    <w:rsid w:val="2FC418DA"/>
    <w:rsid w:val="2FC8649C"/>
    <w:rsid w:val="30197EE7"/>
    <w:rsid w:val="301C778A"/>
    <w:rsid w:val="30523053"/>
    <w:rsid w:val="3066636C"/>
    <w:rsid w:val="306C1E46"/>
    <w:rsid w:val="30C43082"/>
    <w:rsid w:val="30C87F8B"/>
    <w:rsid w:val="30F113D4"/>
    <w:rsid w:val="30FC697C"/>
    <w:rsid w:val="3125060F"/>
    <w:rsid w:val="316E12B7"/>
    <w:rsid w:val="31F83AF4"/>
    <w:rsid w:val="323D614E"/>
    <w:rsid w:val="327B5D94"/>
    <w:rsid w:val="328914F0"/>
    <w:rsid w:val="32D61556"/>
    <w:rsid w:val="32F374ED"/>
    <w:rsid w:val="32F763F7"/>
    <w:rsid w:val="33000B4D"/>
    <w:rsid w:val="33104873"/>
    <w:rsid w:val="331F0579"/>
    <w:rsid w:val="332A767A"/>
    <w:rsid w:val="332B2C37"/>
    <w:rsid w:val="3335518E"/>
    <w:rsid w:val="33914F31"/>
    <w:rsid w:val="33A40577"/>
    <w:rsid w:val="33D64E40"/>
    <w:rsid w:val="33D666E0"/>
    <w:rsid w:val="33ED16C0"/>
    <w:rsid w:val="33F259D3"/>
    <w:rsid w:val="34024803"/>
    <w:rsid w:val="341C28F8"/>
    <w:rsid w:val="341E46C7"/>
    <w:rsid w:val="34434F55"/>
    <w:rsid w:val="34884CA1"/>
    <w:rsid w:val="34885E83"/>
    <w:rsid w:val="34AD1835"/>
    <w:rsid w:val="34B97038"/>
    <w:rsid w:val="34C82B1B"/>
    <w:rsid w:val="34DF0FD5"/>
    <w:rsid w:val="34E75972"/>
    <w:rsid w:val="34FA6DF6"/>
    <w:rsid w:val="3529162A"/>
    <w:rsid w:val="35347296"/>
    <w:rsid w:val="35452685"/>
    <w:rsid w:val="355B679E"/>
    <w:rsid w:val="358112BF"/>
    <w:rsid w:val="35934AB9"/>
    <w:rsid w:val="360A6DB8"/>
    <w:rsid w:val="36630EC6"/>
    <w:rsid w:val="367C580F"/>
    <w:rsid w:val="36852A77"/>
    <w:rsid w:val="368C557B"/>
    <w:rsid w:val="36CD57DE"/>
    <w:rsid w:val="37257561"/>
    <w:rsid w:val="375A4111"/>
    <w:rsid w:val="379060A7"/>
    <w:rsid w:val="37A5228E"/>
    <w:rsid w:val="37A8035F"/>
    <w:rsid w:val="37B46A10"/>
    <w:rsid w:val="37C611F8"/>
    <w:rsid w:val="37D90551"/>
    <w:rsid w:val="37F6747D"/>
    <w:rsid w:val="37F762F0"/>
    <w:rsid w:val="38217D65"/>
    <w:rsid w:val="3827125F"/>
    <w:rsid w:val="38495771"/>
    <w:rsid w:val="38497F54"/>
    <w:rsid w:val="3868025C"/>
    <w:rsid w:val="386D23A9"/>
    <w:rsid w:val="388B76F5"/>
    <w:rsid w:val="3892252C"/>
    <w:rsid w:val="38CF5B18"/>
    <w:rsid w:val="38D12505"/>
    <w:rsid w:val="38EE353D"/>
    <w:rsid w:val="38F71BB9"/>
    <w:rsid w:val="393974C6"/>
    <w:rsid w:val="394A12A7"/>
    <w:rsid w:val="394E711A"/>
    <w:rsid w:val="398C389F"/>
    <w:rsid w:val="39977C02"/>
    <w:rsid w:val="39CD5909"/>
    <w:rsid w:val="39CF69AF"/>
    <w:rsid w:val="3A102854"/>
    <w:rsid w:val="3A9558E4"/>
    <w:rsid w:val="3A985977"/>
    <w:rsid w:val="3AAE41BD"/>
    <w:rsid w:val="3B151ED4"/>
    <w:rsid w:val="3B251795"/>
    <w:rsid w:val="3B3303E7"/>
    <w:rsid w:val="3B756326"/>
    <w:rsid w:val="3B9B734E"/>
    <w:rsid w:val="3B9D5024"/>
    <w:rsid w:val="3C432C6F"/>
    <w:rsid w:val="3C480F47"/>
    <w:rsid w:val="3C5956CB"/>
    <w:rsid w:val="3CC267F7"/>
    <w:rsid w:val="3CD752CF"/>
    <w:rsid w:val="3CE0402F"/>
    <w:rsid w:val="3D9B0AD0"/>
    <w:rsid w:val="3DA61600"/>
    <w:rsid w:val="3DBF2DB0"/>
    <w:rsid w:val="3DD443C9"/>
    <w:rsid w:val="3DFE23F3"/>
    <w:rsid w:val="3E2D480D"/>
    <w:rsid w:val="3E4D101E"/>
    <w:rsid w:val="3EAF30DC"/>
    <w:rsid w:val="3F327EBB"/>
    <w:rsid w:val="3F4804F8"/>
    <w:rsid w:val="3F6428EB"/>
    <w:rsid w:val="3FB9125F"/>
    <w:rsid w:val="3FC20919"/>
    <w:rsid w:val="3FEE5CF7"/>
    <w:rsid w:val="3FFE7C7C"/>
    <w:rsid w:val="400E64A0"/>
    <w:rsid w:val="401F6432"/>
    <w:rsid w:val="402066CB"/>
    <w:rsid w:val="403B1F3C"/>
    <w:rsid w:val="40492F9A"/>
    <w:rsid w:val="404969C2"/>
    <w:rsid w:val="404E7EE0"/>
    <w:rsid w:val="408872D0"/>
    <w:rsid w:val="409D36D5"/>
    <w:rsid w:val="40D57E80"/>
    <w:rsid w:val="40EF51FA"/>
    <w:rsid w:val="41042461"/>
    <w:rsid w:val="410E0F2E"/>
    <w:rsid w:val="411744FA"/>
    <w:rsid w:val="41531072"/>
    <w:rsid w:val="416E3C31"/>
    <w:rsid w:val="41985B14"/>
    <w:rsid w:val="41A618B2"/>
    <w:rsid w:val="420A2350"/>
    <w:rsid w:val="421633BB"/>
    <w:rsid w:val="42196E16"/>
    <w:rsid w:val="423058B0"/>
    <w:rsid w:val="425C5CDD"/>
    <w:rsid w:val="426804CF"/>
    <w:rsid w:val="426C7C54"/>
    <w:rsid w:val="42844B67"/>
    <w:rsid w:val="42913046"/>
    <w:rsid w:val="42A641BB"/>
    <w:rsid w:val="42E41D3E"/>
    <w:rsid w:val="42E6512D"/>
    <w:rsid w:val="433B1ACE"/>
    <w:rsid w:val="434062AE"/>
    <w:rsid w:val="43A07520"/>
    <w:rsid w:val="43E871F9"/>
    <w:rsid w:val="441C36A7"/>
    <w:rsid w:val="44286808"/>
    <w:rsid w:val="44447C44"/>
    <w:rsid w:val="444930F3"/>
    <w:rsid w:val="449264EA"/>
    <w:rsid w:val="44964582"/>
    <w:rsid w:val="449B5F68"/>
    <w:rsid w:val="44C43AF6"/>
    <w:rsid w:val="44C9272E"/>
    <w:rsid w:val="44EE7248"/>
    <w:rsid w:val="4513612A"/>
    <w:rsid w:val="45156EF5"/>
    <w:rsid w:val="45296DE1"/>
    <w:rsid w:val="453B343D"/>
    <w:rsid w:val="453D48D7"/>
    <w:rsid w:val="45550F7E"/>
    <w:rsid w:val="455B5526"/>
    <w:rsid w:val="457715C0"/>
    <w:rsid w:val="45A14ED5"/>
    <w:rsid w:val="45A85B88"/>
    <w:rsid w:val="45C66E65"/>
    <w:rsid w:val="45CB50C2"/>
    <w:rsid w:val="46251654"/>
    <w:rsid w:val="463C3760"/>
    <w:rsid w:val="464E320F"/>
    <w:rsid w:val="466B3583"/>
    <w:rsid w:val="469F0005"/>
    <w:rsid w:val="46DF0BF2"/>
    <w:rsid w:val="4711434E"/>
    <w:rsid w:val="47696AA1"/>
    <w:rsid w:val="478625E8"/>
    <w:rsid w:val="47BF0E93"/>
    <w:rsid w:val="47D457D7"/>
    <w:rsid w:val="47D70114"/>
    <w:rsid w:val="47ED7E95"/>
    <w:rsid w:val="47FD0F1D"/>
    <w:rsid w:val="48204841"/>
    <w:rsid w:val="48725DEE"/>
    <w:rsid w:val="4886243B"/>
    <w:rsid w:val="48967CA3"/>
    <w:rsid w:val="49217764"/>
    <w:rsid w:val="492366BC"/>
    <w:rsid w:val="4939348B"/>
    <w:rsid w:val="4960232C"/>
    <w:rsid w:val="497B5871"/>
    <w:rsid w:val="49870BE2"/>
    <w:rsid w:val="498C78C4"/>
    <w:rsid w:val="49BE5988"/>
    <w:rsid w:val="49C362E1"/>
    <w:rsid w:val="49F77BF6"/>
    <w:rsid w:val="4A04077E"/>
    <w:rsid w:val="4A3016E4"/>
    <w:rsid w:val="4A32303D"/>
    <w:rsid w:val="4A3844C4"/>
    <w:rsid w:val="4A41408B"/>
    <w:rsid w:val="4A4F407D"/>
    <w:rsid w:val="4A915160"/>
    <w:rsid w:val="4AAF1EEA"/>
    <w:rsid w:val="4ADF3369"/>
    <w:rsid w:val="4B092DE4"/>
    <w:rsid w:val="4B280785"/>
    <w:rsid w:val="4B2C7F4C"/>
    <w:rsid w:val="4B387D9C"/>
    <w:rsid w:val="4B6312C2"/>
    <w:rsid w:val="4B661A47"/>
    <w:rsid w:val="4B6D1EAF"/>
    <w:rsid w:val="4B964222"/>
    <w:rsid w:val="4BAB58FB"/>
    <w:rsid w:val="4BCB4818"/>
    <w:rsid w:val="4C464675"/>
    <w:rsid w:val="4C500683"/>
    <w:rsid w:val="4C5A3DD9"/>
    <w:rsid w:val="4C610598"/>
    <w:rsid w:val="4C720A2F"/>
    <w:rsid w:val="4C7C74D7"/>
    <w:rsid w:val="4CC41302"/>
    <w:rsid w:val="4D1E7EB7"/>
    <w:rsid w:val="4D712AF9"/>
    <w:rsid w:val="4DFB0CD4"/>
    <w:rsid w:val="4E85140D"/>
    <w:rsid w:val="4E937FD6"/>
    <w:rsid w:val="4EE724FA"/>
    <w:rsid w:val="4EF62DB8"/>
    <w:rsid w:val="4F013F89"/>
    <w:rsid w:val="4F4529E7"/>
    <w:rsid w:val="4F52573A"/>
    <w:rsid w:val="4F5919E7"/>
    <w:rsid w:val="4FBB4EC0"/>
    <w:rsid w:val="4FD25C9E"/>
    <w:rsid w:val="50880293"/>
    <w:rsid w:val="50991EDF"/>
    <w:rsid w:val="509E2F25"/>
    <w:rsid w:val="50E63492"/>
    <w:rsid w:val="50EB0D25"/>
    <w:rsid w:val="513B5084"/>
    <w:rsid w:val="51496167"/>
    <w:rsid w:val="51EA7EE1"/>
    <w:rsid w:val="51FD6F0E"/>
    <w:rsid w:val="52572193"/>
    <w:rsid w:val="5259072A"/>
    <w:rsid w:val="52735067"/>
    <w:rsid w:val="52955AAB"/>
    <w:rsid w:val="52E75776"/>
    <w:rsid w:val="52F633DF"/>
    <w:rsid w:val="530E1087"/>
    <w:rsid w:val="53497EB3"/>
    <w:rsid w:val="535B233E"/>
    <w:rsid w:val="53F42E2D"/>
    <w:rsid w:val="543536EE"/>
    <w:rsid w:val="544A05BC"/>
    <w:rsid w:val="545F6A86"/>
    <w:rsid w:val="54624C13"/>
    <w:rsid w:val="548A469E"/>
    <w:rsid w:val="54A31875"/>
    <w:rsid w:val="54AF7FBD"/>
    <w:rsid w:val="54EF5D6E"/>
    <w:rsid w:val="55070BC7"/>
    <w:rsid w:val="55261E55"/>
    <w:rsid w:val="55692CF8"/>
    <w:rsid w:val="559A41E8"/>
    <w:rsid w:val="55AB1511"/>
    <w:rsid w:val="55D858BB"/>
    <w:rsid w:val="55FE6027"/>
    <w:rsid w:val="560600F3"/>
    <w:rsid w:val="561E7EBE"/>
    <w:rsid w:val="562D45BC"/>
    <w:rsid w:val="56407B09"/>
    <w:rsid w:val="56ED7925"/>
    <w:rsid w:val="56FF64E6"/>
    <w:rsid w:val="57332442"/>
    <w:rsid w:val="5775477C"/>
    <w:rsid w:val="57F66347"/>
    <w:rsid w:val="57FD0FCE"/>
    <w:rsid w:val="581E719B"/>
    <w:rsid w:val="584307AB"/>
    <w:rsid w:val="58600111"/>
    <w:rsid w:val="58C11DE6"/>
    <w:rsid w:val="58CF10F1"/>
    <w:rsid w:val="58DD69A3"/>
    <w:rsid w:val="58E84CDE"/>
    <w:rsid w:val="594216DF"/>
    <w:rsid w:val="595B7806"/>
    <w:rsid w:val="5989085B"/>
    <w:rsid w:val="5A744133"/>
    <w:rsid w:val="5A9B3F45"/>
    <w:rsid w:val="5AA97200"/>
    <w:rsid w:val="5AED65D2"/>
    <w:rsid w:val="5AF219F5"/>
    <w:rsid w:val="5B070C87"/>
    <w:rsid w:val="5B0D334C"/>
    <w:rsid w:val="5B161368"/>
    <w:rsid w:val="5B450B91"/>
    <w:rsid w:val="5BC0628A"/>
    <w:rsid w:val="5BD23B1B"/>
    <w:rsid w:val="5BEF5698"/>
    <w:rsid w:val="5BF77A8E"/>
    <w:rsid w:val="5C05259F"/>
    <w:rsid w:val="5C126588"/>
    <w:rsid w:val="5C223790"/>
    <w:rsid w:val="5C34662D"/>
    <w:rsid w:val="5C3500CF"/>
    <w:rsid w:val="5C424B29"/>
    <w:rsid w:val="5C5D7F97"/>
    <w:rsid w:val="5C7030B7"/>
    <w:rsid w:val="5C781F87"/>
    <w:rsid w:val="5C9B086D"/>
    <w:rsid w:val="5CD023DB"/>
    <w:rsid w:val="5CD11F74"/>
    <w:rsid w:val="5D4F4AE2"/>
    <w:rsid w:val="5D5E5ACA"/>
    <w:rsid w:val="5E1525C9"/>
    <w:rsid w:val="5E780DE7"/>
    <w:rsid w:val="5EAA26D2"/>
    <w:rsid w:val="5F524673"/>
    <w:rsid w:val="5F620D2B"/>
    <w:rsid w:val="5F737A1D"/>
    <w:rsid w:val="5F90025A"/>
    <w:rsid w:val="5F9F7838"/>
    <w:rsid w:val="5FC20598"/>
    <w:rsid w:val="5FC51119"/>
    <w:rsid w:val="5FCD700D"/>
    <w:rsid w:val="5FE671DC"/>
    <w:rsid w:val="5FF540CC"/>
    <w:rsid w:val="600A3527"/>
    <w:rsid w:val="60267FA0"/>
    <w:rsid w:val="604D52E3"/>
    <w:rsid w:val="6058457E"/>
    <w:rsid w:val="60B15490"/>
    <w:rsid w:val="612352B1"/>
    <w:rsid w:val="615F07E2"/>
    <w:rsid w:val="618A2464"/>
    <w:rsid w:val="61C94DF9"/>
    <w:rsid w:val="61D52E2F"/>
    <w:rsid w:val="61EB5666"/>
    <w:rsid w:val="61ED7A5E"/>
    <w:rsid w:val="62303D5D"/>
    <w:rsid w:val="626C19D2"/>
    <w:rsid w:val="627C2DCB"/>
    <w:rsid w:val="628A0A88"/>
    <w:rsid w:val="629A001A"/>
    <w:rsid w:val="62AB2011"/>
    <w:rsid w:val="62CC203B"/>
    <w:rsid w:val="62EE73B5"/>
    <w:rsid w:val="62F94030"/>
    <w:rsid w:val="633D219F"/>
    <w:rsid w:val="63553927"/>
    <w:rsid w:val="63A93C21"/>
    <w:rsid w:val="63B72127"/>
    <w:rsid w:val="63BD49B7"/>
    <w:rsid w:val="641250A5"/>
    <w:rsid w:val="643B0BFE"/>
    <w:rsid w:val="64474CAD"/>
    <w:rsid w:val="644E622C"/>
    <w:rsid w:val="6455415A"/>
    <w:rsid w:val="64603949"/>
    <w:rsid w:val="646A2C3A"/>
    <w:rsid w:val="64730CF5"/>
    <w:rsid w:val="648C7D41"/>
    <w:rsid w:val="64BF52CC"/>
    <w:rsid w:val="651656BB"/>
    <w:rsid w:val="653845CF"/>
    <w:rsid w:val="65777EA0"/>
    <w:rsid w:val="65C470AC"/>
    <w:rsid w:val="65E63A0A"/>
    <w:rsid w:val="660A64F9"/>
    <w:rsid w:val="66257A53"/>
    <w:rsid w:val="66314DBC"/>
    <w:rsid w:val="66812D68"/>
    <w:rsid w:val="66C75D81"/>
    <w:rsid w:val="66C81966"/>
    <w:rsid w:val="66D745E8"/>
    <w:rsid w:val="66EF64DE"/>
    <w:rsid w:val="675527F8"/>
    <w:rsid w:val="67A0541F"/>
    <w:rsid w:val="67BE739F"/>
    <w:rsid w:val="67C21409"/>
    <w:rsid w:val="67D456ED"/>
    <w:rsid w:val="68107AC2"/>
    <w:rsid w:val="689805E2"/>
    <w:rsid w:val="689E467A"/>
    <w:rsid w:val="68DD0C3D"/>
    <w:rsid w:val="68E0247D"/>
    <w:rsid w:val="69083FD6"/>
    <w:rsid w:val="693E28DB"/>
    <w:rsid w:val="698875E1"/>
    <w:rsid w:val="69CF144E"/>
    <w:rsid w:val="69D333D8"/>
    <w:rsid w:val="69E16204"/>
    <w:rsid w:val="6A0474B6"/>
    <w:rsid w:val="6A1D288A"/>
    <w:rsid w:val="6A604072"/>
    <w:rsid w:val="6A6A3BD7"/>
    <w:rsid w:val="6A6A6CBE"/>
    <w:rsid w:val="6A880AB6"/>
    <w:rsid w:val="6A921B55"/>
    <w:rsid w:val="6AA22DEE"/>
    <w:rsid w:val="6AAF541D"/>
    <w:rsid w:val="6ABC169E"/>
    <w:rsid w:val="6B67584E"/>
    <w:rsid w:val="6B823E9B"/>
    <w:rsid w:val="6BB3345C"/>
    <w:rsid w:val="6BF12EC5"/>
    <w:rsid w:val="6C0E3541"/>
    <w:rsid w:val="6C430016"/>
    <w:rsid w:val="6C60560E"/>
    <w:rsid w:val="6C6F2662"/>
    <w:rsid w:val="6C9C0CD4"/>
    <w:rsid w:val="6CC86952"/>
    <w:rsid w:val="6CED60FD"/>
    <w:rsid w:val="6D086207"/>
    <w:rsid w:val="6D2C36F8"/>
    <w:rsid w:val="6D4252A3"/>
    <w:rsid w:val="6D4F0C6C"/>
    <w:rsid w:val="6D59291C"/>
    <w:rsid w:val="6D5C4073"/>
    <w:rsid w:val="6D800EBB"/>
    <w:rsid w:val="6DC635F1"/>
    <w:rsid w:val="6DF51766"/>
    <w:rsid w:val="6E3C4502"/>
    <w:rsid w:val="6E901616"/>
    <w:rsid w:val="6EA922A6"/>
    <w:rsid w:val="6F28362B"/>
    <w:rsid w:val="6F906DFE"/>
    <w:rsid w:val="6F9A48A3"/>
    <w:rsid w:val="6FC51A0E"/>
    <w:rsid w:val="6FD41200"/>
    <w:rsid w:val="6FE858E1"/>
    <w:rsid w:val="703A1956"/>
    <w:rsid w:val="704C5298"/>
    <w:rsid w:val="70695ECA"/>
    <w:rsid w:val="70703B24"/>
    <w:rsid w:val="70796558"/>
    <w:rsid w:val="709003B6"/>
    <w:rsid w:val="70B80FB3"/>
    <w:rsid w:val="70FD7138"/>
    <w:rsid w:val="713B07A1"/>
    <w:rsid w:val="715A4EAA"/>
    <w:rsid w:val="71736A55"/>
    <w:rsid w:val="719F674B"/>
    <w:rsid w:val="71BD0B48"/>
    <w:rsid w:val="71F439FB"/>
    <w:rsid w:val="71F71CF4"/>
    <w:rsid w:val="720D7FD0"/>
    <w:rsid w:val="723658F8"/>
    <w:rsid w:val="72DD08AB"/>
    <w:rsid w:val="737278EA"/>
    <w:rsid w:val="737C1BAA"/>
    <w:rsid w:val="73A437ED"/>
    <w:rsid w:val="73C92F0C"/>
    <w:rsid w:val="741824FC"/>
    <w:rsid w:val="743D16FF"/>
    <w:rsid w:val="744039EE"/>
    <w:rsid w:val="747A030C"/>
    <w:rsid w:val="747D299F"/>
    <w:rsid w:val="74976AE8"/>
    <w:rsid w:val="74D96899"/>
    <w:rsid w:val="75266B64"/>
    <w:rsid w:val="75297E31"/>
    <w:rsid w:val="7550795A"/>
    <w:rsid w:val="75553BE7"/>
    <w:rsid w:val="75673D6E"/>
    <w:rsid w:val="75755B6A"/>
    <w:rsid w:val="758D7D70"/>
    <w:rsid w:val="75AD6065"/>
    <w:rsid w:val="75D42CC5"/>
    <w:rsid w:val="75DA04FF"/>
    <w:rsid w:val="75DE1FEE"/>
    <w:rsid w:val="762D5FCB"/>
    <w:rsid w:val="76302E5C"/>
    <w:rsid w:val="763F3CFC"/>
    <w:rsid w:val="765701C8"/>
    <w:rsid w:val="76716905"/>
    <w:rsid w:val="76823820"/>
    <w:rsid w:val="76851EDA"/>
    <w:rsid w:val="76B007C7"/>
    <w:rsid w:val="76B0400F"/>
    <w:rsid w:val="76D2065D"/>
    <w:rsid w:val="77201A8E"/>
    <w:rsid w:val="774A31FE"/>
    <w:rsid w:val="777C30C2"/>
    <w:rsid w:val="777F15FD"/>
    <w:rsid w:val="77BA0EE3"/>
    <w:rsid w:val="77C8518D"/>
    <w:rsid w:val="77D86A9C"/>
    <w:rsid w:val="77E94A24"/>
    <w:rsid w:val="784A58CB"/>
    <w:rsid w:val="785B69FF"/>
    <w:rsid w:val="786F04AF"/>
    <w:rsid w:val="787F3BC7"/>
    <w:rsid w:val="7880690C"/>
    <w:rsid w:val="789F7EC7"/>
    <w:rsid w:val="78C94EFD"/>
    <w:rsid w:val="78F146E0"/>
    <w:rsid w:val="79132395"/>
    <w:rsid w:val="79697613"/>
    <w:rsid w:val="797647E0"/>
    <w:rsid w:val="797E2208"/>
    <w:rsid w:val="79932ACB"/>
    <w:rsid w:val="79C276B2"/>
    <w:rsid w:val="7A3C12D9"/>
    <w:rsid w:val="7A6A251C"/>
    <w:rsid w:val="7A884A5E"/>
    <w:rsid w:val="7A976DBD"/>
    <w:rsid w:val="7AAA6CAE"/>
    <w:rsid w:val="7B8E66CE"/>
    <w:rsid w:val="7BC3753E"/>
    <w:rsid w:val="7BF07D1C"/>
    <w:rsid w:val="7C017BB5"/>
    <w:rsid w:val="7C170DAE"/>
    <w:rsid w:val="7CF943E8"/>
    <w:rsid w:val="7D1F405F"/>
    <w:rsid w:val="7D8F50A6"/>
    <w:rsid w:val="7DA82A73"/>
    <w:rsid w:val="7DC14E1B"/>
    <w:rsid w:val="7DE474DD"/>
    <w:rsid w:val="7DFA5E48"/>
    <w:rsid w:val="7DFE033A"/>
    <w:rsid w:val="7E0019DA"/>
    <w:rsid w:val="7E0344F3"/>
    <w:rsid w:val="7E222A61"/>
    <w:rsid w:val="7E7D72AF"/>
    <w:rsid w:val="7E926008"/>
    <w:rsid w:val="7F007CE9"/>
    <w:rsid w:val="7F0F31DE"/>
    <w:rsid w:val="7F1228A2"/>
    <w:rsid w:val="7F1D51CB"/>
    <w:rsid w:val="7F3B70D2"/>
    <w:rsid w:val="7F45045D"/>
    <w:rsid w:val="7F7A2BD7"/>
    <w:rsid w:val="7F872118"/>
    <w:rsid w:val="7F8B5CD3"/>
    <w:rsid w:val="7F981FAE"/>
    <w:rsid w:val="7FA8080C"/>
    <w:rsid w:val="7FA91A07"/>
    <w:rsid w:val="7FD97E14"/>
  </w:rsids>
  <m:mathPr>
    <m:mathFont m:val="Cambria Math"/>
    <m:brkBin m:val="before"/>
    <m:brkBinSub m:val="--"/>
    <m:smallFrac m:val="0"/>
    <m:dispDef/>
    <m:lMargin m:val="0"/>
    <m:rMargin m:val="0"/>
    <m:defJc m:val="centerGroup"/>
    <m:wrapIndent m:val="1440"/>
    <m:intLim m:val="subSup"/>
    <m:naryLim m:val="undOvr"/>
  </m:mathPr>
  <w:themeFontLang w:val="en-US" w:eastAsia="zh-CN" w:bidi="ug-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iPriority="0"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iPriority="99" w:semiHidden="0" w:name="annotation reference"/>
    <w:lsdException w:uiPriority="99" w:name="line number"/>
    <w:lsdException w:uiPriority="99" w:name="page number"/>
    <w:lsdException w:qFormat="1" w:uiPriority="99" w:semiHidden="0" w:name="endnote reference"/>
    <w:lsdException w:qFormat="1" w:uiPriority="99"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0"/>
    <w:pPr>
      <w:keepNext/>
      <w:keepLines/>
      <w:numPr>
        <w:ilvl w:val="0"/>
        <w:numId w:val="1"/>
      </w:numPr>
      <w:spacing w:line="460" w:lineRule="exact"/>
      <w:ind w:left="0" w:firstLine="720" w:firstLineChars="200"/>
      <w:outlineLvl w:val="0"/>
    </w:pPr>
    <w:rPr>
      <w:rFonts w:ascii="楷体_GB2312" w:hAnsi="楷体_GB2312" w:eastAsia="楷体_GB2312" w:cs="楷体_GB2312"/>
      <w:b/>
      <w:bCs/>
      <w:kern w:val="0"/>
      <w:sz w:val="28"/>
    </w:rPr>
  </w:style>
  <w:style w:type="paragraph" w:styleId="4">
    <w:name w:val="heading 2"/>
    <w:basedOn w:val="1"/>
    <w:next w:val="1"/>
    <w:link w:val="33"/>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7"/>
    <w:autoRedefine/>
    <w:unhideWhenUsed/>
    <w:qFormat/>
    <w:uiPriority w:val="9"/>
    <w:pPr>
      <w:keepNext/>
      <w:keepLines/>
      <w:spacing w:before="260" w:after="260" w:line="416" w:lineRule="auto"/>
      <w:outlineLvl w:val="2"/>
    </w:pPr>
    <w:rPr>
      <w:b/>
      <w:bCs/>
      <w:sz w:val="32"/>
      <w:szCs w:val="32"/>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toc 2"/>
    <w:basedOn w:val="1"/>
    <w:next w:val="1"/>
    <w:unhideWhenUsed/>
    <w:qFormat/>
    <w:uiPriority w:val="39"/>
    <w:pPr>
      <w:ind w:left="420" w:leftChars="200"/>
    </w:pPr>
  </w:style>
  <w:style w:type="paragraph" w:styleId="6">
    <w:name w:val="Normal Indent"/>
    <w:basedOn w:val="1"/>
    <w:qFormat/>
    <w:uiPriority w:val="0"/>
    <w:pPr>
      <w:ind w:firstLine="420" w:firstLineChars="200"/>
    </w:pPr>
  </w:style>
  <w:style w:type="paragraph" w:styleId="7">
    <w:name w:val="annotation text"/>
    <w:basedOn w:val="1"/>
    <w:link w:val="38"/>
    <w:unhideWhenUsed/>
    <w:qFormat/>
    <w:uiPriority w:val="99"/>
    <w:pPr>
      <w:jc w:val="left"/>
    </w:pPr>
  </w:style>
  <w:style w:type="paragraph" w:styleId="8">
    <w:name w:val="Body Text"/>
    <w:basedOn w:val="1"/>
    <w:link w:val="40"/>
    <w:unhideWhenUsed/>
    <w:qFormat/>
    <w:uiPriority w:val="99"/>
    <w:pPr>
      <w:spacing w:after="120"/>
    </w:pPr>
  </w:style>
  <w:style w:type="paragraph" w:styleId="9">
    <w:name w:val="Body Text Indent"/>
    <w:basedOn w:val="1"/>
    <w:qFormat/>
    <w:uiPriority w:val="0"/>
    <w:pPr>
      <w:widowControl/>
      <w:adjustRightInd w:val="0"/>
      <w:snapToGrid w:val="0"/>
      <w:spacing w:line="600" w:lineRule="atLeast"/>
      <w:ind w:firstLine="640" w:firstLineChars="200"/>
    </w:pPr>
    <w:rPr>
      <w:rFonts w:ascii="仿宋_GB2312" w:eastAsia="仿宋_GB2312" w:cs="仿宋_GB2312"/>
      <w:kern w:val="0"/>
      <w:sz w:val="32"/>
      <w:szCs w:val="32"/>
    </w:rPr>
  </w:style>
  <w:style w:type="paragraph" w:styleId="10">
    <w:name w:val="toc 3"/>
    <w:basedOn w:val="1"/>
    <w:next w:val="1"/>
    <w:unhideWhenUsed/>
    <w:qFormat/>
    <w:uiPriority w:val="39"/>
    <w:pPr>
      <w:ind w:left="840" w:leftChars="400"/>
    </w:pPr>
  </w:style>
  <w:style w:type="paragraph" w:styleId="11">
    <w:name w:val="Plain Text"/>
    <w:basedOn w:val="1"/>
    <w:autoRedefine/>
    <w:unhideWhenUsed/>
    <w:qFormat/>
    <w:uiPriority w:val="99"/>
    <w:rPr>
      <w:rFonts w:ascii="宋体" w:hAnsi="Courier New" w:cs="Courier New"/>
      <w:szCs w:val="21"/>
    </w:rPr>
  </w:style>
  <w:style w:type="paragraph" w:styleId="12">
    <w:name w:val="Date"/>
    <w:basedOn w:val="1"/>
    <w:next w:val="1"/>
    <w:link w:val="65"/>
    <w:unhideWhenUsed/>
    <w:qFormat/>
    <w:uiPriority w:val="99"/>
    <w:pPr>
      <w:ind w:left="100" w:leftChars="2500"/>
    </w:pPr>
  </w:style>
  <w:style w:type="paragraph" w:styleId="13">
    <w:name w:val="endnote text"/>
    <w:basedOn w:val="1"/>
    <w:unhideWhenUsed/>
    <w:qFormat/>
    <w:uiPriority w:val="99"/>
    <w:pPr>
      <w:snapToGrid w:val="0"/>
      <w:jc w:val="left"/>
    </w:pPr>
  </w:style>
  <w:style w:type="paragraph" w:styleId="14">
    <w:name w:val="Balloon Text"/>
    <w:basedOn w:val="1"/>
    <w:link w:val="36"/>
    <w:unhideWhenUsed/>
    <w:qFormat/>
    <w:uiPriority w:val="99"/>
    <w:rPr>
      <w:sz w:val="18"/>
      <w:szCs w:val="18"/>
    </w:rPr>
  </w:style>
  <w:style w:type="paragraph" w:styleId="15">
    <w:name w:val="footer"/>
    <w:basedOn w:val="1"/>
    <w:link w:val="35"/>
    <w:unhideWhenUsed/>
    <w:qFormat/>
    <w:uiPriority w:val="99"/>
    <w:pPr>
      <w:tabs>
        <w:tab w:val="center" w:pos="4153"/>
        <w:tab w:val="right" w:pos="8306"/>
      </w:tabs>
      <w:snapToGrid w:val="0"/>
      <w:jc w:val="left"/>
    </w:pPr>
    <w:rPr>
      <w:sz w:val="18"/>
      <w:szCs w:val="18"/>
    </w:rPr>
  </w:style>
  <w:style w:type="paragraph" w:styleId="16">
    <w:name w:val="header"/>
    <w:basedOn w:val="1"/>
    <w:link w:val="34"/>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unhideWhenUsed/>
    <w:qFormat/>
    <w:uiPriority w:val="39"/>
  </w:style>
  <w:style w:type="paragraph" w:styleId="18">
    <w:name w:val="footnote text"/>
    <w:basedOn w:val="1"/>
    <w:link w:val="47"/>
    <w:unhideWhenUsed/>
    <w:qFormat/>
    <w:uiPriority w:val="0"/>
    <w:pPr>
      <w:snapToGrid w:val="0"/>
      <w:jc w:val="left"/>
    </w:pPr>
    <w:rPr>
      <w:sz w:val="18"/>
      <w:szCs w:val="18"/>
    </w:rPr>
  </w:style>
  <w:style w:type="paragraph" w:styleId="19">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0">
    <w:name w:val="annotation subject"/>
    <w:basedOn w:val="7"/>
    <w:next w:val="7"/>
    <w:link w:val="39"/>
    <w:autoRedefine/>
    <w:unhideWhenUsed/>
    <w:qFormat/>
    <w:uiPriority w:val="99"/>
    <w:rPr>
      <w:b/>
      <w:bCs/>
    </w:rPr>
  </w:style>
  <w:style w:type="paragraph" w:styleId="21">
    <w:name w:val="Body Text First Indent"/>
    <w:basedOn w:val="8"/>
    <w:link w:val="64"/>
    <w:unhideWhenUsed/>
    <w:qFormat/>
    <w:uiPriority w:val="99"/>
    <w:pPr>
      <w:ind w:firstLine="420" w:firstLineChars="100"/>
    </w:p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autoRedefine/>
    <w:qFormat/>
    <w:uiPriority w:val="22"/>
    <w:rPr>
      <w:b/>
    </w:rPr>
  </w:style>
  <w:style w:type="character" w:styleId="26">
    <w:name w:val="endnote reference"/>
    <w:basedOn w:val="24"/>
    <w:unhideWhenUsed/>
    <w:qFormat/>
    <w:uiPriority w:val="99"/>
    <w:rPr>
      <w:vertAlign w:val="superscript"/>
    </w:rPr>
  </w:style>
  <w:style w:type="character" w:styleId="27">
    <w:name w:val="Emphasis"/>
    <w:basedOn w:val="24"/>
    <w:qFormat/>
    <w:uiPriority w:val="20"/>
    <w:rPr>
      <w:i/>
    </w:rPr>
  </w:style>
  <w:style w:type="character" w:styleId="28">
    <w:name w:val="Hyperlink"/>
    <w:basedOn w:val="24"/>
    <w:unhideWhenUsed/>
    <w:qFormat/>
    <w:uiPriority w:val="99"/>
    <w:rPr>
      <w:color w:val="0000FF" w:themeColor="hyperlink"/>
      <w:u w:val="single"/>
      <w14:textFill>
        <w14:solidFill>
          <w14:schemeClr w14:val="hlink"/>
        </w14:solidFill>
      </w14:textFill>
    </w:rPr>
  </w:style>
  <w:style w:type="character" w:styleId="29">
    <w:name w:val="annotation reference"/>
    <w:basedOn w:val="24"/>
    <w:unhideWhenUsed/>
    <w:qFormat/>
    <w:uiPriority w:val="99"/>
    <w:rPr>
      <w:sz w:val="21"/>
      <w:szCs w:val="21"/>
    </w:rPr>
  </w:style>
  <w:style w:type="character" w:styleId="30">
    <w:name w:val="footnote reference"/>
    <w:autoRedefine/>
    <w:qFormat/>
    <w:uiPriority w:val="0"/>
    <w:rPr>
      <w:vertAlign w:val="superscript"/>
    </w:rPr>
  </w:style>
  <w:style w:type="paragraph" w:customStyle="1" w:styleId="31">
    <w:name w:val="Default"/>
    <w:qFormat/>
    <w:uiPriority w:val="99"/>
    <w:pPr>
      <w:widowControl w:val="0"/>
      <w:autoSpaceDE w:val="0"/>
      <w:autoSpaceDN w:val="0"/>
      <w:adjustRightInd w:val="0"/>
    </w:pPr>
    <w:rPr>
      <w:rFonts w:ascii="Calibri" w:hAnsi="Calibri" w:eastAsia="宋体" w:cs="Times New Roman"/>
      <w:color w:val="000000"/>
      <w:sz w:val="24"/>
      <w:szCs w:val="24"/>
      <w:lang w:val="en-US" w:eastAsia="zh-CN" w:bidi="ar-SA"/>
    </w:rPr>
  </w:style>
  <w:style w:type="paragraph" w:customStyle="1" w:styleId="32">
    <w:name w:val="标题 Char Char"/>
    <w:basedOn w:val="1"/>
    <w:autoRedefine/>
    <w:qFormat/>
    <w:uiPriority w:val="99"/>
    <w:pPr>
      <w:jc w:val="center"/>
      <w:outlineLvl w:val="0"/>
    </w:pPr>
    <w:rPr>
      <w:rFonts w:ascii="Arial" w:hAnsi="Arial" w:cs="Arial"/>
      <w:b/>
      <w:bCs/>
      <w:sz w:val="32"/>
      <w:szCs w:val="32"/>
    </w:rPr>
  </w:style>
  <w:style w:type="character" w:customStyle="1" w:styleId="33">
    <w:name w:val="标题 2 字符"/>
    <w:basedOn w:val="24"/>
    <w:link w:val="4"/>
    <w:autoRedefine/>
    <w:qFormat/>
    <w:uiPriority w:val="9"/>
    <w:rPr>
      <w:rFonts w:asciiTheme="majorHAnsi" w:hAnsiTheme="majorHAnsi" w:eastAsiaTheme="majorEastAsia" w:cstheme="majorBidi"/>
      <w:b/>
      <w:bCs/>
      <w:sz w:val="32"/>
      <w:szCs w:val="32"/>
    </w:rPr>
  </w:style>
  <w:style w:type="character" w:customStyle="1" w:styleId="34">
    <w:name w:val="页眉 字符"/>
    <w:basedOn w:val="24"/>
    <w:link w:val="16"/>
    <w:autoRedefine/>
    <w:qFormat/>
    <w:uiPriority w:val="99"/>
    <w:rPr>
      <w:rFonts w:ascii="Calibri" w:hAnsi="Calibri"/>
      <w:kern w:val="2"/>
      <w:sz w:val="18"/>
      <w:szCs w:val="18"/>
      <w:lang w:bidi="ar-SA"/>
    </w:rPr>
  </w:style>
  <w:style w:type="character" w:customStyle="1" w:styleId="35">
    <w:name w:val="页脚 字符"/>
    <w:basedOn w:val="24"/>
    <w:link w:val="15"/>
    <w:qFormat/>
    <w:uiPriority w:val="99"/>
    <w:rPr>
      <w:rFonts w:ascii="Calibri" w:hAnsi="Calibri"/>
      <w:kern w:val="2"/>
      <w:sz w:val="18"/>
      <w:szCs w:val="18"/>
      <w:lang w:bidi="ar-SA"/>
    </w:rPr>
  </w:style>
  <w:style w:type="character" w:customStyle="1" w:styleId="36">
    <w:name w:val="批注框文本 字符"/>
    <w:basedOn w:val="24"/>
    <w:link w:val="14"/>
    <w:semiHidden/>
    <w:qFormat/>
    <w:uiPriority w:val="99"/>
    <w:rPr>
      <w:rFonts w:ascii="Calibri" w:hAnsi="Calibri"/>
      <w:kern w:val="2"/>
      <w:sz w:val="18"/>
      <w:szCs w:val="18"/>
      <w:lang w:bidi="ar-SA"/>
    </w:rPr>
  </w:style>
  <w:style w:type="character" w:customStyle="1" w:styleId="37">
    <w:name w:val="标题 3 字符"/>
    <w:basedOn w:val="24"/>
    <w:link w:val="5"/>
    <w:semiHidden/>
    <w:qFormat/>
    <w:uiPriority w:val="9"/>
    <w:rPr>
      <w:rFonts w:ascii="Calibri" w:hAnsi="Calibri"/>
      <w:b/>
      <w:bCs/>
      <w:kern w:val="2"/>
      <w:sz w:val="32"/>
      <w:szCs w:val="32"/>
      <w:lang w:bidi="ar-SA"/>
    </w:rPr>
  </w:style>
  <w:style w:type="character" w:customStyle="1" w:styleId="38">
    <w:name w:val="批注文字 字符"/>
    <w:basedOn w:val="24"/>
    <w:link w:val="7"/>
    <w:semiHidden/>
    <w:qFormat/>
    <w:uiPriority w:val="99"/>
    <w:rPr>
      <w:rFonts w:ascii="Calibri" w:hAnsi="Calibri"/>
      <w:kern w:val="2"/>
      <w:sz w:val="21"/>
      <w:szCs w:val="24"/>
      <w:lang w:bidi="ar-SA"/>
    </w:rPr>
  </w:style>
  <w:style w:type="character" w:customStyle="1" w:styleId="39">
    <w:name w:val="批注主题 字符"/>
    <w:basedOn w:val="38"/>
    <w:link w:val="20"/>
    <w:semiHidden/>
    <w:qFormat/>
    <w:uiPriority w:val="99"/>
    <w:rPr>
      <w:rFonts w:ascii="Calibri" w:hAnsi="Calibri"/>
      <w:b/>
      <w:bCs/>
      <w:kern w:val="2"/>
      <w:sz w:val="21"/>
      <w:szCs w:val="24"/>
      <w:lang w:bidi="ar-SA"/>
    </w:rPr>
  </w:style>
  <w:style w:type="character" w:customStyle="1" w:styleId="40">
    <w:name w:val="正文文本 字符"/>
    <w:basedOn w:val="24"/>
    <w:link w:val="8"/>
    <w:semiHidden/>
    <w:qFormat/>
    <w:uiPriority w:val="99"/>
    <w:rPr>
      <w:rFonts w:ascii="Calibri" w:hAnsi="Calibri"/>
      <w:kern w:val="2"/>
      <w:sz w:val="21"/>
      <w:szCs w:val="24"/>
      <w:lang w:bidi="ar-SA"/>
    </w:rPr>
  </w:style>
  <w:style w:type="paragraph" w:customStyle="1" w:styleId="41">
    <w:name w:val="一级标题"/>
    <w:basedOn w:val="4"/>
    <w:link w:val="43"/>
    <w:qFormat/>
    <w:uiPriority w:val="0"/>
    <w:pPr>
      <w:adjustRightInd w:val="0"/>
      <w:snapToGrid w:val="0"/>
      <w:spacing w:beforeLines="100" w:after="0" w:line="360" w:lineRule="auto"/>
      <w:ind w:left="100" w:leftChars="100"/>
      <w:jc w:val="left"/>
    </w:pPr>
    <w:rPr>
      <w:rFonts w:eastAsia="黑体"/>
      <w:b w:val="0"/>
    </w:rPr>
  </w:style>
  <w:style w:type="paragraph" w:customStyle="1" w:styleId="42">
    <w:name w:val="二级标题"/>
    <w:basedOn w:val="5"/>
    <w:link w:val="45"/>
    <w:qFormat/>
    <w:uiPriority w:val="0"/>
    <w:pPr>
      <w:spacing w:before="0" w:after="0" w:line="640" w:lineRule="exact"/>
      <w:ind w:firstLine="200" w:firstLineChars="200"/>
      <w:jc w:val="left"/>
    </w:pPr>
    <w:rPr>
      <w:rFonts w:ascii="黑体" w:hAnsi="黑体" w:eastAsia="楷体" w:cs="宋体"/>
      <w:b w:val="0"/>
    </w:rPr>
  </w:style>
  <w:style w:type="character" w:customStyle="1" w:styleId="43">
    <w:name w:val="一级标题 字符"/>
    <w:basedOn w:val="24"/>
    <w:link w:val="41"/>
    <w:qFormat/>
    <w:uiPriority w:val="0"/>
    <w:rPr>
      <w:rFonts w:eastAsia="黑体" w:asciiTheme="majorHAnsi" w:hAnsiTheme="majorHAnsi" w:cstheme="majorBidi"/>
      <w:bCs/>
      <w:kern w:val="2"/>
      <w:sz w:val="32"/>
      <w:szCs w:val="32"/>
      <w:lang w:bidi="ar-SA"/>
    </w:rPr>
  </w:style>
  <w:style w:type="paragraph" w:customStyle="1" w:styleId="44">
    <w:name w:val="TOC 标题1"/>
    <w:basedOn w:val="3"/>
    <w:next w:val="1"/>
    <w:unhideWhenUsed/>
    <w:qFormat/>
    <w:uiPriority w:val="39"/>
    <w:pPr>
      <w:widowControl/>
      <w:numPr>
        <w:numId w:val="0"/>
      </w:numPr>
      <w:spacing w:before="240" w:line="259" w:lineRule="auto"/>
      <w:jc w:val="left"/>
      <w:outlineLvl w:val="9"/>
    </w:pPr>
    <w:rPr>
      <w:rFonts w:asciiTheme="majorHAnsi" w:hAnsiTheme="majorHAnsi" w:eastAsiaTheme="majorEastAsia" w:cstheme="majorBidi"/>
      <w:b w:val="0"/>
      <w:bCs w:val="0"/>
      <w:color w:val="376092" w:themeColor="accent1" w:themeShade="BF"/>
      <w:sz w:val="32"/>
      <w:szCs w:val="32"/>
    </w:rPr>
  </w:style>
  <w:style w:type="character" w:customStyle="1" w:styleId="45">
    <w:name w:val="二级标题 字符"/>
    <w:basedOn w:val="24"/>
    <w:link w:val="42"/>
    <w:qFormat/>
    <w:uiPriority w:val="0"/>
    <w:rPr>
      <w:rFonts w:ascii="黑体" w:hAnsi="黑体" w:eastAsia="楷体" w:cs="宋体"/>
      <w:bCs/>
      <w:kern w:val="2"/>
      <w:sz w:val="32"/>
      <w:szCs w:val="32"/>
      <w:lang w:bidi="ar-SA"/>
    </w:rPr>
  </w:style>
  <w:style w:type="paragraph" w:customStyle="1" w:styleId="46">
    <w:name w:val="列出段落1"/>
    <w:basedOn w:val="1"/>
    <w:qFormat/>
    <w:uiPriority w:val="99"/>
    <w:pPr>
      <w:ind w:firstLine="420" w:firstLineChars="200"/>
    </w:pPr>
  </w:style>
  <w:style w:type="character" w:customStyle="1" w:styleId="47">
    <w:name w:val="脚注文本 字符"/>
    <w:basedOn w:val="24"/>
    <w:link w:val="18"/>
    <w:semiHidden/>
    <w:qFormat/>
    <w:uiPriority w:val="99"/>
    <w:rPr>
      <w:rFonts w:ascii="Calibri" w:hAnsi="Calibri"/>
      <w:kern w:val="2"/>
      <w:sz w:val="18"/>
      <w:szCs w:val="18"/>
    </w:rPr>
  </w:style>
  <w:style w:type="paragraph" w:customStyle="1" w:styleId="48">
    <w:name w:val="WPSOffice手动目录 1"/>
    <w:qFormat/>
    <w:uiPriority w:val="0"/>
    <w:rPr>
      <w:rFonts w:ascii="Times New Roman" w:hAnsi="Times New Roman" w:eastAsia="宋体" w:cs="Times New Roman"/>
      <w:lang w:val="en-US" w:eastAsia="zh-CN" w:bidi="ug-CN"/>
    </w:rPr>
  </w:style>
  <w:style w:type="paragraph" w:customStyle="1" w:styleId="49">
    <w:name w:val="WPSOffice手动目录 2"/>
    <w:qFormat/>
    <w:uiPriority w:val="0"/>
    <w:pPr>
      <w:ind w:left="200" w:leftChars="200"/>
    </w:pPr>
    <w:rPr>
      <w:rFonts w:ascii="Times New Roman" w:hAnsi="Times New Roman" w:eastAsia="宋体" w:cs="Times New Roman"/>
      <w:lang w:val="en-US" w:eastAsia="zh-CN" w:bidi="ug-CN"/>
    </w:rPr>
  </w:style>
  <w:style w:type="paragraph" w:customStyle="1" w:styleId="50">
    <w:name w:val="TOC 标题2"/>
    <w:basedOn w:val="3"/>
    <w:next w:val="1"/>
    <w:unhideWhenUsed/>
    <w:qFormat/>
    <w:uiPriority w:val="39"/>
    <w:pPr>
      <w:widowControl/>
      <w:numPr>
        <w:numId w:val="0"/>
      </w:numPr>
      <w:spacing w:before="240" w:line="259" w:lineRule="auto"/>
      <w:jc w:val="left"/>
      <w:outlineLvl w:val="9"/>
    </w:pPr>
    <w:rPr>
      <w:rFonts w:asciiTheme="majorHAnsi" w:hAnsiTheme="majorHAnsi" w:eastAsiaTheme="majorEastAsia" w:cstheme="majorBidi"/>
      <w:b w:val="0"/>
      <w:bCs w:val="0"/>
      <w:color w:val="376092" w:themeColor="accent1" w:themeShade="BF"/>
      <w:sz w:val="32"/>
      <w:szCs w:val="32"/>
    </w:rPr>
  </w:style>
  <w:style w:type="character" w:customStyle="1" w:styleId="51">
    <w:name w:val="NormalCharacter"/>
    <w:qFormat/>
    <w:uiPriority w:val="0"/>
  </w:style>
  <w:style w:type="paragraph" w:customStyle="1" w:styleId="52">
    <w:name w:val="default paragraph font Char"/>
    <w:basedOn w:val="1"/>
    <w:qFormat/>
    <w:uiPriority w:val="0"/>
    <w:pPr>
      <w:spacing w:line="240" w:lineRule="atLeast"/>
      <w:ind w:left="420" w:firstLine="420"/>
    </w:pPr>
    <w:rPr>
      <w:rFonts w:ascii="Times New Roman" w:hAnsi="Times New Roman"/>
      <w:kern w:val="0"/>
      <w:szCs w:val="20"/>
    </w:rPr>
  </w:style>
  <w:style w:type="paragraph" w:customStyle="1" w:styleId="53">
    <w:name w:val="列出段落2"/>
    <w:basedOn w:val="1"/>
    <w:qFormat/>
    <w:uiPriority w:val="99"/>
    <w:pPr>
      <w:ind w:firstLine="420" w:firstLineChars="200"/>
    </w:pPr>
  </w:style>
  <w:style w:type="paragraph" w:customStyle="1" w:styleId="54">
    <w:name w:val="p0"/>
    <w:basedOn w:val="1"/>
    <w:autoRedefine/>
    <w:qFormat/>
    <w:uiPriority w:val="0"/>
    <w:pPr>
      <w:widowControl/>
    </w:pPr>
    <w:rPr>
      <w:kern w:val="0"/>
      <w:szCs w:val="21"/>
    </w:rPr>
  </w:style>
  <w:style w:type="paragraph" w:customStyle="1" w:styleId="55">
    <w:name w:val="正文文本缩进1"/>
    <w:basedOn w:val="1"/>
    <w:autoRedefine/>
    <w:qFormat/>
    <w:uiPriority w:val="0"/>
    <w:pPr>
      <w:spacing w:line="580" w:lineRule="exact"/>
      <w:ind w:firstLine="643" w:firstLineChars="200"/>
    </w:pPr>
    <w:rPr>
      <w:rFonts w:ascii="仿宋_GB2312" w:hAnsi="黑体" w:eastAsia="仿宋_GB2312"/>
      <w:b/>
      <w:kern w:val="0"/>
      <w:sz w:val="32"/>
      <w:szCs w:val="32"/>
    </w:rPr>
  </w:style>
  <w:style w:type="paragraph" w:customStyle="1" w:styleId="56">
    <w:name w:val="彩色列表1"/>
    <w:basedOn w:val="1"/>
    <w:qFormat/>
    <w:uiPriority w:val="99"/>
    <w:pPr>
      <w:ind w:firstLine="420" w:firstLineChars="200"/>
    </w:pPr>
  </w:style>
  <w:style w:type="character" w:customStyle="1" w:styleId="57">
    <w:name w:val="font91"/>
    <w:basedOn w:val="24"/>
    <w:qFormat/>
    <w:uiPriority w:val="0"/>
    <w:rPr>
      <w:rFonts w:ascii="仿宋_GB2312" w:hAnsi="仿宋_GB2312" w:eastAsia="仿宋_GB2312" w:cs="仿宋_GB2312"/>
      <w:color w:val="000000"/>
      <w:sz w:val="18"/>
      <w:szCs w:val="18"/>
      <w:u w:val="none"/>
    </w:rPr>
  </w:style>
  <w:style w:type="character" w:customStyle="1" w:styleId="58">
    <w:name w:val="font61"/>
    <w:basedOn w:val="24"/>
    <w:autoRedefine/>
    <w:qFormat/>
    <w:uiPriority w:val="0"/>
    <w:rPr>
      <w:rFonts w:hint="eastAsia" w:ascii="宋体" w:hAnsi="宋体" w:eastAsia="宋体" w:cs="宋体"/>
      <w:color w:val="000000"/>
      <w:sz w:val="18"/>
      <w:szCs w:val="18"/>
      <w:u w:val="none"/>
    </w:rPr>
  </w:style>
  <w:style w:type="character" w:customStyle="1" w:styleId="59">
    <w:name w:val="font212"/>
    <w:basedOn w:val="24"/>
    <w:autoRedefine/>
    <w:qFormat/>
    <w:uiPriority w:val="0"/>
    <w:rPr>
      <w:rFonts w:hint="eastAsia" w:ascii="宋体" w:hAnsi="宋体" w:eastAsia="宋体" w:cs="宋体"/>
      <w:color w:val="000000"/>
      <w:sz w:val="18"/>
      <w:szCs w:val="18"/>
      <w:u w:val="none"/>
      <w:vertAlign w:val="superscript"/>
    </w:rPr>
  </w:style>
  <w:style w:type="character" w:customStyle="1" w:styleId="60">
    <w:name w:val="font201"/>
    <w:basedOn w:val="24"/>
    <w:autoRedefine/>
    <w:qFormat/>
    <w:uiPriority w:val="0"/>
    <w:rPr>
      <w:rFonts w:hint="eastAsia" w:ascii="宋体" w:hAnsi="宋体" w:eastAsia="宋体" w:cs="宋体"/>
      <w:color w:val="000000"/>
      <w:sz w:val="18"/>
      <w:szCs w:val="18"/>
      <w:u w:val="none"/>
    </w:rPr>
  </w:style>
  <w:style w:type="character" w:customStyle="1" w:styleId="61">
    <w:name w:val="font21"/>
    <w:basedOn w:val="24"/>
    <w:autoRedefine/>
    <w:qFormat/>
    <w:uiPriority w:val="0"/>
    <w:rPr>
      <w:rFonts w:hint="eastAsia" w:ascii="宋体" w:hAnsi="宋体" w:eastAsia="宋体" w:cs="宋体"/>
      <w:color w:val="000000"/>
      <w:sz w:val="24"/>
      <w:szCs w:val="24"/>
      <w:u w:val="none"/>
    </w:rPr>
  </w:style>
  <w:style w:type="character" w:customStyle="1" w:styleId="62">
    <w:name w:val="font191"/>
    <w:basedOn w:val="24"/>
    <w:autoRedefine/>
    <w:qFormat/>
    <w:uiPriority w:val="0"/>
    <w:rPr>
      <w:rFonts w:hint="eastAsia" w:ascii="宋体" w:hAnsi="宋体" w:eastAsia="宋体" w:cs="宋体"/>
      <w:color w:val="000000"/>
      <w:sz w:val="18"/>
      <w:szCs w:val="18"/>
      <w:u w:val="none"/>
    </w:rPr>
  </w:style>
  <w:style w:type="paragraph" w:customStyle="1" w:styleId="63">
    <w:name w:val="列出段落3"/>
    <w:basedOn w:val="1"/>
    <w:autoRedefine/>
    <w:unhideWhenUsed/>
    <w:qFormat/>
    <w:uiPriority w:val="99"/>
    <w:pPr>
      <w:ind w:firstLine="420" w:firstLineChars="200"/>
    </w:pPr>
  </w:style>
  <w:style w:type="character" w:customStyle="1" w:styleId="64">
    <w:name w:val="正文文本首行缩进 字符"/>
    <w:basedOn w:val="40"/>
    <w:link w:val="21"/>
    <w:autoRedefine/>
    <w:qFormat/>
    <w:uiPriority w:val="99"/>
    <w:rPr>
      <w:rFonts w:ascii="Calibri" w:hAnsi="Calibri" w:cs="Times New Roman"/>
      <w:kern w:val="2"/>
      <w:sz w:val="21"/>
      <w:szCs w:val="24"/>
      <w:lang w:bidi="ar-SA"/>
    </w:rPr>
  </w:style>
  <w:style w:type="character" w:customStyle="1" w:styleId="65">
    <w:name w:val="日期 字符"/>
    <w:basedOn w:val="24"/>
    <w:link w:val="12"/>
    <w:autoRedefine/>
    <w:semiHidden/>
    <w:qFormat/>
    <w:uiPriority w:val="99"/>
    <w:rPr>
      <w:rFonts w:ascii="Calibri" w:hAnsi="Calibri" w:cs="Times New Roman"/>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955C1A6-CCF9-4C0A-9809-2692C1A91F0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96</Pages>
  <Words>8324</Words>
  <Characters>47448</Characters>
  <Lines>395</Lines>
  <Paragraphs>111</Paragraphs>
  <TotalTime>21</TotalTime>
  <ScaleCrop>false</ScaleCrop>
  <LinksUpToDate>false</LinksUpToDate>
  <CharactersWithSpaces>55661</CharactersWithSpaces>
  <Application>WPS Office_12.1.0.16388_F1E327BC-269C-435d-A152-05C5408002CA</Application>
  <DocSecurity>4</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2023-02-09T07:45:00Z</dcterms:created>
  <dc:creator>余苏权</dc:creator>
  <cp:lastModifiedBy>Administrator</cp:lastModifiedBy>
  <cp:lastPrinted>2021-08-31T00:52:00Z</cp:lastPrinted>
  <dcterms:modified xsi:type="dcterms:W3CDTF">2024-03-26T08:03:17Z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KSOSaveFontToCloudKey">
    <vt:lpwstr>0_btnclosed</vt:lpwstr>
  </property>
  <property fmtid="{D5CDD505-2E9C-101B-9397-08002B2CF9AE}" pid="4" name="ICV">
    <vt:lpwstr>21ADD05A6FBC42EE9F2A0B3FA8ABB59E</vt:lpwstr>
  </property>
</Properties>
</file>