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jc w:val="center"/>
        <w:rPr>
          <w:rFonts w:ascii="Times New Roman" w:hAnsi="Times New Roman" w:eastAsia="方正小标宋_GBK" w:cs="黑体"/>
          <w:b/>
          <w:bCs/>
          <w:color w:val="000000" w:themeColor="text1"/>
          <w:sz w:val="52"/>
          <w:szCs w:val="52"/>
          <w14:textFill>
            <w14:solidFill>
              <w14:schemeClr w14:val="tx1"/>
            </w14:solidFill>
          </w14:textFill>
        </w:rPr>
      </w:pPr>
      <w:r>
        <w:rPr>
          <w:rFonts w:hint="eastAsia" w:ascii="方正小标宋_GBK" w:hAnsi="方正小标宋_GBK" w:eastAsia="方正小标宋_GBK" w:cs="方正小标宋_GBK"/>
          <w:sz w:val="56"/>
          <w:szCs w:val="56"/>
        </w:rPr>
        <mc:AlternateContent>
          <mc:Choice Requires="wps">
            <w:drawing>
              <wp:anchor distT="0" distB="0" distL="114300" distR="114300" simplePos="0" relativeHeight="251671552" behindDoc="0" locked="0" layoutInCell="1" allowOverlap="1">
                <wp:simplePos x="0" y="0"/>
                <wp:positionH relativeFrom="column">
                  <wp:posOffset>5080</wp:posOffset>
                </wp:positionH>
                <wp:positionV relativeFrom="paragraph">
                  <wp:posOffset>-442595</wp:posOffset>
                </wp:positionV>
                <wp:extent cx="1371600" cy="457200"/>
                <wp:effectExtent l="4445" t="4445" r="14605" b="14605"/>
                <wp:wrapNone/>
                <wp:docPr id="16" name="文本框 16"/>
                <wp:cNvGraphicFramePr/>
                <a:graphic xmlns:a="http://schemas.openxmlformats.org/drawingml/2006/main">
                  <a:graphicData uri="http://schemas.microsoft.com/office/word/2010/wordprocessingShape">
                    <wps:wsp>
                      <wps:cNvSpPr txBox="1"/>
                      <wps:spPr>
                        <a:xfrm>
                          <a:off x="0" y="0"/>
                          <a:ext cx="1371600" cy="4572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300" w:lineRule="exact"/>
                              <w:jc w:val="center"/>
                              <w:rPr>
                                <w:rFonts w:eastAsia="仿宋_GB2312"/>
                                <w:b/>
                                <w:w w:val="95"/>
                                <w:szCs w:val="21"/>
                              </w:rPr>
                            </w:pPr>
                            <w:r>
                              <w:rPr>
                                <w:rFonts w:hint="eastAsia" w:eastAsia="仿宋_GB2312"/>
                                <w:b/>
                                <w:w w:val="95"/>
                                <w:szCs w:val="21"/>
                              </w:rPr>
                              <w:t>十六届人大六次会议材料之四</w:t>
                            </w:r>
                          </w:p>
                          <w:p>
                            <w:pPr>
                              <w:rPr>
                                <w:szCs w:val="22"/>
                              </w:rPr>
                            </w:pPr>
                          </w:p>
                        </w:txbxContent>
                      </wps:txbx>
                      <wps:bodyPr upright="1"/>
                    </wps:wsp>
                  </a:graphicData>
                </a:graphic>
              </wp:anchor>
            </w:drawing>
          </mc:Choice>
          <mc:Fallback>
            <w:pict>
              <v:shape id="_x0000_s1026" o:spid="_x0000_s1026" o:spt="202" type="#_x0000_t202" style="position:absolute;left:0pt;margin-left:0.4pt;margin-top:-34.85pt;height:36pt;width:108pt;z-index:251671552;mso-width-relative:page;mso-height-relative:page;" fillcolor="#FFFFFF" filled="t" stroked="t" coordsize="21600,21600" o:gfxdata="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e0b8etUAAAAGAQAADwAAAAAAAAABACAAAAAiAAAA&#10;ZHJzL2Rvd25yZXYueG1sUEsBAhQAFAAAAAgAh07iQIx3PikKAgAAOAQAAA4AAAAAAAAAAQAgAAAA&#10;JAEAAGRycy9lMm9Eb2MueG1sUEsFBgAAAAAGAAYAWQEAAKAFAAAAAA==&#10;">
                <v:fill on="t" focussize="0,0"/>
                <v:stroke color="#000000" joinstyle="miter"/>
                <v:imagedata o:title=""/>
                <o:lock v:ext="edit" aspectratio="f"/>
                <v:textbox>
                  <w:txbxContent>
                    <w:p>
                      <w:pPr>
                        <w:spacing w:line="300" w:lineRule="exact"/>
                        <w:jc w:val="center"/>
                        <w:rPr>
                          <w:rFonts w:eastAsia="仿宋_GB2312"/>
                          <w:b/>
                          <w:w w:val="95"/>
                          <w:szCs w:val="21"/>
                        </w:rPr>
                      </w:pPr>
                      <w:r>
                        <w:rPr>
                          <w:rFonts w:hint="eastAsia" w:eastAsia="仿宋_GB2312"/>
                          <w:b/>
                          <w:w w:val="95"/>
                          <w:szCs w:val="21"/>
                        </w:rPr>
                        <w:t>十六届人大六次会议材料之四</w:t>
                      </w:r>
                    </w:p>
                    <w:p>
                      <w:pPr>
                        <w:rPr>
                          <w:szCs w:val="22"/>
                        </w:rPr>
                      </w:pPr>
                    </w:p>
                  </w:txbxContent>
                </v:textbox>
              </v:shape>
            </w:pict>
          </mc:Fallback>
        </mc:AlternateContent>
      </w:r>
    </w:p>
    <w:p>
      <w:pPr>
        <w:adjustRightInd w:val="0"/>
        <w:snapToGrid w:val="0"/>
        <w:jc w:val="center"/>
        <w:rPr>
          <w:rFonts w:ascii="方正小标宋_GBK" w:hAnsi="方正小标宋_GBK" w:eastAsia="方正小标宋_GBK" w:cs="方正小标宋_GBK"/>
          <w:color w:val="000000" w:themeColor="text1"/>
          <w:sz w:val="52"/>
          <w:szCs w:val="52"/>
          <w14:textFill>
            <w14:solidFill>
              <w14:schemeClr w14:val="tx1"/>
            </w14:solidFill>
          </w14:textFill>
        </w:rPr>
      </w:pPr>
      <w:r>
        <w:rPr>
          <w:rFonts w:hint="eastAsia" w:ascii="方正小标宋_GBK" w:hAnsi="方正小标宋_GBK" w:eastAsia="方正小标宋_GBK" w:cs="方正小标宋_GBK"/>
          <w:color w:val="000000" w:themeColor="text1"/>
          <w:sz w:val="52"/>
          <w:szCs w:val="52"/>
          <w14:textFill>
            <w14:solidFill>
              <w14:schemeClr w14:val="tx1"/>
            </w14:solidFill>
          </w14:textFill>
        </w:rPr>
        <w:t>龙胜各族自治县国民经济和社会发展</w:t>
      </w:r>
    </w:p>
    <w:p>
      <w:pPr>
        <w:adjustRightInd w:val="0"/>
        <w:snapToGrid w:val="0"/>
        <w:jc w:val="center"/>
        <w:rPr>
          <w:rFonts w:ascii="方正小标宋_GBK" w:hAnsi="方正小标宋_GBK" w:eastAsia="方正小标宋_GBK" w:cs="方正小标宋_GBK"/>
          <w:color w:val="000000" w:themeColor="text1"/>
          <w:sz w:val="52"/>
          <w:szCs w:val="52"/>
          <w14:textFill>
            <w14:solidFill>
              <w14:schemeClr w14:val="tx1"/>
            </w14:solidFill>
          </w14:textFill>
        </w:rPr>
      </w:pPr>
      <w:r>
        <w:rPr>
          <w:rFonts w:hint="eastAsia" w:ascii="方正小标宋_GBK" w:hAnsi="方正小标宋_GBK" w:eastAsia="方正小标宋_GBK" w:cs="方正小标宋_GBK"/>
          <w:color w:val="000000" w:themeColor="text1"/>
          <w:sz w:val="52"/>
          <w:szCs w:val="52"/>
          <w14:textFill>
            <w14:solidFill>
              <w14:schemeClr w14:val="tx1"/>
            </w14:solidFill>
          </w14:textFill>
        </w:rPr>
        <w:t>第十四个五年规划和二O三五年</w:t>
      </w:r>
    </w:p>
    <w:p>
      <w:pPr>
        <w:adjustRightInd w:val="0"/>
        <w:snapToGrid w:val="0"/>
        <w:jc w:val="center"/>
        <w:rPr>
          <w:rFonts w:ascii="方正小标宋_GBK" w:hAnsi="方正小标宋_GBK" w:eastAsia="方正小标宋_GBK" w:cs="方正小标宋_GBK"/>
          <w:color w:val="000000" w:themeColor="text1"/>
          <w:sz w:val="52"/>
          <w:szCs w:val="52"/>
          <w14:textFill>
            <w14:solidFill>
              <w14:schemeClr w14:val="tx1"/>
            </w14:solidFill>
          </w14:textFill>
        </w:rPr>
      </w:pPr>
      <w:r>
        <w:rPr>
          <w:rFonts w:hint="eastAsia" w:ascii="方正小标宋_GBK" w:hAnsi="方正小标宋_GBK" w:eastAsia="方正小标宋_GBK" w:cs="方正小标宋_GBK"/>
          <w:color w:val="000000" w:themeColor="text1"/>
          <w:sz w:val="52"/>
          <w:szCs w:val="52"/>
          <w14:textFill>
            <w14:solidFill>
              <w14:schemeClr w14:val="tx1"/>
            </w14:solidFill>
          </w14:textFill>
        </w:rPr>
        <w:t>远景目标纲要（草案）</w:t>
      </w:r>
    </w:p>
    <w:p>
      <w:pPr>
        <w:adjustRightInd w:val="0"/>
        <w:snapToGrid w:val="0"/>
        <w:jc w:val="center"/>
        <w:rPr>
          <w:rFonts w:ascii="Times New Roman" w:hAnsi="Times New Roman" w:eastAsia="仿宋_GB2312" w:cs="黑体"/>
          <w:color w:val="000000" w:themeColor="text1"/>
          <w:sz w:val="30"/>
          <w:szCs w:val="30"/>
          <w14:textFill>
            <w14:solidFill>
              <w14:schemeClr w14:val="tx1"/>
            </w14:solidFill>
          </w14:textFill>
        </w:rPr>
      </w:pPr>
    </w:p>
    <w:p>
      <w:pPr>
        <w:pStyle w:val="6"/>
        <w:ind w:firstLine="0" w:firstLineChars="0"/>
        <w:rPr>
          <w:rFonts w:ascii="Times New Roman" w:hAnsi="Times New Roman"/>
          <w:color w:val="000000" w:themeColor="text1"/>
          <w14:textFill>
            <w14:solidFill>
              <w14:schemeClr w14:val="tx1"/>
            </w14:solidFill>
          </w14:textFill>
        </w:rPr>
      </w:pPr>
      <w:bookmarkStart w:id="318" w:name="_GoBack"/>
      <w:bookmarkEnd w:id="318"/>
    </w:p>
    <w:p>
      <w:pPr>
        <w:rPr>
          <w:rFonts w:ascii="Times New Roman" w:hAnsi="Times New Roman" w:eastAsia="仿宋_GB2312"/>
          <w:color w:val="000000" w:themeColor="text1"/>
          <w:sz w:val="32"/>
          <w:szCs w:val="32"/>
          <w14:textFill>
            <w14:solidFill>
              <w14:schemeClr w14:val="tx1"/>
            </w14:solidFill>
          </w14:textFill>
        </w:rPr>
      </w:pPr>
      <w:r>
        <w:rPr>
          <w:rFonts w:ascii="Times New Roman" w:hAnsi="Times New Roman"/>
          <w:color w:val="000000" w:themeColor="text1"/>
          <w14:textFill>
            <w14:solidFill>
              <w14:schemeClr w14:val="tx1"/>
            </w14:solidFill>
          </w14:textFill>
        </w:rPr>
        <mc:AlternateContent>
          <mc:Choice Requires="wps">
            <w:drawing>
              <wp:anchor distT="0" distB="0" distL="114300" distR="114300" simplePos="0" relativeHeight="251667456" behindDoc="0" locked="0" layoutInCell="1" allowOverlap="1">
                <wp:simplePos x="0" y="0"/>
                <wp:positionH relativeFrom="column">
                  <wp:posOffset>7219315</wp:posOffset>
                </wp:positionH>
                <wp:positionV relativeFrom="paragraph">
                  <wp:posOffset>49530</wp:posOffset>
                </wp:positionV>
                <wp:extent cx="4762500" cy="3162935"/>
                <wp:effectExtent l="4445" t="4445" r="14605" b="13970"/>
                <wp:wrapNone/>
                <wp:docPr id="15" name="文本框 15"/>
                <wp:cNvGraphicFramePr/>
                <a:graphic xmlns:a="http://schemas.openxmlformats.org/drawingml/2006/main">
                  <a:graphicData uri="http://schemas.microsoft.com/office/word/2010/wordprocessingShape">
                    <wps:wsp>
                      <wps:cNvSpPr txBox="1"/>
                      <wps:spPr>
                        <a:xfrm>
                          <a:off x="1591310" y="3824605"/>
                          <a:ext cx="4762500" cy="31629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jc w:val="center"/>
                              <w:rPr>
                                <w:rFonts w:ascii="黑体" w:hAnsi="黑体" w:eastAsia="黑体" w:cs="黑体"/>
                                <w:color w:val="FF0000"/>
                                <w:sz w:val="44"/>
                                <w:szCs w:val="44"/>
                                <w:highlight w:val="cyan"/>
                              </w:rPr>
                            </w:pPr>
                            <w:r>
                              <w:rPr>
                                <w:rFonts w:hint="eastAsia" w:ascii="黑体" w:hAnsi="黑体" w:eastAsia="黑体" w:cs="黑体"/>
                                <w:color w:val="FF0000"/>
                                <w:sz w:val="28"/>
                                <w:szCs w:val="28"/>
                              </w:rPr>
                              <w:t>农业农村局改：</w:t>
                            </w:r>
                            <w:r>
                              <w:rPr>
                                <w:rFonts w:hint="eastAsia" w:ascii="黑体" w:hAnsi="黑体" w:eastAsia="黑体" w:cs="黑体"/>
                                <w:color w:val="FF0000"/>
                                <w:sz w:val="44"/>
                                <w:szCs w:val="44"/>
                                <w:highlight w:val="cyan"/>
                              </w:rPr>
                              <w:t>加青底表示</w:t>
                            </w:r>
                          </w:p>
                          <w:p>
                            <w:pPr>
                              <w:pStyle w:val="31"/>
                              <w:rPr>
                                <w:rFonts w:ascii="华文楷体" w:hAnsi="华文楷体" w:eastAsia="华文楷体" w:cs="华文楷体"/>
                                <w:color w:val="auto"/>
                                <w:sz w:val="32"/>
                                <w:szCs w:val="32"/>
                              </w:rPr>
                            </w:pPr>
                            <w:r>
                              <w:rPr>
                                <w:rFonts w:hint="eastAsia" w:ascii="黑体" w:hAnsi="黑体" w:eastAsia="黑体" w:cs="黑体"/>
                                <w:color w:val="auto"/>
                                <w:sz w:val="32"/>
                                <w:szCs w:val="32"/>
                              </w:rPr>
                              <w:t>文本：</w:t>
                            </w:r>
                            <w:r>
                              <w:rPr>
                                <w:rFonts w:hint="eastAsia" w:ascii="华文楷体" w:hAnsi="华文楷体" w:eastAsia="华文楷体" w:cs="华文楷体"/>
                                <w:color w:val="auto"/>
                                <w:sz w:val="32"/>
                                <w:szCs w:val="32"/>
                              </w:rPr>
                              <w:t>修改的有P39、P41~P47</w:t>
                            </w:r>
                          </w:p>
                          <w:p>
                            <w:pPr>
                              <w:pStyle w:val="31"/>
                              <w:rPr>
                                <w:rFonts w:ascii="华文楷体" w:hAnsi="华文楷体" w:eastAsia="华文楷体" w:cs="华文楷体"/>
                                <w:color w:val="auto"/>
                                <w:sz w:val="32"/>
                                <w:szCs w:val="32"/>
                              </w:rPr>
                            </w:pPr>
                            <w:r>
                              <w:rPr>
                                <w:rFonts w:hint="eastAsia" w:ascii="黑体" w:hAnsi="黑体" w:eastAsia="黑体" w:cs="黑体"/>
                                <w:color w:val="auto"/>
                                <w:sz w:val="32"/>
                                <w:szCs w:val="32"/>
                              </w:rPr>
                              <w:t>项目表：1、</w:t>
                            </w:r>
                            <w:r>
                              <w:rPr>
                                <w:rFonts w:hint="eastAsia" w:ascii="华文楷体" w:hAnsi="华文楷体" w:eastAsia="华文楷体" w:cs="华文楷体"/>
                                <w:color w:val="auto"/>
                                <w:sz w:val="32"/>
                                <w:szCs w:val="32"/>
                              </w:rPr>
                              <w:t>删除了第85项、第111项</w:t>
                            </w:r>
                          </w:p>
                          <w:p>
                            <w:pPr>
                              <w:pStyle w:val="31"/>
                              <w:numPr>
                                <w:ilvl w:val="0"/>
                                <w:numId w:val="2"/>
                              </w:numPr>
                              <w:ind w:firstLine="1280" w:firstLineChars="400"/>
                              <w:rPr>
                                <w:rFonts w:ascii="华文楷体" w:hAnsi="华文楷体" w:eastAsia="华文楷体" w:cs="华文楷体"/>
                                <w:color w:val="auto"/>
                                <w:sz w:val="32"/>
                                <w:szCs w:val="32"/>
                              </w:rPr>
                            </w:pPr>
                            <w:r>
                              <w:rPr>
                                <w:rFonts w:hint="eastAsia" w:ascii="华文楷体" w:hAnsi="华文楷体" w:eastAsia="华文楷体" w:cs="华文楷体"/>
                                <w:color w:val="auto"/>
                                <w:sz w:val="32"/>
                                <w:szCs w:val="32"/>
                              </w:rPr>
                              <w:t>在第149项之后增加了“龙胜县农村人居环境整治基础施放建设项目”，在150项之后增加了“福满金坑田园综合体建设项目”</w:t>
                            </w:r>
                          </w:p>
                          <w:p>
                            <w:pPr>
                              <w:pStyle w:val="31"/>
                              <w:numPr>
                                <w:ilvl w:val="0"/>
                                <w:numId w:val="2"/>
                              </w:numPr>
                              <w:ind w:firstLine="1280" w:firstLineChars="400"/>
                              <w:rPr>
                                <w:rFonts w:ascii="华文楷体" w:hAnsi="华文楷体" w:eastAsia="华文楷体" w:cs="华文楷体"/>
                                <w:color w:val="auto"/>
                                <w:sz w:val="32"/>
                                <w:szCs w:val="32"/>
                              </w:rPr>
                            </w:pPr>
                            <w:r>
                              <w:rPr>
                                <w:rFonts w:hint="eastAsia" w:ascii="华文楷体" w:hAnsi="华文楷体" w:eastAsia="华文楷体" w:cs="华文楷体"/>
                                <w:color w:val="auto"/>
                                <w:sz w:val="32"/>
                                <w:szCs w:val="32"/>
                              </w:rPr>
                              <w:t>修改了第89项的投资额度。</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68.45pt;margin-top:3.9pt;height:249.05pt;width:375pt;z-index:251667456;mso-width-relative:page;mso-height-relative:page;" fillcolor="#FFFFFF [3201]" filled="t" stroked="t" coordsize="21600,21600" o:gfxdata="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Mrm6GvWAAAACwEAAA8AAAAAAAAAAQAgAAAAIgAAAGRycy9kb3ducmV2LnhtbFBLAQIU&#10;ABQAAAAIAIdO4kCuEJVfZwIAAMYEAAAOAAAAAAAAAAEAIAAAACUBAABkcnMvZTJvRG9jLnhtbFBL&#10;BQYAAAAABgAGAFkBAAD+BQAAAAA=&#10;">
                <v:fill on="t" focussize="0,0"/>
                <v:stroke weight="0.5pt" color="#000000 [3204]" joinstyle="round"/>
                <v:imagedata o:title=""/>
                <o:lock v:ext="edit" aspectratio="f"/>
                <v:textbox>
                  <w:txbxContent>
                    <w:p>
                      <w:pPr>
                        <w:jc w:val="center"/>
                        <w:rPr>
                          <w:rFonts w:ascii="黑体" w:hAnsi="黑体" w:eastAsia="黑体" w:cs="黑体"/>
                          <w:color w:val="FF0000"/>
                          <w:sz w:val="44"/>
                          <w:szCs w:val="44"/>
                          <w:highlight w:val="cyan"/>
                        </w:rPr>
                      </w:pPr>
                      <w:r>
                        <w:rPr>
                          <w:rFonts w:hint="eastAsia" w:ascii="黑体" w:hAnsi="黑体" w:eastAsia="黑体" w:cs="黑体"/>
                          <w:color w:val="FF0000"/>
                          <w:sz w:val="28"/>
                          <w:szCs w:val="28"/>
                        </w:rPr>
                        <w:t>农业农村局改：</w:t>
                      </w:r>
                      <w:r>
                        <w:rPr>
                          <w:rFonts w:hint="eastAsia" w:ascii="黑体" w:hAnsi="黑体" w:eastAsia="黑体" w:cs="黑体"/>
                          <w:color w:val="FF0000"/>
                          <w:sz w:val="44"/>
                          <w:szCs w:val="44"/>
                          <w:highlight w:val="cyan"/>
                        </w:rPr>
                        <w:t>加青底表示</w:t>
                      </w:r>
                    </w:p>
                    <w:p>
                      <w:pPr>
                        <w:pStyle w:val="31"/>
                        <w:rPr>
                          <w:rFonts w:ascii="华文楷体" w:hAnsi="华文楷体" w:eastAsia="华文楷体" w:cs="华文楷体"/>
                          <w:color w:val="auto"/>
                          <w:sz w:val="32"/>
                          <w:szCs w:val="32"/>
                        </w:rPr>
                      </w:pPr>
                      <w:r>
                        <w:rPr>
                          <w:rFonts w:hint="eastAsia" w:ascii="黑体" w:hAnsi="黑体" w:eastAsia="黑体" w:cs="黑体"/>
                          <w:color w:val="auto"/>
                          <w:sz w:val="32"/>
                          <w:szCs w:val="32"/>
                        </w:rPr>
                        <w:t>文本：</w:t>
                      </w:r>
                      <w:r>
                        <w:rPr>
                          <w:rFonts w:hint="eastAsia" w:ascii="华文楷体" w:hAnsi="华文楷体" w:eastAsia="华文楷体" w:cs="华文楷体"/>
                          <w:color w:val="auto"/>
                          <w:sz w:val="32"/>
                          <w:szCs w:val="32"/>
                        </w:rPr>
                        <w:t>修改的有P39、P41~P47</w:t>
                      </w:r>
                    </w:p>
                    <w:p>
                      <w:pPr>
                        <w:pStyle w:val="31"/>
                        <w:rPr>
                          <w:rFonts w:ascii="华文楷体" w:hAnsi="华文楷体" w:eastAsia="华文楷体" w:cs="华文楷体"/>
                          <w:color w:val="auto"/>
                          <w:sz w:val="32"/>
                          <w:szCs w:val="32"/>
                        </w:rPr>
                      </w:pPr>
                      <w:r>
                        <w:rPr>
                          <w:rFonts w:hint="eastAsia" w:ascii="黑体" w:hAnsi="黑体" w:eastAsia="黑体" w:cs="黑体"/>
                          <w:color w:val="auto"/>
                          <w:sz w:val="32"/>
                          <w:szCs w:val="32"/>
                        </w:rPr>
                        <w:t>项目表：1、</w:t>
                      </w:r>
                      <w:r>
                        <w:rPr>
                          <w:rFonts w:hint="eastAsia" w:ascii="华文楷体" w:hAnsi="华文楷体" w:eastAsia="华文楷体" w:cs="华文楷体"/>
                          <w:color w:val="auto"/>
                          <w:sz w:val="32"/>
                          <w:szCs w:val="32"/>
                        </w:rPr>
                        <w:t>删除了第85项、第111项</w:t>
                      </w:r>
                    </w:p>
                    <w:p>
                      <w:pPr>
                        <w:pStyle w:val="31"/>
                        <w:numPr>
                          <w:ilvl w:val="0"/>
                          <w:numId w:val="2"/>
                        </w:numPr>
                        <w:ind w:firstLine="1280" w:firstLineChars="400"/>
                        <w:rPr>
                          <w:rFonts w:ascii="华文楷体" w:hAnsi="华文楷体" w:eastAsia="华文楷体" w:cs="华文楷体"/>
                          <w:color w:val="auto"/>
                          <w:sz w:val="32"/>
                          <w:szCs w:val="32"/>
                        </w:rPr>
                      </w:pPr>
                      <w:r>
                        <w:rPr>
                          <w:rFonts w:hint="eastAsia" w:ascii="华文楷体" w:hAnsi="华文楷体" w:eastAsia="华文楷体" w:cs="华文楷体"/>
                          <w:color w:val="auto"/>
                          <w:sz w:val="32"/>
                          <w:szCs w:val="32"/>
                        </w:rPr>
                        <w:t>在第149项之后增加了“龙胜县农村人居环境整治基础施放建设项目”，在150项之后增加了“福满金坑田园综合体建设项目”</w:t>
                      </w:r>
                    </w:p>
                    <w:p>
                      <w:pPr>
                        <w:pStyle w:val="31"/>
                        <w:numPr>
                          <w:ilvl w:val="0"/>
                          <w:numId w:val="2"/>
                        </w:numPr>
                        <w:ind w:firstLine="1280" w:firstLineChars="400"/>
                        <w:rPr>
                          <w:rFonts w:ascii="华文楷体" w:hAnsi="华文楷体" w:eastAsia="华文楷体" w:cs="华文楷体"/>
                          <w:color w:val="auto"/>
                          <w:sz w:val="32"/>
                          <w:szCs w:val="32"/>
                        </w:rPr>
                      </w:pPr>
                      <w:r>
                        <w:rPr>
                          <w:rFonts w:hint="eastAsia" w:ascii="华文楷体" w:hAnsi="华文楷体" w:eastAsia="华文楷体" w:cs="华文楷体"/>
                          <w:color w:val="auto"/>
                          <w:sz w:val="32"/>
                          <w:szCs w:val="32"/>
                        </w:rPr>
                        <w:t>修改了第89项的投资额度。</w:t>
                      </w:r>
                    </w:p>
                  </w:txbxContent>
                </v:textbox>
              </v:shape>
            </w:pict>
          </mc:Fallback>
        </mc:AlternateContent>
      </w:r>
    </w:p>
    <w:p>
      <w:pPr>
        <w:pStyle w:val="31"/>
        <w:rPr>
          <w:color w:val="000000" w:themeColor="text1"/>
          <w14:textFill>
            <w14:solidFill>
              <w14:schemeClr w14:val="tx1"/>
            </w14:solidFill>
          </w14:textFill>
        </w:rPr>
      </w:pPr>
    </w:p>
    <w:p>
      <w:pPr>
        <w:pStyle w:val="31"/>
        <w:rPr>
          <w:color w:val="000000" w:themeColor="text1"/>
          <w14:textFill>
            <w14:solidFill>
              <w14:schemeClr w14:val="tx1"/>
            </w14:solidFill>
          </w14:textFill>
        </w:rPr>
      </w:pPr>
    </w:p>
    <w:p>
      <w:pPr>
        <w:pStyle w:val="31"/>
        <w:rPr>
          <w:color w:val="000000" w:themeColor="text1"/>
          <w14:textFill>
            <w14:solidFill>
              <w14:schemeClr w14:val="tx1"/>
            </w14:solidFill>
          </w14:textFill>
        </w:rPr>
      </w:pPr>
    </w:p>
    <w:p>
      <w:pPr>
        <w:pStyle w:val="31"/>
        <w:rPr>
          <w:color w:val="000000" w:themeColor="text1"/>
          <w14:textFill>
            <w14:solidFill>
              <w14:schemeClr w14:val="tx1"/>
            </w14:solidFill>
          </w14:textFill>
        </w:rPr>
      </w:pPr>
    </w:p>
    <w:p>
      <w:pPr>
        <w:pStyle w:val="31"/>
        <w:rPr>
          <w:color w:val="000000" w:themeColor="text1"/>
          <w14:textFill>
            <w14:solidFill>
              <w14:schemeClr w14:val="tx1"/>
            </w14:solidFill>
          </w14:textFill>
        </w:rPr>
      </w:pPr>
    </w:p>
    <w:p>
      <w:pPr>
        <w:pStyle w:val="31"/>
        <w:rPr>
          <w:color w:val="000000" w:themeColor="text1"/>
          <w14:textFill>
            <w14:solidFill>
              <w14:schemeClr w14:val="tx1"/>
            </w14:solidFill>
          </w14:textFill>
        </w:rPr>
      </w:pPr>
    </w:p>
    <w:p>
      <w:pPr>
        <w:pStyle w:val="31"/>
        <w:rPr>
          <w:color w:val="000000" w:themeColor="text1"/>
          <w14:textFill>
            <w14:solidFill>
              <w14:schemeClr w14:val="tx1"/>
            </w14:solidFill>
          </w14:textFill>
        </w:rPr>
      </w:pPr>
    </w:p>
    <w:p>
      <w:pPr>
        <w:pStyle w:val="31"/>
        <w:rPr>
          <w:color w:val="000000" w:themeColor="text1"/>
          <w14:textFill>
            <w14:solidFill>
              <w14:schemeClr w14:val="tx1"/>
            </w14:solidFill>
          </w14:textFill>
        </w:rPr>
      </w:pPr>
    </w:p>
    <w:p>
      <w:pPr>
        <w:pStyle w:val="31"/>
        <w:rPr>
          <w:color w:val="000000" w:themeColor="text1"/>
          <w14:textFill>
            <w14:solidFill>
              <w14:schemeClr w14:val="tx1"/>
            </w14:solidFill>
          </w14:textFill>
        </w:rPr>
      </w:pPr>
    </w:p>
    <w:p>
      <w:pPr>
        <w:pStyle w:val="31"/>
        <w:rPr>
          <w:color w:val="000000" w:themeColor="text1"/>
          <w14:textFill>
            <w14:solidFill>
              <w14:schemeClr w14:val="tx1"/>
            </w14:solidFill>
          </w14:textFill>
        </w:rPr>
      </w:pPr>
    </w:p>
    <w:p>
      <w:pPr>
        <w:pStyle w:val="31"/>
        <w:rPr>
          <w:color w:val="000000" w:themeColor="text1"/>
          <w14:textFill>
            <w14:solidFill>
              <w14:schemeClr w14:val="tx1"/>
            </w14:solidFill>
          </w14:textFill>
        </w:rPr>
      </w:pPr>
    </w:p>
    <w:p>
      <w:pPr>
        <w:pStyle w:val="31"/>
        <w:rPr>
          <w:color w:val="000000" w:themeColor="text1"/>
          <w14:textFill>
            <w14:solidFill>
              <w14:schemeClr w14:val="tx1"/>
            </w14:solidFill>
          </w14:textFill>
        </w:rPr>
      </w:pPr>
    </w:p>
    <w:p>
      <w:pPr>
        <w:pStyle w:val="31"/>
        <w:rPr>
          <w:color w:val="000000" w:themeColor="text1"/>
          <w14:textFill>
            <w14:solidFill>
              <w14:schemeClr w14:val="tx1"/>
            </w14:solidFill>
          </w14:textFill>
        </w:rPr>
      </w:pPr>
    </w:p>
    <w:p>
      <w:pPr>
        <w:pStyle w:val="31"/>
        <w:rPr>
          <w:color w:val="000000" w:themeColor="text1"/>
          <w14:textFill>
            <w14:solidFill>
              <w14:schemeClr w14:val="tx1"/>
            </w14:solidFill>
          </w14:textFill>
        </w:rPr>
      </w:pPr>
    </w:p>
    <w:p>
      <w:pPr>
        <w:pStyle w:val="31"/>
        <w:rPr>
          <w:color w:val="000000" w:themeColor="text1"/>
          <w14:textFill>
            <w14:solidFill>
              <w14:schemeClr w14:val="tx1"/>
            </w14:solidFill>
          </w14:textFill>
        </w:rPr>
      </w:pPr>
    </w:p>
    <w:p>
      <w:pPr>
        <w:pStyle w:val="31"/>
        <w:rPr>
          <w:color w:val="000000" w:themeColor="text1"/>
          <w14:textFill>
            <w14:solidFill>
              <w14:schemeClr w14:val="tx1"/>
            </w14:solidFill>
          </w14:textFill>
        </w:rPr>
      </w:pPr>
    </w:p>
    <w:p>
      <w:pPr>
        <w:pStyle w:val="31"/>
        <w:rPr>
          <w:color w:val="000000" w:themeColor="text1"/>
          <w14:textFill>
            <w14:solidFill>
              <w14:schemeClr w14:val="tx1"/>
            </w14:solidFill>
          </w14:textFill>
        </w:rPr>
      </w:pPr>
    </w:p>
    <w:p>
      <w:pPr>
        <w:pStyle w:val="31"/>
        <w:rPr>
          <w:color w:val="000000" w:themeColor="text1"/>
          <w14:textFill>
            <w14:solidFill>
              <w14:schemeClr w14:val="tx1"/>
            </w14:solidFill>
          </w14:textFill>
        </w:rPr>
      </w:pPr>
    </w:p>
    <w:p>
      <w:pPr>
        <w:pStyle w:val="31"/>
        <w:rPr>
          <w:color w:val="000000" w:themeColor="text1"/>
          <w14:textFill>
            <w14:solidFill>
              <w14:schemeClr w14:val="tx1"/>
            </w14:solidFill>
          </w14:textFill>
        </w:rPr>
      </w:pPr>
    </w:p>
    <w:p>
      <w:pPr>
        <w:pStyle w:val="6"/>
        <w:ind w:firstLine="0" w:firstLineChars="0"/>
        <w:rPr>
          <w:rFonts w:ascii="Times New Roman" w:hAnsi="Times New Roman"/>
          <w:color w:val="000000" w:themeColor="text1"/>
          <w14:textFill>
            <w14:solidFill>
              <w14:schemeClr w14:val="tx1"/>
            </w14:solidFill>
          </w14:textFill>
        </w:rPr>
      </w:pPr>
    </w:p>
    <w:p>
      <w:pPr>
        <w:pStyle w:val="6"/>
        <w:rPr>
          <w:rFonts w:ascii="Times New Roman" w:hAnsi="Times New Roman"/>
          <w:color w:val="000000" w:themeColor="text1"/>
          <w14:textFill>
            <w14:solidFill>
              <w14:schemeClr w14:val="tx1"/>
            </w14:solidFill>
          </w14:textFill>
        </w:rPr>
      </w:pPr>
    </w:p>
    <w:p>
      <w:pPr>
        <w:spacing w:line="640" w:lineRule="exact"/>
        <w:jc w:val="center"/>
        <w:rPr>
          <w:rFonts w:ascii="方正小标宋_GBK" w:hAnsi="Times New Roman" w:eastAsia="方正小标宋_GBK"/>
          <w:color w:val="000000" w:themeColor="text1"/>
          <w:sz w:val="32"/>
          <w:szCs w:val="32"/>
          <w14:textFill>
            <w14:solidFill>
              <w14:schemeClr w14:val="tx1"/>
            </w14:solidFill>
          </w14:textFill>
        </w:rPr>
      </w:pPr>
      <w:r>
        <w:rPr>
          <w:rFonts w:hint="eastAsia" w:ascii="方正小标宋_GBK" w:hAnsi="Times New Roman" w:eastAsia="方正小标宋_GBK"/>
          <w:color w:val="000000" w:themeColor="text1"/>
          <w:sz w:val="32"/>
          <w:szCs w:val="32"/>
          <w14:textFill>
            <w14:solidFill>
              <w14:schemeClr w14:val="tx1"/>
            </w14:solidFill>
          </w14:textFill>
        </w:rPr>
        <w:t>龙胜各族自治县人民政府</w:t>
      </w:r>
    </w:p>
    <w:p>
      <w:pPr>
        <w:spacing w:line="640" w:lineRule="exact"/>
        <w:jc w:val="center"/>
        <w:rPr>
          <w:rFonts w:ascii="方正小标宋_GBK" w:hAnsi="Times New Roman" w:eastAsia="方正小标宋_GBK"/>
          <w:color w:val="000000" w:themeColor="text1"/>
          <w:sz w:val="32"/>
          <w:szCs w:val="32"/>
          <w14:textFill>
            <w14:solidFill>
              <w14:schemeClr w14:val="tx1"/>
            </w14:solidFill>
          </w14:textFill>
        </w:rPr>
      </w:pPr>
      <w:r>
        <w:rPr>
          <w:rFonts w:hint="eastAsia" w:ascii="方正小标宋_GBK" w:hAnsi="Times New Roman" w:eastAsia="方正小标宋_GBK"/>
          <w:color w:val="000000" w:themeColor="text1"/>
          <w:sz w:val="32"/>
          <w:szCs w:val="32"/>
          <w14:textFill>
            <w14:solidFill>
              <w14:schemeClr w14:val="tx1"/>
            </w14:solidFill>
          </w14:textFill>
        </w:rPr>
        <w:t>2021年1月29日</w:t>
      </w:r>
    </w:p>
    <w:p>
      <w:pPr>
        <w:rPr>
          <w:rFonts w:ascii="Times New Roman" w:hAnsi="Times New Roman" w:eastAsia="仿宋_GB2312"/>
          <w:color w:val="000000" w:themeColor="text1"/>
          <w:sz w:val="32"/>
          <w:szCs w:val="32"/>
          <w14:textFill>
            <w14:solidFill>
              <w14:schemeClr w14:val="tx1"/>
            </w14:solidFill>
          </w14:textFill>
        </w:rPr>
        <w:sectPr>
          <w:footerReference r:id="rId4" w:type="default"/>
          <w:pgSz w:w="11906" w:h="16838"/>
          <w:pgMar w:top="2098" w:right="1304" w:bottom="1304" w:left="1588" w:header="851" w:footer="992" w:gutter="0"/>
          <w:cols w:space="425" w:num="1"/>
          <w:docGrid w:type="lines" w:linePitch="312" w:charSpace="0"/>
        </w:sectPr>
      </w:pPr>
    </w:p>
    <w:p>
      <w:pPr>
        <w:pStyle w:val="41"/>
        <w:spacing w:before="312"/>
        <w:ind w:left="0" w:leftChars="0"/>
        <w:jc w:val="center"/>
        <w:outlineLvl w:val="9"/>
        <w:rPr>
          <w:rFonts w:ascii="Times New Roman" w:hAnsi="Times New Roman"/>
          <w:color w:val="000000" w:themeColor="text1"/>
          <w:sz w:val="44"/>
          <w:szCs w:val="44"/>
          <w14:textFill>
            <w14:solidFill>
              <w14:schemeClr w14:val="tx1"/>
            </w14:solidFill>
          </w14:textFill>
        </w:rPr>
      </w:pPr>
      <w:bookmarkStart w:id="0" w:name="_Toc7457"/>
      <w:bookmarkStart w:id="1" w:name="_Toc22552"/>
      <w:bookmarkStart w:id="2" w:name="_Toc27475"/>
      <w:bookmarkStart w:id="3" w:name="_Toc52201130"/>
      <w:r>
        <w:rPr>
          <w:rFonts w:hint="eastAsia" w:ascii="Times New Roman" w:hAnsi="Times New Roman" w:cs="仿宋"/>
          <w:b/>
          <w:bCs w:val="0"/>
          <w:color w:val="000000" w:themeColor="text1"/>
          <w:sz w:val="44"/>
          <w:szCs w:val="44"/>
          <w14:textFill>
            <w14:solidFill>
              <w14:schemeClr w14:val="tx1"/>
            </w14:solidFill>
          </w14:textFill>
        </w:rPr>
        <w:t>目  录</w:t>
      </w:r>
      <w:bookmarkEnd w:id="0"/>
      <w:bookmarkEnd w:id="1"/>
      <w:bookmarkEnd w:id="2"/>
      <w:r>
        <w:rPr>
          <w:rFonts w:ascii="Times New Roman" w:hAnsi="Times New Roman"/>
          <w:color w:val="000000" w:themeColor="text1"/>
          <w:sz w:val="44"/>
          <w:szCs w:val="44"/>
          <w14:textFill>
            <w14:solidFill>
              <w14:schemeClr w14:val="tx1"/>
            </w14:solidFill>
          </w14:textFill>
        </w:rPr>
        <w:fldChar w:fldCharType="begin"/>
      </w:r>
      <w:r>
        <w:rPr>
          <w:rFonts w:ascii="Times New Roman" w:hAnsi="Times New Roman"/>
          <w:color w:val="000000" w:themeColor="text1"/>
          <w:sz w:val="44"/>
          <w:szCs w:val="44"/>
          <w14:textFill>
            <w14:solidFill>
              <w14:schemeClr w14:val="tx1"/>
            </w14:solidFill>
          </w14:textFill>
        </w:rPr>
        <w:instrText xml:space="preserve">TOC \o "1-2" \h \u </w:instrText>
      </w:r>
      <w:r>
        <w:rPr>
          <w:rFonts w:ascii="Times New Roman" w:hAnsi="Times New Roman"/>
          <w:color w:val="000000" w:themeColor="text1"/>
          <w:sz w:val="44"/>
          <w:szCs w:val="44"/>
          <w14:textFill>
            <w14:solidFill>
              <w14:schemeClr w14:val="tx1"/>
            </w14:solidFill>
          </w14:textFill>
        </w:rPr>
        <w:fldChar w:fldCharType="separate"/>
      </w:r>
    </w:p>
    <w:p>
      <w:pPr>
        <w:pStyle w:val="17"/>
        <w:tabs>
          <w:tab w:val="right" w:leader="dot" w:pos="9004"/>
        </w:tabs>
        <w:spacing w:line="570" w:lineRule="exact"/>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"_Toc61110758" </w:instrText>
      </w:r>
      <w:r>
        <w:fldChar w:fldCharType="separate"/>
      </w:r>
      <w:r>
        <w:rPr>
          <w:rStyle w:val="28"/>
          <w:rFonts w:hint="eastAsia" w:ascii="Times New Roman" w:hAnsi="Times New Roman" w:eastAsia="黑体" w:cs="仿宋"/>
          <w:bCs/>
          <w:color w:val="000000" w:themeColor="text1"/>
          <w:sz w:val="28"/>
          <w:szCs w:val="28"/>
          <w14:textFill>
            <w14:solidFill>
              <w14:schemeClr w14:val="tx1"/>
            </w14:solidFill>
          </w14:textFill>
        </w:rPr>
        <w:t>第一篇  “两个建成”取得明显成就，龙胜发展进入新阶段</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1</w:t>
      </w:r>
      <w:r>
        <w:rPr>
          <w:rFonts w:hint="eastAsia" w:ascii="Times New Roman" w:hAnsi="Times New Roman" w:eastAsia="仿宋" w:cs="仿宋"/>
          <w:color w:val="000000" w:themeColor="text1"/>
          <w:sz w:val="28"/>
          <w:szCs w:val="28"/>
          <w14:textFill>
            <w14:solidFill>
              <w14:schemeClr w14:val="tx1"/>
            </w14:solidFill>
          </w14:textFill>
        </w:rPr>
        <w:fldChar w:fldCharType="end"/>
      </w:r>
    </w:p>
    <w:p>
      <w:pPr>
        <w:pStyle w:val="17"/>
        <w:tabs>
          <w:tab w:val="right" w:leader="dot" w:pos="9004"/>
        </w:tabs>
        <w:spacing w:line="570" w:lineRule="exact"/>
        <w:ind w:firstLine="210" w:firstLineChars="10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"_Toc61110759" </w:instrText>
      </w:r>
      <w:r>
        <w:fldChar w:fldCharType="separate"/>
      </w:r>
      <w:r>
        <w:rPr>
          <w:rStyle w:val="28"/>
          <w:rFonts w:hint="eastAsia" w:ascii="Times New Roman" w:hAnsi="Times New Roman" w:eastAsia="楷体_GB2312" w:cs="仿宋"/>
          <w:color w:val="000000" w:themeColor="text1"/>
          <w:sz w:val="28"/>
          <w:szCs w:val="28"/>
          <w14:textFill>
            <w14:solidFill>
              <w14:schemeClr w14:val="tx1"/>
            </w14:solidFill>
          </w14:textFill>
        </w:rPr>
        <w:t>第一章 “十三五”规划圆满收官</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1</w:t>
      </w:r>
      <w:r>
        <w:rPr>
          <w:rFonts w:hint="eastAsia" w:ascii="Times New Roman" w:hAnsi="Times New Roman" w:eastAsia="仿宋" w:cs="仿宋"/>
          <w:color w:val="000000" w:themeColor="text1"/>
          <w:sz w:val="28"/>
          <w:szCs w:val="28"/>
          <w14:textFill>
            <w14:solidFill>
              <w14:schemeClr w14:val="tx1"/>
            </w14:solidFill>
          </w14:textFill>
        </w:rPr>
        <w:fldChar w:fldCharType="end"/>
      </w:r>
    </w:p>
    <w:p>
      <w:pPr>
        <w:pStyle w:val="2"/>
        <w:tabs>
          <w:tab w:val="right" w:leader="dot" w:pos="9004"/>
        </w:tabs>
        <w:spacing w:line="570" w:lineRule="exact"/>
        <w:ind w:left="0" w:leftChars="0" w:firstLine="420" w:firstLineChars="20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"_Toc61110760"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第一节  “两个建成”目标如期实现</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2</w:t>
      </w:r>
      <w:r>
        <w:rPr>
          <w:rFonts w:hint="eastAsia" w:ascii="Times New Roman" w:hAnsi="Times New Roman" w:eastAsia="仿宋" w:cs="仿宋"/>
          <w:color w:val="000000" w:themeColor="text1"/>
          <w:sz w:val="28"/>
          <w:szCs w:val="28"/>
          <w14:textFill>
            <w14:solidFill>
              <w14:schemeClr w14:val="tx1"/>
            </w14:solidFill>
          </w14:textFill>
        </w:rPr>
        <w:fldChar w:fldCharType="end"/>
      </w:r>
    </w:p>
    <w:p>
      <w:pPr>
        <w:pStyle w:val="2"/>
        <w:tabs>
          <w:tab w:val="right" w:leader="dot" w:pos="9004"/>
        </w:tabs>
        <w:spacing w:line="570" w:lineRule="exact"/>
        <w:ind w:left="0" w:leftChars="0" w:firstLine="420" w:firstLineChars="20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"_Toc61110761"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第二节  过去五年经济社会发展取得的重大成就</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3</w:t>
      </w:r>
      <w:r>
        <w:rPr>
          <w:rFonts w:hint="eastAsia" w:ascii="Times New Roman" w:hAnsi="Times New Roman" w:eastAsia="仿宋" w:cs="仿宋"/>
          <w:color w:val="000000" w:themeColor="text1"/>
          <w:sz w:val="28"/>
          <w:szCs w:val="28"/>
          <w14:textFill>
            <w14:solidFill>
              <w14:schemeClr w14:val="tx1"/>
            </w14:solidFill>
          </w14:textFill>
        </w:rPr>
        <w:fldChar w:fldCharType="end"/>
      </w:r>
    </w:p>
    <w:p>
      <w:pPr>
        <w:pStyle w:val="17"/>
        <w:tabs>
          <w:tab w:val="right" w:leader="dot" w:pos="9004"/>
        </w:tabs>
        <w:spacing w:line="570" w:lineRule="exact"/>
        <w:ind w:firstLine="210" w:firstLineChars="10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"_Toc61110762" </w:instrText>
      </w:r>
      <w:r>
        <w:fldChar w:fldCharType="separate"/>
      </w:r>
      <w:r>
        <w:rPr>
          <w:rStyle w:val="28"/>
          <w:rFonts w:hint="eastAsia" w:ascii="Times New Roman" w:hAnsi="Times New Roman" w:eastAsia="楷体_GB2312" w:cs="仿宋"/>
          <w:color w:val="000000" w:themeColor="text1"/>
          <w:sz w:val="28"/>
          <w:szCs w:val="28"/>
          <w14:textFill>
            <w14:solidFill>
              <w14:schemeClr w14:val="tx1"/>
            </w14:solidFill>
          </w14:textFill>
        </w:rPr>
        <w:t>第二章  新发展阶段的新历史方位</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9</w:t>
      </w:r>
      <w:r>
        <w:rPr>
          <w:rFonts w:hint="eastAsia" w:ascii="Times New Roman" w:hAnsi="Times New Roman" w:eastAsia="仿宋" w:cs="仿宋"/>
          <w:color w:val="000000" w:themeColor="text1"/>
          <w:sz w:val="28"/>
          <w:szCs w:val="28"/>
          <w14:textFill>
            <w14:solidFill>
              <w14:schemeClr w14:val="tx1"/>
            </w14:solidFill>
          </w14:textFill>
        </w:rPr>
        <w:fldChar w:fldCharType="end"/>
      </w:r>
    </w:p>
    <w:p>
      <w:pPr>
        <w:pStyle w:val="2"/>
        <w:tabs>
          <w:tab w:val="right" w:leader="dot" w:pos="9004"/>
        </w:tabs>
        <w:spacing w:line="570" w:lineRule="exact"/>
        <w:ind w:left="0" w:leftChars="0" w:firstLine="420" w:firstLineChars="20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"_Toc61110763"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第一节  “十四五”时期发展面临的新形势</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9</w:t>
      </w:r>
      <w:r>
        <w:rPr>
          <w:rFonts w:hint="eastAsia" w:ascii="Times New Roman" w:hAnsi="Times New Roman" w:eastAsia="仿宋" w:cs="仿宋"/>
          <w:color w:val="000000" w:themeColor="text1"/>
          <w:sz w:val="28"/>
          <w:szCs w:val="28"/>
          <w14:textFill>
            <w14:solidFill>
              <w14:schemeClr w14:val="tx1"/>
            </w14:solidFill>
          </w14:textFill>
        </w:rPr>
        <w:fldChar w:fldCharType="end"/>
      </w:r>
    </w:p>
    <w:p>
      <w:pPr>
        <w:pStyle w:val="2"/>
        <w:tabs>
          <w:tab w:val="right" w:leader="dot" w:pos="9004"/>
        </w:tabs>
        <w:spacing w:line="570" w:lineRule="exact"/>
        <w:ind w:left="0" w:leftChars="0" w:firstLine="420" w:firstLineChars="20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"_Toc61110764"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第二节  面临的新机遇和挑战</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1</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1</w:t>
      </w:r>
    </w:p>
    <w:p>
      <w:pPr>
        <w:pStyle w:val="17"/>
        <w:tabs>
          <w:tab w:val="right" w:leader="dot" w:pos="9004"/>
        </w:tabs>
        <w:spacing w:line="570" w:lineRule="exact"/>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"_Toc61110758" </w:instrText>
      </w:r>
      <w:r>
        <w:fldChar w:fldCharType="separate"/>
      </w:r>
      <w:r>
        <w:rPr>
          <w:rStyle w:val="28"/>
          <w:rFonts w:hint="eastAsia" w:ascii="Times New Roman" w:hAnsi="Times New Roman" w:eastAsia="黑体" w:cs="仿宋"/>
          <w:bCs/>
          <w:color w:val="000000" w:themeColor="text1"/>
          <w:sz w:val="28"/>
          <w:szCs w:val="28"/>
          <w14:textFill>
            <w14:solidFill>
              <w14:schemeClr w14:val="tx1"/>
            </w14:solidFill>
          </w14:textFill>
        </w:rPr>
        <w:t>第二篇   深入贯彻新发展理念，开启现代化建设新征程</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1</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3</w:t>
      </w:r>
    </w:p>
    <w:p>
      <w:pPr>
        <w:pStyle w:val="17"/>
        <w:tabs>
          <w:tab w:val="right" w:leader="dot" w:pos="9004"/>
        </w:tabs>
        <w:spacing w:line="570" w:lineRule="exact"/>
        <w:ind w:firstLine="210" w:firstLineChars="10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"_Toc61110767" </w:instrText>
      </w:r>
      <w:r>
        <w:fldChar w:fldCharType="separate"/>
      </w:r>
      <w:r>
        <w:rPr>
          <w:rStyle w:val="28"/>
          <w:rFonts w:hint="eastAsia" w:ascii="Times New Roman" w:hAnsi="Times New Roman" w:eastAsia="楷体_GB2312" w:cs="仿宋"/>
          <w:color w:val="000000" w:themeColor="text1"/>
          <w:sz w:val="28"/>
          <w:szCs w:val="28"/>
          <w14:textFill>
            <w14:solidFill>
              <w14:schemeClr w14:val="tx1"/>
            </w14:solidFill>
          </w14:textFill>
        </w:rPr>
        <w:t>第三章  “十四五”时期发展总体要求</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1</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3</w:t>
      </w:r>
    </w:p>
    <w:p>
      <w:pPr>
        <w:pStyle w:val="2"/>
        <w:tabs>
          <w:tab w:val="right" w:leader="dot" w:pos="9004"/>
        </w:tabs>
        <w:spacing w:line="570" w:lineRule="exact"/>
        <w:ind w:left="0" w:leftChars="0" w:firstLine="420" w:firstLineChars="20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"_Toc61110768"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第一节  指导思想</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1</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3</w:t>
      </w:r>
    </w:p>
    <w:p>
      <w:pPr>
        <w:pStyle w:val="2"/>
        <w:tabs>
          <w:tab w:val="right" w:leader="dot" w:pos="9004"/>
        </w:tabs>
        <w:spacing w:line="570" w:lineRule="exact"/>
        <w:ind w:left="0" w:leftChars="0" w:firstLine="420" w:firstLineChars="20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"_Toc61110769"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第二节  基本原则</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1</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3</w:t>
      </w:r>
    </w:p>
    <w:p>
      <w:pPr>
        <w:pStyle w:val="2"/>
        <w:tabs>
          <w:tab w:val="right" w:leader="dot" w:pos="9004"/>
        </w:tabs>
        <w:spacing w:line="570" w:lineRule="exact"/>
        <w:ind w:left="0" w:leftChars="0" w:firstLine="420" w:firstLineChars="20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"_Toc61110770"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第三节  发展目标</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1</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5</w:t>
      </w:r>
    </w:p>
    <w:p>
      <w:pPr>
        <w:pStyle w:val="17"/>
        <w:tabs>
          <w:tab w:val="right" w:leader="dot" w:pos="9004"/>
        </w:tabs>
        <w:spacing w:line="570" w:lineRule="exact"/>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"_Toc61110758" </w:instrText>
      </w:r>
      <w:r>
        <w:fldChar w:fldCharType="separate"/>
      </w:r>
      <w:r>
        <w:rPr>
          <w:rStyle w:val="28"/>
          <w:rFonts w:hint="eastAsia" w:ascii="Times New Roman" w:hAnsi="Times New Roman" w:eastAsia="黑体" w:cs="仿宋"/>
          <w:bCs/>
          <w:color w:val="000000" w:themeColor="text1"/>
          <w:sz w:val="28"/>
          <w:szCs w:val="28"/>
          <w14:textFill>
            <w14:solidFill>
              <w14:schemeClr w14:val="tx1"/>
            </w14:solidFill>
          </w14:textFill>
        </w:rPr>
        <w:t>第三篇   实施三大振兴，坚持两大战略，绘就富裕和谐美丽龙胜新篇章</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2</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1</w:t>
      </w:r>
    </w:p>
    <w:p>
      <w:pPr>
        <w:pStyle w:val="17"/>
        <w:tabs>
          <w:tab w:val="right" w:leader="dot" w:pos="9004"/>
        </w:tabs>
        <w:spacing w:line="570" w:lineRule="exact"/>
        <w:ind w:firstLine="210" w:firstLineChars="10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"_Toc61110776" </w:instrText>
      </w:r>
      <w:r>
        <w:fldChar w:fldCharType="separate"/>
      </w:r>
      <w:r>
        <w:rPr>
          <w:rStyle w:val="28"/>
          <w:rFonts w:hint="eastAsia" w:ascii="Times New Roman" w:hAnsi="Times New Roman" w:eastAsia="楷体_GB2312" w:cs="仿宋"/>
          <w:color w:val="000000" w:themeColor="text1"/>
          <w:sz w:val="28"/>
          <w:szCs w:val="28"/>
          <w14:textFill>
            <w14:solidFill>
              <w14:schemeClr w14:val="tx1"/>
            </w14:solidFill>
          </w14:textFill>
        </w:rPr>
        <w:t>第四章  着力工业振兴，确保规模企业提质增效</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2</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1</w:t>
      </w:r>
    </w:p>
    <w:p>
      <w:pPr>
        <w:pStyle w:val="2"/>
        <w:tabs>
          <w:tab w:val="right" w:leader="dot" w:pos="9004"/>
        </w:tabs>
        <w:spacing w:line="570" w:lineRule="exact"/>
        <w:ind w:left="0" w:leftChars="0" w:firstLine="420" w:firstLineChars="20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"_Toc61110777"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第一节  优化工业发展园区</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2</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1</w:t>
      </w:r>
    </w:p>
    <w:p>
      <w:pPr>
        <w:pStyle w:val="2"/>
        <w:tabs>
          <w:tab w:val="right" w:leader="dot" w:pos="9004"/>
        </w:tabs>
        <w:spacing w:line="570" w:lineRule="exact"/>
        <w:ind w:left="0" w:leftChars="0" w:firstLine="420" w:firstLineChars="20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"_Toc61110778"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第二节  实施特色产业项目</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2</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2</w:t>
      </w:r>
    </w:p>
    <w:p>
      <w:pPr>
        <w:pStyle w:val="2"/>
        <w:tabs>
          <w:tab w:val="right" w:leader="dot" w:pos="9004"/>
        </w:tabs>
        <w:spacing w:line="570" w:lineRule="exact"/>
        <w:ind w:left="0" w:leftChars="0" w:firstLine="420" w:firstLineChars="20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"_Toc61110779"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第三节  壮大龙头骨干企业</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2</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4</w:t>
      </w:r>
    </w:p>
    <w:p>
      <w:pPr>
        <w:pStyle w:val="2"/>
        <w:tabs>
          <w:tab w:val="right" w:leader="dot" w:pos="9004"/>
        </w:tabs>
        <w:spacing w:line="570" w:lineRule="exact"/>
        <w:ind w:left="0" w:leftChars="0" w:firstLine="420" w:firstLineChars="20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"_Toc61110780"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第四节  信息数字设施建设</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2</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5</w:t>
      </w:r>
    </w:p>
    <w:p>
      <w:pPr>
        <w:pStyle w:val="2"/>
        <w:tabs>
          <w:tab w:val="right" w:leader="dot" w:pos="9004"/>
        </w:tabs>
        <w:spacing w:line="570" w:lineRule="exact"/>
        <w:ind w:left="0" w:leftChars="0" w:firstLine="420" w:firstLineChars="20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"_Toc61110781"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第五节  要素和机制保障</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2</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5</w:t>
      </w:r>
    </w:p>
    <w:p>
      <w:pPr>
        <w:pStyle w:val="17"/>
        <w:tabs>
          <w:tab w:val="right" w:leader="dot" w:pos="9004"/>
        </w:tabs>
        <w:spacing w:line="570" w:lineRule="exact"/>
        <w:ind w:firstLine="210" w:firstLineChars="10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"_Toc61110782" </w:instrText>
      </w:r>
      <w:r>
        <w:fldChar w:fldCharType="separate"/>
      </w:r>
      <w:r>
        <w:rPr>
          <w:rStyle w:val="28"/>
          <w:rFonts w:hint="eastAsia" w:ascii="Times New Roman" w:hAnsi="Times New Roman" w:eastAsia="楷体_GB2312" w:cs="仿宋"/>
          <w:color w:val="000000" w:themeColor="text1"/>
          <w:sz w:val="28"/>
          <w:szCs w:val="28"/>
          <w14:textFill>
            <w14:solidFill>
              <w14:schemeClr w14:val="tx1"/>
            </w14:solidFill>
          </w14:textFill>
        </w:rPr>
        <w:t>第五章  实施乡村振兴，巩固拓展脱贫攻坚成果</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2</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7</w:t>
      </w:r>
    </w:p>
    <w:p>
      <w:pPr>
        <w:pStyle w:val="2"/>
        <w:tabs>
          <w:tab w:val="right" w:leader="dot" w:pos="9004"/>
        </w:tabs>
        <w:spacing w:line="570" w:lineRule="exact"/>
        <w:ind w:left="0" w:leftChars="0" w:firstLine="420" w:firstLineChars="20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"_Toc61110784"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第一节  提高特色农业发展质量和竞争力</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2</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7</w:t>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"_Toc61110785"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第二节  实施乡村建设行动</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3</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5</w:t>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"_Toc61110786"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第三节  健全乡村治理体系</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3</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6</w:t>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"_Toc61110787"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第四节  巩固拓展脱贫攻坚成果</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3</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7</w:t>
      </w:r>
    </w:p>
    <w:p>
      <w:pPr>
        <w:pStyle w:val="17"/>
        <w:tabs>
          <w:tab w:val="right" w:leader="dot" w:pos="9004"/>
        </w:tabs>
        <w:spacing w:line="570" w:lineRule="exact"/>
        <w:ind w:firstLine="210" w:firstLineChars="10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"_Toc61110788" </w:instrText>
      </w:r>
      <w:r>
        <w:fldChar w:fldCharType="separate"/>
      </w:r>
      <w:r>
        <w:rPr>
          <w:rStyle w:val="28"/>
          <w:rFonts w:hint="eastAsia" w:ascii="Times New Roman" w:hAnsi="Times New Roman" w:eastAsia="楷体_GB2312" w:cs="仿宋"/>
          <w:color w:val="000000" w:themeColor="text1"/>
          <w:sz w:val="28"/>
          <w:szCs w:val="28"/>
          <w14:textFill>
            <w14:solidFill>
              <w14:schemeClr w14:val="tx1"/>
            </w14:solidFill>
          </w14:textFill>
        </w:rPr>
        <w:t>第六章  促进文旅振兴，铸就国际品牌</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3</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9</w:t>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"_Toc61110789"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第一节  推进全域旅游建设</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3</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9</w:t>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"_Toc61110790"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第二节  促进文化事业发展</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43</w:t>
      </w:r>
      <w:r>
        <w:rPr>
          <w:rFonts w:hint="eastAsia" w:ascii="Times New Roman" w:hAnsi="Times New Roman" w:eastAsia="仿宋" w:cs="仿宋"/>
          <w:color w:val="000000" w:themeColor="text1"/>
          <w:sz w:val="28"/>
          <w:szCs w:val="28"/>
          <w14:textFill>
            <w14:solidFill>
              <w14:schemeClr w14:val="tx1"/>
            </w14:solidFill>
          </w14:textFill>
        </w:rPr>
        <w:fldChar w:fldCharType="end"/>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"_Toc61110791"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第三节  广电体育事业发展</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4</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4</w:t>
      </w:r>
    </w:p>
    <w:p>
      <w:pPr>
        <w:pStyle w:val="17"/>
        <w:tabs>
          <w:tab w:val="right" w:leader="dot" w:pos="9004"/>
        </w:tabs>
        <w:spacing w:line="570" w:lineRule="exact"/>
        <w:ind w:firstLine="210" w:firstLineChars="10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"_Toc61110792" </w:instrText>
      </w:r>
      <w:r>
        <w:fldChar w:fldCharType="separate"/>
      </w:r>
      <w:r>
        <w:rPr>
          <w:rStyle w:val="28"/>
          <w:rFonts w:hint="eastAsia" w:ascii="Times New Roman" w:hAnsi="Times New Roman" w:eastAsia="楷体_GB2312" w:cs="仿宋"/>
          <w:color w:val="000000" w:themeColor="text1"/>
          <w:sz w:val="28"/>
          <w:szCs w:val="28"/>
          <w14:textFill>
            <w14:solidFill>
              <w14:schemeClr w14:val="tx1"/>
            </w14:solidFill>
          </w14:textFill>
        </w:rPr>
        <w:t>第七章  拓展生态内涵，推进“两山”模式</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4</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7</w:t>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"_Toc61110793"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第一节  打造“两山”示范县</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4</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7</w:t>
      </w:r>
    </w:p>
    <w:p>
      <w:pPr>
        <w:pStyle w:val="2"/>
        <w:tabs>
          <w:tab w:val="right" w:leader="dot" w:pos="9004"/>
        </w:tabs>
        <w:spacing w:line="570" w:lineRule="exact"/>
        <w:ind w:firstLine="105" w:firstLineChars="50"/>
        <w:rPr>
          <w:rFonts w:ascii="Times New Roman" w:hAnsi="Times New Roman" w:eastAsia="仿宋"/>
          <w:color w:val="000000" w:themeColor="text1"/>
          <w14:textFill>
            <w14:solidFill>
              <w14:schemeClr w14:val="tx1"/>
            </w14:solidFill>
          </w14:textFill>
        </w:rPr>
      </w:pPr>
      <w:r>
        <w:fldChar w:fldCharType="begin"/>
      </w:r>
      <w:r>
        <w:instrText xml:space="preserve"> HYPERLINK \l "_Toc61110793"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第二节  加大生态环境保护</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4</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8</w:t>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"_Toc61110794"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第三节  大力发展生态经济</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50</w:t>
      </w:r>
      <w:r>
        <w:rPr>
          <w:rFonts w:hint="eastAsia" w:ascii="Times New Roman" w:hAnsi="Times New Roman" w:eastAsia="仿宋" w:cs="仿宋"/>
          <w:color w:val="000000" w:themeColor="text1"/>
          <w:sz w:val="28"/>
          <w:szCs w:val="28"/>
          <w14:textFill>
            <w14:solidFill>
              <w14:schemeClr w14:val="tx1"/>
            </w14:solidFill>
          </w14:textFill>
        </w:rPr>
        <w:fldChar w:fldCharType="end"/>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"_Toc61110795"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第四节  促进低碳消费</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50</w:t>
      </w:r>
      <w:r>
        <w:rPr>
          <w:rFonts w:hint="eastAsia" w:ascii="Times New Roman" w:hAnsi="Times New Roman" w:eastAsia="仿宋" w:cs="仿宋"/>
          <w:color w:val="000000" w:themeColor="text1"/>
          <w:sz w:val="28"/>
          <w:szCs w:val="28"/>
          <w14:textFill>
            <w14:solidFill>
              <w14:schemeClr w14:val="tx1"/>
            </w14:solidFill>
          </w14:textFill>
        </w:rPr>
        <w:fldChar w:fldCharType="end"/>
      </w:r>
    </w:p>
    <w:p>
      <w:pPr>
        <w:pStyle w:val="17"/>
        <w:tabs>
          <w:tab w:val="right" w:leader="dot" w:pos="9004"/>
        </w:tabs>
        <w:spacing w:line="570" w:lineRule="exact"/>
        <w:ind w:firstLine="210" w:firstLineChars="10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"_Toc61110796" </w:instrText>
      </w:r>
      <w:r>
        <w:fldChar w:fldCharType="separate"/>
      </w:r>
      <w:r>
        <w:rPr>
          <w:rStyle w:val="28"/>
          <w:rFonts w:hint="eastAsia" w:ascii="Times New Roman" w:hAnsi="Times New Roman" w:eastAsia="楷体_GB2312" w:cs="仿宋"/>
          <w:color w:val="000000" w:themeColor="text1"/>
          <w:sz w:val="28"/>
          <w:szCs w:val="28"/>
          <w14:textFill>
            <w14:solidFill>
              <w14:schemeClr w14:val="tx1"/>
            </w14:solidFill>
          </w14:textFill>
        </w:rPr>
        <w:t>第八章  完善基础建设，提升发展支撑</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5</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2</w:t>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"_Toc61110797"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第一节  强化交通基础设施建设</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52</w:t>
      </w:r>
      <w:r>
        <w:rPr>
          <w:rFonts w:hint="eastAsia" w:ascii="Times New Roman" w:hAnsi="Times New Roman" w:eastAsia="仿宋" w:cs="仿宋"/>
          <w:color w:val="000000" w:themeColor="text1"/>
          <w:sz w:val="28"/>
          <w:szCs w:val="28"/>
          <w14:textFill>
            <w14:solidFill>
              <w14:schemeClr w14:val="tx1"/>
            </w14:solidFill>
          </w14:textFill>
        </w:rPr>
        <w:fldChar w:fldCharType="end"/>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"_Toc61110798"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第二节  补齐水利设施建设短板</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5</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5</w:t>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"_Toc61110799"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第三节  推进新型基础设施建设</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5</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7</w:t>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"_Toc61110800"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第四节  促进生活基础设施提质升级</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5</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7</w:t>
      </w:r>
    </w:p>
    <w:p>
      <w:pPr>
        <w:pStyle w:val="17"/>
        <w:tabs>
          <w:tab w:val="right" w:leader="dot" w:pos="9004"/>
        </w:tabs>
        <w:spacing w:line="570" w:lineRule="exact"/>
        <w:ind w:firstLine="210" w:firstLineChars="10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"_Toc61110801" </w:instrText>
      </w:r>
      <w:r>
        <w:fldChar w:fldCharType="separate"/>
      </w:r>
      <w:r>
        <w:rPr>
          <w:rStyle w:val="28"/>
          <w:rFonts w:hint="eastAsia" w:ascii="Times New Roman" w:hAnsi="Times New Roman" w:eastAsia="楷体_GB2312" w:cs="仿宋"/>
          <w:color w:val="000000" w:themeColor="text1"/>
          <w:sz w:val="28"/>
          <w:szCs w:val="28"/>
          <w14:textFill>
            <w14:solidFill>
              <w14:schemeClr w14:val="tx1"/>
            </w14:solidFill>
          </w14:textFill>
        </w:rPr>
        <w:t>第九章  强化城乡统筹，推进城乡融合</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5</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9</w:t>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"_Toc61110802"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第一节  提升县城核心功能</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5</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9</w:t>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"_Toc61110803"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第二节  加速重点城镇建设</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6</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0</w:t>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"_Toc61110804"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第三节  促进城乡联动发展</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61</w:t>
      </w:r>
    </w:p>
    <w:p>
      <w:pPr>
        <w:pStyle w:val="17"/>
        <w:tabs>
          <w:tab w:val="right" w:leader="dot" w:pos="9004"/>
        </w:tabs>
        <w:spacing w:line="570" w:lineRule="exact"/>
        <w:ind w:firstLine="210" w:firstLineChars="10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"_Toc61110805" </w:instrText>
      </w:r>
      <w:r>
        <w:fldChar w:fldCharType="separate"/>
      </w:r>
      <w:r>
        <w:rPr>
          <w:rStyle w:val="28"/>
          <w:rFonts w:hint="eastAsia" w:ascii="Times New Roman" w:hAnsi="Times New Roman" w:eastAsia="楷体_GB2312" w:cs="仿宋"/>
          <w:color w:val="000000" w:themeColor="text1"/>
          <w:sz w:val="28"/>
          <w:szCs w:val="28"/>
          <w14:textFill>
            <w14:solidFill>
              <w14:schemeClr w14:val="tx1"/>
            </w14:solidFill>
          </w14:textFill>
        </w:rPr>
        <w:t>第十章  优化营商环境，加速招商引资</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6</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3</w:t>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"_Toc61110806"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第一节  提升政府服务效能</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63</w:t>
      </w:r>
      <w:r>
        <w:rPr>
          <w:rFonts w:hint="eastAsia" w:ascii="Times New Roman" w:hAnsi="Times New Roman" w:eastAsia="仿宋" w:cs="仿宋"/>
          <w:color w:val="000000" w:themeColor="text1"/>
          <w:sz w:val="28"/>
          <w:szCs w:val="28"/>
          <w14:textFill>
            <w14:solidFill>
              <w14:schemeClr w14:val="tx1"/>
            </w14:solidFill>
          </w14:textFill>
        </w:rPr>
        <w:fldChar w:fldCharType="end"/>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"_Toc61110807"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第二节  降低企业经营成本</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64</w:t>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"_Toc61110808"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第三节  创新监管方式方法</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65</w:t>
      </w:r>
      <w:r>
        <w:rPr>
          <w:rFonts w:hint="eastAsia" w:ascii="Times New Roman" w:hAnsi="Times New Roman" w:eastAsia="仿宋" w:cs="仿宋"/>
          <w:color w:val="000000" w:themeColor="text1"/>
          <w:sz w:val="28"/>
          <w:szCs w:val="28"/>
          <w14:textFill>
            <w14:solidFill>
              <w14:schemeClr w14:val="tx1"/>
            </w14:solidFill>
          </w14:textFill>
        </w:rPr>
        <w:fldChar w:fldCharType="end"/>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"_Toc61110809"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第四节  加大招商引资力度</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6</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5</w:t>
      </w:r>
    </w:p>
    <w:p>
      <w:pPr>
        <w:pStyle w:val="17"/>
        <w:tabs>
          <w:tab w:val="right" w:leader="dot" w:pos="9004"/>
        </w:tabs>
        <w:spacing w:line="570" w:lineRule="exact"/>
        <w:ind w:firstLine="210" w:firstLineChars="10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"_Toc61110810" </w:instrText>
      </w:r>
      <w:r>
        <w:fldChar w:fldCharType="separate"/>
      </w:r>
      <w:r>
        <w:rPr>
          <w:rStyle w:val="28"/>
          <w:rFonts w:hint="eastAsia" w:ascii="Times New Roman" w:hAnsi="Times New Roman" w:eastAsia="楷体_GB2312" w:cs="仿宋"/>
          <w:color w:val="000000" w:themeColor="text1"/>
          <w:sz w:val="28"/>
          <w:szCs w:val="28"/>
          <w14:textFill>
            <w14:solidFill>
              <w14:schemeClr w14:val="tx1"/>
            </w14:solidFill>
          </w14:textFill>
        </w:rPr>
        <w:t>第十一章  全面深化改革，构建共治体系</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67</w:t>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"_Toc61110811"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第一节  要素资源市场化改革</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67</w:t>
      </w:r>
      <w:r>
        <w:rPr>
          <w:rFonts w:hint="eastAsia" w:ascii="Times New Roman" w:hAnsi="Times New Roman" w:eastAsia="仿宋" w:cs="仿宋"/>
          <w:color w:val="000000" w:themeColor="text1"/>
          <w:sz w:val="28"/>
          <w:szCs w:val="28"/>
          <w14:textFill>
            <w14:solidFill>
              <w14:schemeClr w14:val="tx1"/>
            </w14:solidFill>
          </w14:textFill>
        </w:rPr>
        <w:fldChar w:fldCharType="end"/>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"_Toc61110812"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第二节  推进重点领域改革</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69</w:t>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"_Toc61110813"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第三节  提升政府治理能力</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7</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1</w:t>
      </w:r>
    </w:p>
    <w:p>
      <w:pPr>
        <w:pStyle w:val="17"/>
        <w:tabs>
          <w:tab w:val="right" w:leader="dot" w:pos="9004"/>
        </w:tabs>
        <w:spacing w:line="570" w:lineRule="exact"/>
        <w:ind w:firstLine="210" w:firstLineChars="10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"_Toc61110814" </w:instrText>
      </w:r>
      <w:r>
        <w:fldChar w:fldCharType="separate"/>
      </w:r>
      <w:r>
        <w:rPr>
          <w:rStyle w:val="28"/>
          <w:rFonts w:hint="eastAsia" w:ascii="Times New Roman" w:hAnsi="Times New Roman" w:eastAsia="楷体_GB2312" w:cs="仿宋"/>
          <w:color w:val="000000" w:themeColor="text1"/>
          <w:sz w:val="28"/>
          <w:szCs w:val="28"/>
          <w14:textFill>
            <w14:solidFill>
              <w14:schemeClr w14:val="tx1"/>
            </w14:solidFill>
          </w14:textFill>
        </w:rPr>
        <w:t>第十二章  打造服务集聚，提升服务水平</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72</w:t>
      </w:r>
      <w:r>
        <w:rPr>
          <w:rFonts w:hint="eastAsia" w:ascii="Times New Roman" w:hAnsi="Times New Roman" w:eastAsia="仿宋" w:cs="仿宋"/>
          <w:color w:val="000000" w:themeColor="text1"/>
          <w:sz w:val="28"/>
          <w:szCs w:val="28"/>
          <w14:textFill>
            <w14:solidFill>
              <w14:schemeClr w14:val="tx1"/>
            </w14:solidFill>
          </w14:textFill>
        </w:rPr>
        <w:fldChar w:fldCharType="end"/>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"_Toc61110815"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第一节  增强生产服务业竞争力</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7</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2</w:t>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"_Toc61110816"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第二节  发展生活服务业</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73</w:t>
      </w:r>
      <w:r>
        <w:rPr>
          <w:rFonts w:hint="eastAsia" w:ascii="Times New Roman" w:hAnsi="Times New Roman" w:eastAsia="仿宋" w:cs="仿宋"/>
          <w:color w:val="000000" w:themeColor="text1"/>
          <w:sz w:val="28"/>
          <w:szCs w:val="28"/>
          <w14:textFill>
            <w14:solidFill>
              <w14:schemeClr w14:val="tx1"/>
            </w14:solidFill>
          </w14:textFill>
        </w:rPr>
        <w:fldChar w:fldCharType="end"/>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"_Toc61110817"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第三节  推进服务业高质量发展</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7</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5</w:t>
      </w:r>
    </w:p>
    <w:p>
      <w:pPr>
        <w:pStyle w:val="17"/>
        <w:tabs>
          <w:tab w:val="right" w:leader="dot" w:pos="9004"/>
        </w:tabs>
        <w:spacing w:line="570" w:lineRule="exact"/>
        <w:ind w:firstLine="210" w:firstLineChars="10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"_Toc61110818" </w:instrText>
      </w:r>
      <w:r>
        <w:fldChar w:fldCharType="separate"/>
      </w:r>
      <w:r>
        <w:rPr>
          <w:rStyle w:val="28"/>
          <w:rFonts w:hint="eastAsia" w:ascii="Times New Roman" w:hAnsi="Times New Roman" w:eastAsia="楷体_GB2312" w:cs="仿宋"/>
          <w:color w:val="000000" w:themeColor="text1"/>
          <w:sz w:val="28"/>
          <w:szCs w:val="28"/>
          <w14:textFill>
            <w14:solidFill>
              <w14:schemeClr w14:val="tx1"/>
            </w14:solidFill>
          </w14:textFill>
        </w:rPr>
        <w:t>第十三章  增进民生福祉，聚焦民生关切</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78</w:t>
      </w:r>
      <w:r>
        <w:rPr>
          <w:rFonts w:hint="eastAsia" w:ascii="Times New Roman" w:hAnsi="Times New Roman" w:eastAsia="仿宋" w:cs="仿宋"/>
          <w:color w:val="000000" w:themeColor="text1"/>
          <w:sz w:val="28"/>
          <w:szCs w:val="28"/>
          <w14:textFill>
            <w14:solidFill>
              <w14:schemeClr w14:val="tx1"/>
            </w14:solidFill>
          </w14:textFill>
        </w:rPr>
        <w:fldChar w:fldCharType="end"/>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"_Toc61110819"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第一节  促进教育增量提质</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7</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8</w:t>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"_Toc61110820"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第二节  增强卫生健康水平</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79</w:t>
      </w:r>
      <w:r>
        <w:rPr>
          <w:rFonts w:hint="eastAsia" w:ascii="Times New Roman" w:hAnsi="Times New Roman" w:eastAsia="仿宋" w:cs="仿宋"/>
          <w:color w:val="000000" w:themeColor="text1"/>
          <w:sz w:val="28"/>
          <w:szCs w:val="28"/>
          <w14:textFill>
            <w14:solidFill>
              <w14:schemeClr w14:val="tx1"/>
            </w14:solidFill>
          </w14:textFill>
        </w:rPr>
        <w:fldChar w:fldCharType="end"/>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"_Toc61110821"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第三节  完善社会保障制度</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80</w:t>
      </w:r>
      <w:r>
        <w:rPr>
          <w:rFonts w:hint="eastAsia" w:ascii="Times New Roman" w:hAnsi="Times New Roman" w:eastAsia="仿宋" w:cs="仿宋"/>
          <w:color w:val="000000" w:themeColor="text1"/>
          <w:sz w:val="28"/>
          <w:szCs w:val="28"/>
          <w14:textFill>
            <w14:solidFill>
              <w14:schemeClr w14:val="tx1"/>
            </w14:solidFill>
          </w14:textFill>
        </w:rPr>
        <w:fldChar w:fldCharType="end"/>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"_Toc61110822"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第四节  促进青年全面发展</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8</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1</w:t>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"_Toc61110823"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第五节  推动劳动力就业创业</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82</w:t>
      </w:r>
      <w:r>
        <w:rPr>
          <w:rFonts w:hint="eastAsia" w:ascii="Times New Roman" w:hAnsi="Times New Roman" w:eastAsia="仿宋" w:cs="仿宋"/>
          <w:color w:val="000000" w:themeColor="text1"/>
          <w:sz w:val="28"/>
          <w:szCs w:val="28"/>
          <w14:textFill>
            <w14:solidFill>
              <w14:schemeClr w14:val="tx1"/>
            </w14:solidFill>
          </w14:textFill>
        </w:rPr>
        <w:fldChar w:fldCharType="end"/>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"_Toc61110824"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第六节  提升公共服务均等化水平</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8</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2</w:t>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"_Toc61110824"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第七节  完善科技创新体制机制</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83</w:t>
      </w:r>
    </w:p>
    <w:p>
      <w:pPr>
        <w:pStyle w:val="2"/>
        <w:tabs>
          <w:tab w:val="right" w:leader="dot" w:pos="9004"/>
        </w:tabs>
        <w:spacing w:line="570" w:lineRule="exact"/>
        <w:ind w:firstLine="105" w:firstLineChars="50"/>
        <w:rPr>
          <w:rFonts w:ascii="Times New Roman" w:hAnsi="Times New Roman" w:eastAsia="仿宋"/>
          <w:color w:val="000000" w:themeColor="text1"/>
          <w14:textFill>
            <w14:solidFill>
              <w14:schemeClr w14:val="tx1"/>
            </w14:solidFill>
          </w14:textFill>
        </w:rPr>
      </w:pPr>
      <w:r>
        <w:fldChar w:fldCharType="begin"/>
      </w:r>
      <w:r>
        <w:instrText xml:space="preserve"> HYPERLINK \l "_Toc61110824"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第八节  完善应急体系建设</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8</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4</w:t>
      </w:r>
    </w:p>
    <w:p>
      <w:pPr>
        <w:pStyle w:val="17"/>
        <w:tabs>
          <w:tab w:val="right" w:leader="dot" w:pos="9004"/>
        </w:tabs>
        <w:spacing w:line="570" w:lineRule="exact"/>
        <w:ind w:firstLine="210" w:firstLineChars="10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"_Toc61110825" </w:instrText>
      </w:r>
      <w:r>
        <w:fldChar w:fldCharType="separate"/>
      </w:r>
      <w:r>
        <w:rPr>
          <w:rStyle w:val="28"/>
          <w:rFonts w:hint="eastAsia" w:ascii="Times New Roman" w:hAnsi="Times New Roman" w:eastAsia="楷体_GB2312" w:cs="仿宋"/>
          <w:color w:val="000000" w:themeColor="text1"/>
          <w:sz w:val="28"/>
          <w:szCs w:val="28"/>
          <w14:textFill>
            <w14:solidFill>
              <w14:schemeClr w14:val="tx1"/>
            </w14:solidFill>
          </w14:textFill>
        </w:rPr>
        <w:t>第十四章  创新社会治理，提高治理效能</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86</w:t>
      </w:r>
      <w:r>
        <w:rPr>
          <w:rFonts w:hint="eastAsia" w:ascii="Times New Roman" w:hAnsi="Times New Roman" w:eastAsia="仿宋" w:cs="仿宋"/>
          <w:color w:val="000000" w:themeColor="text1"/>
          <w:sz w:val="28"/>
          <w:szCs w:val="28"/>
          <w14:textFill>
            <w14:solidFill>
              <w14:schemeClr w14:val="tx1"/>
            </w14:solidFill>
          </w14:textFill>
        </w:rPr>
        <w:fldChar w:fldCharType="end"/>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"_Toc61110826"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第一节  加强法治建设</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8</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7</w:t>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"_Toc61110826"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第二节  加强公共安全</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87</w:t>
      </w:r>
      <w:r>
        <w:rPr>
          <w:rFonts w:hint="eastAsia" w:ascii="Times New Roman" w:hAnsi="Times New Roman" w:eastAsia="仿宋" w:cs="仿宋"/>
          <w:color w:val="000000" w:themeColor="text1"/>
          <w:sz w:val="28"/>
          <w:szCs w:val="28"/>
          <w14:textFill>
            <w14:solidFill>
              <w14:schemeClr w14:val="tx1"/>
            </w14:solidFill>
          </w14:textFill>
        </w:rPr>
        <w:fldChar w:fldCharType="end"/>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"_Toc61110827"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第三节  加强社会民主</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88</w:t>
      </w:r>
      <w:r>
        <w:rPr>
          <w:rFonts w:hint="eastAsia" w:ascii="Times New Roman" w:hAnsi="Times New Roman" w:eastAsia="仿宋" w:cs="仿宋"/>
          <w:color w:val="000000" w:themeColor="text1"/>
          <w:sz w:val="28"/>
          <w:szCs w:val="28"/>
          <w14:textFill>
            <w14:solidFill>
              <w14:schemeClr w14:val="tx1"/>
            </w14:solidFill>
          </w14:textFill>
        </w:rPr>
        <w:fldChar w:fldCharType="end"/>
      </w:r>
    </w:p>
    <w:p>
      <w:pPr>
        <w:pStyle w:val="17"/>
        <w:tabs>
          <w:tab w:val="right" w:leader="dot" w:pos="9004"/>
        </w:tabs>
        <w:spacing w:line="570" w:lineRule="exact"/>
        <w:rPr>
          <w:color w:val="000000" w:themeColor="text1"/>
          <w14:textFill>
            <w14:solidFill>
              <w14:schemeClr w14:val="tx1"/>
            </w14:solidFill>
          </w14:textFill>
        </w:rPr>
      </w:pPr>
    </w:p>
    <w:p>
      <w:pPr>
        <w:pStyle w:val="17"/>
        <w:tabs>
          <w:tab w:val="right" w:leader="dot" w:pos="9004"/>
        </w:tabs>
        <w:spacing w:line="570" w:lineRule="exact"/>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"_Toc61110758" </w:instrText>
      </w:r>
      <w:r>
        <w:fldChar w:fldCharType="separate"/>
      </w:r>
      <w:r>
        <w:rPr>
          <w:rStyle w:val="28"/>
          <w:rFonts w:hint="eastAsia" w:ascii="Times New Roman" w:hAnsi="Times New Roman" w:eastAsia="黑体" w:cs="仿宋"/>
          <w:bCs/>
          <w:color w:val="000000" w:themeColor="text1"/>
          <w:sz w:val="28"/>
          <w:szCs w:val="28"/>
          <w14:textFill>
            <w14:solidFill>
              <w14:schemeClr w14:val="tx1"/>
            </w14:solidFill>
          </w14:textFill>
        </w:rPr>
        <w:t>第四篇   强化规划实施保障，推进规划全面落实</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8</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9</w:t>
      </w:r>
    </w:p>
    <w:p>
      <w:pPr>
        <w:pStyle w:val="17"/>
        <w:tabs>
          <w:tab w:val="right" w:leader="dot" w:pos="9004"/>
        </w:tabs>
        <w:spacing w:line="570" w:lineRule="exact"/>
        <w:ind w:firstLine="210" w:firstLineChars="10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"_Toc61110828" </w:instrText>
      </w:r>
      <w:r>
        <w:fldChar w:fldCharType="separate"/>
      </w:r>
      <w:r>
        <w:rPr>
          <w:rStyle w:val="28"/>
          <w:rFonts w:hint="eastAsia" w:ascii="Times New Roman" w:hAnsi="Times New Roman" w:eastAsia="楷体_GB2312" w:cs="仿宋"/>
          <w:color w:val="000000" w:themeColor="text1"/>
          <w:sz w:val="28"/>
          <w:szCs w:val="28"/>
          <w14:textFill>
            <w14:solidFill>
              <w14:schemeClr w14:val="tx1"/>
            </w14:solidFill>
          </w14:textFill>
        </w:rPr>
        <w:t>第十五章  健全有效机制，确保规划实施</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8</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9</w:t>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"_Toc61110829"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第一节  加强规划纲要宣传</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8</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9</w:t>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"_Toc61110830"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第二节  发挥专项规划作用</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89</w:t>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"_Toc61110831"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第三节  强化纲要协调管理</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90</w:t>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"_Toc61110832"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第四节  规划实施及监督考核</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9</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0</w:t>
      </w:r>
    </w:p>
    <w:p>
      <w:pPr>
        <w:pStyle w:val="2"/>
        <w:tabs>
          <w:tab w:val="right" w:leader="dot" w:pos="9004"/>
        </w:tabs>
        <w:spacing w:line="570" w:lineRule="exact"/>
        <w:ind w:firstLine="105" w:firstLineChars="50"/>
        <w:rPr>
          <w:rFonts w:ascii="Times New Roman" w:hAnsi="Times New Roman" w:eastAsia="仿宋" w:cs="仿宋"/>
          <w:color w:val="000000" w:themeColor="text1"/>
          <w:sz w:val="28"/>
          <w:szCs w:val="28"/>
          <w14:textFill>
            <w14:solidFill>
              <w14:schemeClr w14:val="tx1"/>
            </w14:solidFill>
          </w14:textFill>
        </w:rPr>
      </w:pPr>
      <w:r>
        <w:fldChar w:fldCharType="begin"/>
      </w:r>
      <w:r>
        <w:instrText xml:space="preserve"> HYPERLINK \l "_Toc61110833" </w:instrText>
      </w:r>
      <w:r>
        <w:fldChar w:fldCharType="separate"/>
      </w:r>
      <w:r>
        <w:rPr>
          <w:rStyle w:val="28"/>
          <w:rFonts w:hint="eastAsia" w:ascii="Times New Roman" w:hAnsi="Times New Roman" w:eastAsia="仿宋" w:cs="仿宋"/>
          <w:color w:val="000000" w:themeColor="text1"/>
          <w:sz w:val="28"/>
          <w:szCs w:val="28"/>
          <w14:textFill>
            <w14:solidFill>
              <w14:schemeClr w14:val="tx1"/>
            </w14:solidFill>
          </w14:textFill>
        </w:rPr>
        <w:t>第五节  建立规划评估机制</w:t>
      </w:r>
      <w:r>
        <w:rPr>
          <w:rFonts w:hint="eastAsia" w:ascii="Times New Roman" w:hAnsi="Times New Roman" w:eastAsia="仿宋" w:cs="仿宋"/>
          <w:color w:val="000000" w:themeColor="text1"/>
          <w:sz w:val="28"/>
          <w:szCs w:val="28"/>
          <w14:textFill>
            <w14:solidFill>
              <w14:schemeClr w14:val="tx1"/>
            </w14:solidFill>
          </w14:textFill>
        </w:rPr>
        <w:tab/>
      </w:r>
      <w:r>
        <w:rPr>
          <w:rFonts w:hint="eastAsia" w:ascii="Times New Roman" w:hAnsi="Times New Roman" w:eastAsia="仿宋" w:cs="仿宋"/>
          <w:color w:val="000000" w:themeColor="text1"/>
          <w:sz w:val="28"/>
          <w:szCs w:val="28"/>
          <w14:textFill>
            <w14:solidFill>
              <w14:schemeClr w14:val="tx1"/>
            </w14:solidFill>
          </w14:textFill>
        </w:rPr>
        <w:t>9</w:t>
      </w:r>
      <w:r>
        <w:rPr>
          <w:rFonts w:hint="eastAsia" w:ascii="Times New Roman" w:hAnsi="Times New Roman" w:eastAsia="仿宋" w:cs="仿宋"/>
          <w:color w:val="000000" w:themeColor="text1"/>
          <w:sz w:val="28"/>
          <w:szCs w:val="28"/>
          <w14:textFill>
            <w14:solidFill>
              <w14:schemeClr w14:val="tx1"/>
            </w14:solidFill>
          </w14:textFill>
        </w:rPr>
        <w:fldChar w:fldCharType="end"/>
      </w:r>
      <w:r>
        <w:rPr>
          <w:rFonts w:hint="eastAsia" w:ascii="Times New Roman" w:hAnsi="Times New Roman" w:eastAsia="仿宋" w:cs="仿宋"/>
          <w:color w:val="000000" w:themeColor="text1"/>
          <w:sz w:val="28"/>
          <w:szCs w:val="28"/>
          <w14:textFill>
            <w14:solidFill>
              <w14:schemeClr w14:val="tx1"/>
            </w14:solidFill>
          </w14:textFill>
        </w:rPr>
        <w:t>0</w:t>
      </w:r>
    </w:p>
    <w:p>
      <w:pPr>
        <w:rPr>
          <w:rFonts w:ascii="Times New Roman" w:hAnsi="Times New Roman" w:eastAsia="仿宋" w:cs="仿宋"/>
          <w:color w:val="000000" w:themeColor="text1"/>
          <w:sz w:val="28"/>
          <w:szCs w:val="28"/>
          <w14:textFill>
            <w14:solidFill>
              <w14:schemeClr w14:val="tx1"/>
            </w14:solidFill>
          </w14:textFill>
        </w:rPr>
      </w:pPr>
    </w:p>
    <w:p>
      <w:pPr>
        <w:rPr>
          <w:color w:val="000000" w:themeColor="text1"/>
          <w14:textFill>
            <w14:solidFill>
              <w14:schemeClr w14:val="tx1"/>
            </w14:solidFill>
          </w14:textFill>
        </w:rPr>
      </w:pPr>
    </w:p>
    <w:p>
      <w:pPr>
        <w:pStyle w:val="2"/>
        <w:rPr>
          <w:color w:val="000000" w:themeColor="text1"/>
          <w14:textFill>
            <w14:solidFill>
              <w14:schemeClr w14:val="tx1"/>
            </w14:solidFill>
          </w14:textFill>
        </w:rPr>
      </w:pPr>
    </w:p>
    <w:p>
      <w:pPr>
        <w:pStyle w:val="31"/>
        <w:spacing w:line="360" w:lineRule="auto"/>
        <w:rPr>
          <w:rFonts w:ascii="Times New Roman" w:hAnsi="Times New Roman"/>
          <w:color w:val="000000" w:themeColor="text1"/>
          <w14:textFill>
            <w14:solidFill>
              <w14:schemeClr w14:val="tx1"/>
            </w14:solidFill>
          </w14:textFill>
        </w:rPr>
        <w:sectPr>
          <w:footerReference r:id="rId5" w:type="default"/>
          <w:pgSz w:w="11906" w:h="16838"/>
          <w:pgMar w:top="1587" w:right="1587" w:bottom="1304" w:left="1587" w:header="851" w:footer="850" w:gutter="0"/>
          <w:pgNumType w:fmt="upperRoman" w:start="1"/>
          <w:cols w:space="0" w:num="1"/>
          <w:docGrid w:type="lines" w:linePitch="312" w:charSpace="0"/>
        </w:sectPr>
      </w:pPr>
      <w:r>
        <w:rPr>
          <w:rFonts w:ascii="Times New Roman" w:hAnsi="Times New Roman"/>
          <w:color w:val="000000" w:themeColor="text1"/>
          <w:sz w:val="28"/>
          <w:szCs w:val="28"/>
          <w14:textFill>
            <w14:solidFill>
              <w14:schemeClr w14:val="tx1"/>
            </w14:solidFill>
          </w14:textFill>
        </w:rPr>
        <w:fldChar w:fldCharType="end"/>
      </w:r>
    </w:p>
    <w:p>
      <w:pPr>
        <w:pStyle w:val="31"/>
        <w:autoSpaceDE/>
        <w:autoSpaceDN/>
        <w:adjustRightInd/>
        <w:spacing w:line="560" w:lineRule="exact"/>
        <w:ind w:firstLine="640" w:firstLineChars="200"/>
        <w:rPr>
          <w:rFonts w:ascii="Times New Roman" w:hAnsi="Times New Roman" w:eastAsia="仿宋_GB2312" w:cs="仿宋_GB2312"/>
          <w:color w:val="000000" w:themeColor="text1"/>
          <w:sz w:val="32"/>
          <w:szCs w:val="32"/>
          <w14:textFill>
            <w14:solidFill>
              <w14:schemeClr w14:val="tx1"/>
            </w14:solidFill>
          </w14:textFill>
        </w:rPr>
      </w:pPr>
      <w:r>
        <w:rPr>
          <w:rFonts w:hint="eastAsia" w:ascii="Times New Roman" w:hAnsi="Times New Roman" w:eastAsia="仿宋_GB2312" w:cs="仿宋_GB2312"/>
          <w:color w:val="000000" w:themeColor="text1"/>
          <w:sz w:val="32"/>
          <w:szCs w:val="32"/>
          <w14:textFill>
            <w14:solidFill>
              <w14:schemeClr w14:val="tx1"/>
            </w14:solidFill>
          </w14:textFill>
        </w:rPr>
        <w:t>龙胜各族自治县（以下简称龙胜县）国民经济和社会发展第十四个五年规划和二О三五年远景目标纲要，根据《中共龙胜各族自治县委员会关于制定国民经济和社会发展第十四个五年规划和二О三五年远景目标的建议》进行编制，主要阐明全县战略意图，明确工作重点，引导规范市场主体行为，是政府履行经济调节、市场监管、社会管理和公共服务职责的重要依据，是龙胜县开启全面建设社会主义现代化、建设一流的国际旅游目的地和康养示范基地新征程的宏伟蓝图，是全县各族人民的行动纲领。</w:t>
      </w:r>
    </w:p>
    <w:p>
      <w:pPr>
        <w:pStyle w:val="19"/>
        <w:adjustRightInd w:val="0"/>
        <w:snapToGrid w:val="0"/>
        <w:spacing w:before="0" w:beforeAutospacing="0" w:after="0" w:afterAutospacing="0" w:line="520" w:lineRule="exact"/>
        <w:ind w:firstLine="640" w:firstLineChars="200"/>
        <w:jc w:val="center"/>
        <w:rPr>
          <w:rFonts w:ascii="Times New Roman" w:hAnsi="Times New Roman" w:eastAsia="仿宋"/>
          <w:color w:val="000000" w:themeColor="text1"/>
          <w:sz w:val="32"/>
          <w:szCs w:val="32"/>
          <w14:textFill>
            <w14:solidFill>
              <w14:schemeClr w14:val="tx1"/>
            </w14:solidFill>
          </w14:textFill>
        </w:rPr>
      </w:pPr>
    </w:p>
    <w:p>
      <w:pPr>
        <w:pStyle w:val="19"/>
        <w:widowControl w:val="0"/>
        <w:spacing w:before="0" w:beforeAutospacing="0" w:after="0" w:afterAutospacing="0" w:line="640" w:lineRule="exact"/>
        <w:jc w:val="center"/>
        <w:rPr>
          <w:rFonts w:ascii="Times New Roman" w:hAnsi="Times New Roman" w:eastAsia="仿宋"/>
          <w:bCs/>
          <w:color w:val="000000" w:themeColor="text1"/>
          <w:sz w:val="44"/>
          <w:szCs w:val="44"/>
          <w14:textFill>
            <w14:solidFill>
              <w14:schemeClr w14:val="tx1"/>
            </w14:solidFill>
          </w14:textFill>
        </w:rPr>
      </w:pPr>
      <w:r>
        <w:rPr>
          <w:rFonts w:hint="eastAsia" w:ascii="Times New Roman" w:hAnsi="Times New Roman" w:eastAsia="方正小标宋_GBK"/>
          <w:bCs/>
          <w:color w:val="000000" w:themeColor="text1"/>
          <w:sz w:val="44"/>
          <w:szCs w:val="44"/>
          <w14:textFill>
            <w14:solidFill>
              <w14:schemeClr w14:val="tx1"/>
            </w14:solidFill>
          </w14:textFill>
        </w:rPr>
        <w:t>第一篇</w:t>
      </w:r>
      <w:r>
        <w:rPr>
          <w:rFonts w:hint="eastAsia" w:ascii="Times New Roman" w:hAnsi="Times New Roman" w:eastAsia="仿宋"/>
          <w:bCs/>
          <w:color w:val="000000" w:themeColor="text1"/>
          <w:sz w:val="44"/>
          <w:szCs w:val="44"/>
          <w14:textFill>
            <w14:solidFill>
              <w14:schemeClr w14:val="tx1"/>
            </w14:solidFill>
          </w14:textFill>
        </w:rPr>
        <w:t xml:space="preserve"> </w:t>
      </w:r>
      <w:r>
        <w:rPr>
          <w:rFonts w:hint="eastAsia" w:ascii="Times New Roman" w:hAnsi="Times New Roman" w:eastAsia="方正小标宋_GBK"/>
          <w:bCs/>
          <w:color w:val="000000" w:themeColor="text1"/>
          <w:sz w:val="44"/>
          <w:szCs w:val="44"/>
          <w14:textFill>
            <w14:solidFill>
              <w14:schemeClr w14:val="tx1"/>
            </w14:solidFill>
          </w14:textFill>
        </w:rPr>
        <w:t>“两个建成”取得明显成就，龙胜</w:t>
      </w:r>
    </w:p>
    <w:p>
      <w:pPr>
        <w:pStyle w:val="19"/>
        <w:widowControl w:val="0"/>
        <w:spacing w:before="0" w:beforeAutospacing="0" w:after="0" w:afterAutospacing="0" w:line="640" w:lineRule="exact"/>
        <w:jc w:val="center"/>
        <w:rPr>
          <w:rFonts w:ascii="Times New Roman" w:hAnsi="Times New Roman" w:eastAsia="方正小标宋_GBK"/>
          <w:bCs/>
          <w:color w:val="000000" w:themeColor="text1"/>
          <w:sz w:val="44"/>
          <w:szCs w:val="44"/>
          <w14:textFill>
            <w14:solidFill>
              <w14:schemeClr w14:val="tx1"/>
            </w14:solidFill>
          </w14:textFill>
        </w:rPr>
      </w:pPr>
      <w:r>
        <w:rPr>
          <w:rFonts w:hint="eastAsia" w:ascii="Times New Roman" w:hAnsi="Times New Roman" w:eastAsia="方正小标宋_GBK"/>
          <w:bCs/>
          <w:color w:val="000000" w:themeColor="text1"/>
          <w:sz w:val="44"/>
          <w:szCs w:val="44"/>
          <w14:textFill>
            <w14:solidFill>
              <w14:schemeClr w14:val="tx1"/>
            </w14:solidFill>
          </w14:textFill>
        </w:rPr>
        <w:t>发展进入新阶段</w:t>
      </w:r>
      <w:bookmarkEnd w:id="3"/>
      <w:bookmarkStart w:id="4" w:name="_Toc9020"/>
      <w:bookmarkStart w:id="5" w:name="_Toc61110759"/>
      <w:bookmarkStart w:id="6" w:name="_Toc4451"/>
      <w:bookmarkStart w:id="7" w:name="_Toc7151"/>
      <w:bookmarkStart w:id="8" w:name="_Toc22167"/>
      <w:bookmarkStart w:id="9" w:name="_Toc20011"/>
    </w:p>
    <w:p>
      <w:pPr>
        <w:pStyle w:val="19"/>
        <w:widowControl w:val="0"/>
        <w:spacing w:before="0" w:beforeAutospacing="0" w:after="0" w:afterAutospacing="0" w:line="500" w:lineRule="exact"/>
        <w:jc w:val="center"/>
        <w:rPr>
          <w:rFonts w:ascii="仿宋_GB2312" w:hAnsi="仿宋_GB2312" w:eastAsia="仿宋_GB2312" w:cs="仿宋_GB2312"/>
          <w:b/>
          <w:color w:val="000000" w:themeColor="text1"/>
          <w:sz w:val="32"/>
          <w:szCs w:val="32"/>
          <w14:textFill>
            <w14:solidFill>
              <w14:schemeClr w14:val="tx1"/>
            </w14:solidFill>
          </w14:textFill>
        </w:rPr>
      </w:pPr>
    </w:p>
    <w:p>
      <w:pPr>
        <w:pStyle w:val="41"/>
        <w:keepNext w:val="0"/>
        <w:keepLines w:val="0"/>
        <w:adjustRightInd/>
        <w:snapToGrid/>
        <w:spacing w:before="0" w:beforeLines="0" w:line="560" w:lineRule="exact"/>
        <w:ind w:left="0" w:leftChars="0"/>
        <w:jc w:val="center"/>
        <w:outlineLvl w:val="0"/>
        <w:rPr>
          <w:rFonts w:ascii="黑体" w:hAnsi="黑体" w:cs="黑体"/>
          <w:color w:val="000000" w:themeColor="text1"/>
          <w:kern w:val="0"/>
          <w14:textFill>
            <w14:solidFill>
              <w14:schemeClr w14:val="tx1"/>
            </w14:solidFill>
          </w14:textFill>
        </w:rPr>
      </w:pPr>
      <w:r>
        <w:rPr>
          <w:rFonts w:hint="eastAsia" w:ascii="黑体" w:hAnsi="黑体" w:cs="黑体"/>
          <w:color w:val="000000" w:themeColor="text1"/>
          <w:kern w:val="0"/>
          <w14:textFill>
            <w14:solidFill>
              <w14:schemeClr w14:val="tx1"/>
            </w14:solidFill>
          </w14:textFill>
        </w:rPr>
        <w:t>第一章  “十三五”</w:t>
      </w:r>
      <w:bookmarkEnd w:id="4"/>
      <w:bookmarkEnd w:id="5"/>
      <w:bookmarkEnd w:id="6"/>
      <w:bookmarkStart w:id="10" w:name="_Toc27436"/>
      <w:r>
        <w:rPr>
          <w:rFonts w:hint="eastAsia" w:ascii="黑体" w:hAnsi="黑体" w:cs="黑体"/>
          <w:color w:val="000000" w:themeColor="text1"/>
          <w:kern w:val="0"/>
          <w14:textFill>
            <w14:solidFill>
              <w14:schemeClr w14:val="tx1"/>
            </w14:solidFill>
          </w14:textFill>
        </w:rPr>
        <w:t>规划圆满收官</w:t>
      </w:r>
    </w:p>
    <w:p>
      <w:pPr>
        <w:pStyle w:val="19"/>
        <w:widowControl w:val="0"/>
        <w:spacing w:before="0" w:beforeAutospacing="0" w:after="0" w:afterAutospacing="0" w:line="500" w:lineRule="exact"/>
        <w:rPr>
          <w:rFonts w:ascii="仿宋_GB2312" w:hAnsi="仿宋_GB2312" w:eastAsia="仿宋_GB2312" w:cs="仿宋_GB2312"/>
          <w:color w:val="000000" w:themeColor="text1"/>
          <w:sz w:val="32"/>
          <w:szCs w:val="32"/>
          <w14:textFill>
            <w14:solidFill>
              <w14:schemeClr w14:val="tx1"/>
            </w14:solidFill>
          </w14:textFill>
        </w:rPr>
      </w:pPr>
    </w:p>
    <w:p>
      <w:pPr>
        <w:pStyle w:val="19"/>
        <w:widowControl w:val="0"/>
        <w:spacing w:before="0" w:beforeAutospacing="0" w:after="0" w:afterAutospacing="0"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十三五”以来，面对错综复杂的国内外形势和艰巨繁重的改革发展稳定任务，面对经济下行压力持续加大的严峻考验，面对新冠肺炎疫情的严重冲击，在上级党委、政府的正确领导下，全县坚持以习近平新时代中国特色社会主义思想为指导，深入贯彻新发展理念，按照“把龙胜建成经济发达、民族团结、社会和谐、文化繁荣、山川秀美的中国生态旅游强县”的总体要求，统筹推进稳增长、促改革、调结构、惠民生、防风险、保稳定各项工作，全县经济社会呈现出“发展提速、效益提升、民生改善、大局稳定”的良好态势，“十三五”规划总体目标任务基本完成，并为“十四五”全面建设社会主义现代化和高质量发展打下了坚实的基础。</w:t>
      </w:r>
    </w:p>
    <w:p>
      <w:pPr>
        <w:spacing w:line="560" w:lineRule="exact"/>
        <w:jc w:val="center"/>
        <w:rPr>
          <w:rFonts w:ascii="楷体_GB2312" w:hAnsi="楷体_GB2312" w:eastAsia="楷体_GB2312" w:cs="楷体_GB2312"/>
          <w:color w:val="000000" w:themeColor="text1"/>
          <w:sz w:val="32"/>
          <w:szCs w:val="32"/>
          <w14:textFill>
            <w14:solidFill>
              <w14:schemeClr w14:val="tx1"/>
            </w14:solidFill>
          </w14:textFill>
        </w:rPr>
      </w:pPr>
      <w:r>
        <w:rPr>
          <w:rFonts w:hint="eastAsia" w:ascii="楷体_GB2312" w:hAnsi="楷体_GB2312" w:eastAsia="楷体_GB2312" w:cs="楷体_GB2312"/>
          <w:color w:val="000000" w:themeColor="text1"/>
          <w:sz w:val="32"/>
          <w:szCs w:val="32"/>
          <w14:textFill>
            <w14:solidFill>
              <w14:schemeClr w14:val="tx1"/>
            </w14:solidFill>
          </w14:textFill>
        </w:rPr>
        <w:t>第一节“两个建成”目标如期实现</w:t>
      </w:r>
    </w:p>
    <w:p>
      <w:pPr>
        <w:pStyle w:val="2"/>
      </w:pPr>
    </w:p>
    <w:p>
      <w:pPr>
        <w:spacing w:line="560" w:lineRule="exact"/>
        <w:ind w:firstLine="643" w:firstLineChars="200"/>
        <w:rPr>
          <w:rFonts w:ascii="仿宋_GB2312" w:hAnsi="仿宋_GB2312" w:eastAsia="仿宋_GB2312" w:cs="仿宋_GB2312"/>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全面建成小康社会。</w:t>
      </w:r>
      <w:r>
        <w:rPr>
          <w:rFonts w:hint="eastAsia" w:ascii="仿宋_GB2312" w:hAnsi="仿宋_GB2312" w:eastAsia="仿宋_GB2312" w:cs="仿宋_GB2312"/>
          <w:color w:val="000000" w:themeColor="text1"/>
          <w:kern w:val="0"/>
          <w:sz w:val="32"/>
          <w:szCs w:val="32"/>
          <w14:textFill>
            <w14:solidFill>
              <w14:schemeClr w14:val="tx1"/>
            </w14:solidFill>
          </w14:textFill>
        </w:rPr>
        <w:t>2020年末，全县地区生产总值完成60.40亿元，按可比价是2010年的1.7倍；城镇和农村居民人均可支配收入分别达到36304元和13931元，分别是2010年末的2.1倍、4倍，城镇和农村居民收入均实现比2010年翻一番的小康目标。2019年，自治区正式批复同意龙胜县脱贫出列；2020年，59个贫困村全部脱贫出列、11479户45213名建档立卡贫困人口全部脱贫，圆满完成了新时代脱贫攻坚目标任务，历史性解决了绝对贫困问题，龙胜和全国同步迈进小康社会。</w:t>
      </w:r>
    </w:p>
    <w:p>
      <w:pPr>
        <w:spacing w:line="560" w:lineRule="exact"/>
        <w:ind w:firstLine="643"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基本建成生态旅游强县。</w:t>
      </w:r>
      <w:r>
        <w:rPr>
          <w:rFonts w:hint="eastAsia" w:ascii="仿宋_GB2312" w:hAnsi="仿宋_GB2312" w:eastAsia="仿宋_GB2312" w:cs="仿宋_GB2312"/>
          <w:color w:val="000000" w:themeColor="text1"/>
          <w:sz w:val="32"/>
          <w:szCs w:val="32"/>
          <w14:textFill>
            <w14:solidFill>
              <w14:schemeClr w14:val="tx1"/>
            </w14:solidFill>
          </w14:textFill>
        </w:rPr>
        <w:t>充分挖掘和发挥资源优势，全面推进生态旅游、全域旅游，重点打造了“世界梯田原乡、世界滑石之都、中国红玉之乡、多民族生态博物馆、康寿养生胜地”五张特色旅游名片。全县森林覆盖率达81.76%，饮用水和地表水的水质达标率100%，整体生态环境质量保持优良。2017年，龙胜县高质量通过广西特色旅游名县复核验收工作；2018年4月，龙脊梯田系统入选“全球重要农业文化遗产”；2020年，龙胜先后荣获了“广西旅游标准化示范县”、全国第四批“绿水青山就是金山银山”实践创新基地（本批广西唯一）等荣誉称号，树立了我国少数民族山区县实践“两山”理论的典范，生态宜居、环境优美、人民富足的生态旅游强县基本建成。</w:t>
      </w:r>
    </w:p>
    <w:p>
      <w:pPr>
        <w:pStyle w:val="2"/>
        <w:spacing w:line="560" w:lineRule="exact"/>
        <w:ind w:left="0" w:leftChars="0"/>
        <w:rPr>
          <w:rFonts w:ascii="仿宋_GB2312" w:hAnsi="仿宋_GB2312" w:eastAsia="仿宋_GB2312" w:cs="仿宋_GB2312"/>
          <w:color w:val="000000" w:themeColor="text1"/>
          <w:sz w:val="32"/>
          <w:szCs w:val="32"/>
          <w14:textFill>
            <w14:solidFill>
              <w14:schemeClr w14:val="tx1"/>
            </w14:solidFill>
          </w14:textFill>
        </w:rPr>
      </w:pPr>
    </w:p>
    <w:p>
      <w:pPr>
        <w:spacing w:line="560" w:lineRule="exact"/>
        <w:rPr>
          <w:rFonts w:ascii="仿宋_GB2312" w:hAnsi="仿宋_GB2312" w:eastAsia="仿宋_GB2312" w:cs="仿宋_GB2312"/>
          <w:color w:val="000000" w:themeColor="text1"/>
          <w:sz w:val="32"/>
          <w:szCs w:val="32"/>
          <w14:textFill>
            <w14:solidFill>
              <w14:schemeClr w14:val="tx1"/>
            </w14:solidFill>
          </w14:textFill>
        </w:rPr>
        <w:sectPr>
          <w:footerReference r:id="rId6" w:type="default"/>
          <w:footnotePr>
            <w:numFmt w:val="decimalEnclosedCircleChinese"/>
          </w:footnotePr>
          <w:pgSz w:w="11906" w:h="16838"/>
          <w:pgMar w:top="1531" w:right="1417" w:bottom="1304" w:left="1417" w:header="851" w:footer="850" w:gutter="0"/>
          <w:pgNumType w:start="1"/>
          <w:cols w:space="0" w:num="1"/>
          <w:docGrid w:type="lines" w:linePitch="312" w:charSpace="0"/>
        </w:sectPr>
      </w:pPr>
    </w:p>
    <w:p>
      <w:pPr>
        <w:spacing w:line="560" w:lineRule="exact"/>
        <w:jc w:val="center"/>
        <w:rPr>
          <w:rFonts w:ascii="楷体_GB2312" w:hAnsi="楷体_GB2312" w:eastAsia="楷体_GB2312" w:cs="楷体_GB2312"/>
          <w:color w:val="000000" w:themeColor="text1"/>
          <w:sz w:val="32"/>
          <w:szCs w:val="32"/>
          <w14:textFill>
            <w14:solidFill>
              <w14:schemeClr w14:val="tx1"/>
            </w14:solidFill>
          </w14:textFill>
        </w:rPr>
      </w:pPr>
      <w:bookmarkStart w:id="11" w:name="_Toc61110760"/>
      <w:bookmarkStart w:id="12" w:name="_Toc2721"/>
      <w:r>
        <w:rPr>
          <w:rFonts w:hint="eastAsia" w:ascii="楷体_GB2312" w:hAnsi="楷体_GB2312" w:eastAsia="楷体_GB2312" w:cs="楷体_GB2312"/>
          <w:color w:val="000000" w:themeColor="text1"/>
          <w:sz w:val="32"/>
          <w:szCs w:val="32"/>
          <w14:textFill>
            <w14:solidFill>
              <w14:schemeClr w14:val="tx1"/>
            </w14:solidFill>
          </w14:textFill>
        </w:rPr>
        <w:t>第二节  过去五年经济社会发展取得的</w:t>
      </w:r>
      <w:bookmarkEnd w:id="7"/>
      <w:bookmarkEnd w:id="8"/>
      <w:bookmarkEnd w:id="9"/>
      <w:bookmarkEnd w:id="10"/>
      <w:bookmarkEnd w:id="11"/>
      <w:bookmarkEnd w:id="12"/>
      <w:r>
        <w:rPr>
          <w:rFonts w:hint="eastAsia" w:ascii="楷体_GB2312" w:hAnsi="楷体_GB2312" w:eastAsia="楷体_GB2312" w:cs="楷体_GB2312"/>
          <w:color w:val="000000" w:themeColor="text1"/>
          <w:sz w:val="32"/>
          <w:szCs w:val="32"/>
          <w14:textFill>
            <w14:solidFill>
              <w14:schemeClr w14:val="tx1"/>
            </w14:solidFill>
          </w14:textFill>
        </w:rPr>
        <w:t>重大成就</w:t>
      </w:r>
    </w:p>
    <w:p>
      <w:pPr>
        <w:pStyle w:val="19"/>
        <w:widowControl w:val="0"/>
        <w:shd w:val="clear" w:color="auto" w:fill="FFFFFF"/>
        <w:spacing w:before="0" w:beforeAutospacing="0" w:after="0" w:afterAutospacing="0" w:line="560" w:lineRule="exact"/>
        <w:jc w:val="both"/>
        <w:rPr>
          <w:rFonts w:ascii="仿宋_GB2312" w:hAnsi="仿宋_GB2312" w:eastAsia="仿宋_GB2312" w:cs="仿宋_GB2312"/>
          <w:color w:val="000000" w:themeColor="text1"/>
          <w:sz w:val="32"/>
          <w:szCs w:val="32"/>
          <w14:textFill>
            <w14:solidFill>
              <w14:schemeClr w14:val="tx1"/>
            </w14:solidFill>
          </w14:textFill>
        </w:rPr>
      </w:pPr>
    </w:p>
    <w:p>
      <w:pPr>
        <w:pStyle w:val="19"/>
        <w:widowControl w:val="0"/>
        <w:shd w:val="clear" w:color="auto" w:fill="FFFFFF"/>
        <w:spacing w:before="0" w:beforeAutospacing="0" w:after="0" w:afterAutospacing="0" w:line="560" w:lineRule="exact"/>
        <w:ind w:firstLine="640" w:firstLineChars="200"/>
        <w:jc w:val="both"/>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经过五年的持续奋斗，龙胜县经济社会发展取得了新的历史性成就。</w:t>
      </w:r>
    </w:p>
    <w:p>
      <w:pPr>
        <w:pStyle w:val="31"/>
        <w:autoSpaceDE/>
        <w:autoSpaceDN/>
        <w:adjustRightInd/>
        <w:spacing w:line="560" w:lineRule="exact"/>
        <w:ind w:firstLine="643" w:firstLineChars="200"/>
        <w:jc w:val="both"/>
        <w:rPr>
          <w:rFonts w:ascii="仿宋_GB2312" w:hAnsi="仿宋_GB2312" w:eastAsia="仿宋_GB2312" w:cs="仿宋_GB2312"/>
          <w:bCs/>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——“十三五”时期是我县综合实力提升最快的五年。</w:t>
      </w:r>
      <w:r>
        <w:rPr>
          <w:rFonts w:hint="eastAsia" w:ascii="仿宋_GB2312" w:hAnsi="仿宋_GB2312" w:eastAsia="仿宋_GB2312" w:cs="仿宋_GB2312"/>
          <w:color w:val="000000" w:themeColor="text1"/>
          <w:sz w:val="32"/>
          <w:szCs w:val="32"/>
          <w14:textFill>
            <w14:solidFill>
              <w14:schemeClr w14:val="tx1"/>
            </w14:solidFill>
          </w14:textFill>
        </w:rPr>
        <w:t>全县地区生产总值由2015年末56.59亿元增加到2020年末60.40亿元，年均增长5.5%。固定资产投资年均增长13.5%。组织财政收入质量不断提升。社会消费品零售总额由8.07亿元增长到12.59亿元，年均增长4.3%。城镇居民可支配收入由27642元增加到36304元，年均增长6.5%；农村居民人均可支配收入由6637元增加到13931元，年均增长10.0%，城乡居民收入差距进一步缩小。在广西县域经济发展分类考核中，龙胜县2016—2019年度连续四个年度排名位于全区重点生态功能区县前四，其中2017、2018年度分别被评为“广西科学发展先进县”。</w:t>
      </w:r>
    </w:p>
    <w:p>
      <w:pPr>
        <w:spacing w:line="560" w:lineRule="exact"/>
        <w:ind w:firstLine="643" w:firstLineChars="200"/>
        <w:textAlignment w:val="baseline"/>
        <w:rPr>
          <w:rFonts w:ascii="仿宋_GB2312" w:hAnsi="仿宋_GB2312" w:eastAsia="仿宋_GB2312" w:cs="仿宋_GB2312"/>
          <w:bCs/>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——“十三五”时期是我县产业结构调整最优的五年。</w:t>
      </w:r>
      <w:r>
        <w:rPr>
          <w:rFonts w:hint="eastAsia" w:ascii="仿宋_GB2312" w:hAnsi="仿宋_GB2312" w:eastAsia="仿宋_GB2312" w:cs="仿宋_GB2312"/>
          <w:color w:val="000000" w:themeColor="text1"/>
          <w:sz w:val="32"/>
          <w:szCs w:val="32"/>
          <w14:textFill>
            <w14:solidFill>
              <w14:schemeClr w14:val="tx1"/>
            </w14:solidFill>
          </w14:textFill>
        </w:rPr>
        <w:t>三次产业结构由18.8：54.0：27.2调整为22.2：23.0：54.8，第三产业占地区生产总值比重提高了27.6个百分点。</w:t>
      </w:r>
      <w:r>
        <w:rPr>
          <w:rFonts w:hint="eastAsia" w:ascii="仿宋_GB2312" w:hAnsi="仿宋_GB2312" w:eastAsia="仿宋_GB2312" w:cs="仿宋_GB2312"/>
          <w:b/>
          <w:color w:val="000000" w:themeColor="text1"/>
          <w:sz w:val="32"/>
          <w:szCs w:val="32"/>
          <w14:textFill>
            <w14:solidFill>
              <w14:schemeClr w14:val="tx1"/>
            </w14:solidFill>
          </w14:textFill>
        </w:rPr>
        <w:t>一是</w:t>
      </w:r>
      <w:r>
        <w:rPr>
          <w:rFonts w:hint="eastAsia" w:ascii="仿宋_GB2312" w:hAnsi="仿宋_GB2312" w:eastAsia="仿宋_GB2312" w:cs="仿宋_GB2312"/>
          <w:bCs/>
          <w:color w:val="000000" w:themeColor="text1"/>
          <w:sz w:val="32"/>
          <w:szCs w:val="32"/>
          <w14:textFill>
            <w14:solidFill>
              <w14:schemeClr w14:val="tx1"/>
            </w14:solidFill>
          </w14:textFill>
        </w:rPr>
        <w:t>农业产业稳步发展。“两茶两果+特色养殖”产业不断发展壮大，品牌效应日益凸显，打造有机农产品15个、国家地理标志农产品6个、富硒农产品5个，农产品商标注册61个。创建现代特色农业示范区（园、点）170个，全县农业产业化组织累计达518个，其中农民专业合作社463个，家庭农场47个，市级龙头企业8家。农业总产值由2015年末16.80亿元增加到2020年末28.89亿元，年均增长5.9%。</w:t>
      </w:r>
      <w:r>
        <w:rPr>
          <w:rFonts w:hint="eastAsia" w:ascii="仿宋_GB2312" w:hAnsi="仿宋_GB2312" w:eastAsia="仿宋_GB2312" w:cs="仿宋_GB2312"/>
          <w:b/>
          <w:color w:val="000000" w:themeColor="text1"/>
          <w:sz w:val="32"/>
          <w:szCs w:val="32"/>
          <w14:textFill>
            <w14:solidFill>
              <w14:schemeClr w14:val="tx1"/>
            </w14:solidFill>
          </w14:textFill>
        </w:rPr>
        <w:t>二是</w:t>
      </w:r>
      <w:r>
        <w:rPr>
          <w:rFonts w:hint="eastAsia" w:ascii="仿宋_GB2312" w:hAnsi="仿宋_GB2312" w:eastAsia="仿宋_GB2312" w:cs="仿宋_GB2312"/>
          <w:bCs/>
          <w:color w:val="000000" w:themeColor="text1"/>
          <w:sz w:val="32"/>
          <w:szCs w:val="32"/>
          <w14:textFill>
            <w14:solidFill>
              <w14:schemeClr w14:val="tx1"/>
            </w14:solidFill>
          </w14:textFill>
        </w:rPr>
        <w:t>工业产业提质增效。推进滑石、电力、冶炼、新能源、木材、农产品深加工等产业发展，新培育规模工业企业9家，全县规模以上工业企业总数达19家，其中亿元以上规模企业5家。全县规模工业总产值达到22.17亿元，规模工业增加值达到8.81亿元。建设5个工业园区，标准厂房面积达到2.6万平方米。</w:t>
      </w:r>
      <w:r>
        <w:rPr>
          <w:rFonts w:hint="eastAsia" w:ascii="仿宋_GB2312" w:hAnsi="仿宋_GB2312" w:eastAsia="仿宋_GB2312" w:cs="仿宋_GB2312"/>
          <w:b/>
          <w:color w:val="000000" w:themeColor="text1"/>
          <w:sz w:val="32"/>
          <w:szCs w:val="32"/>
          <w14:textFill>
            <w14:solidFill>
              <w14:schemeClr w14:val="tx1"/>
            </w14:solidFill>
          </w14:textFill>
        </w:rPr>
        <w:t>三是</w:t>
      </w:r>
      <w:r>
        <w:rPr>
          <w:rFonts w:hint="eastAsia" w:ascii="仿宋_GB2312" w:hAnsi="仿宋_GB2312" w:eastAsia="仿宋_GB2312" w:cs="仿宋_GB2312"/>
          <w:bCs/>
          <w:color w:val="000000" w:themeColor="text1"/>
          <w:sz w:val="32"/>
          <w:szCs w:val="32"/>
          <w14:textFill>
            <w14:solidFill>
              <w14:schemeClr w14:val="tx1"/>
            </w14:solidFill>
          </w14:textFill>
        </w:rPr>
        <w:t>以旅游为龙头的服务业深入推进。积极打造“世界梯田原乡、世界滑石之都、中国红玉之乡、多民族生态博物馆、康寿养生胜地”等五张特色旅游名片，荣获了“中国品牌节庆示范基地”“广西旅游标准化示范县”“广西生态旅游示范区”等称号，成功创建“广西特色旅游名县”，龙脊梯田景区入选首批“全国研学旅游示范基地”，龙脊梯田农业系统入选“全球重要农业文化遗产”。大力开发乡村旅游，高标准打造金竹民宿、平安壮寨、黄洛瑶寨、张家苗寨等乡村旅游示范点，全县发展农家乐350余家，旅游直接从业人员达2.5万人，间接从业人员达5万人。2016年至2020年接待游客总人数3969.47万人次，实现旅游总消费476.45亿元。打造农村电子商务与物流配送运营服务体系，荣获“全国电子商务进农村综合示范县”称号。</w:t>
      </w:r>
    </w:p>
    <w:p>
      <w:pPr>
        <w:spacing w:line="560" w:lineRule="exact"/>
        <w:ind w:firstLine="643" w:firstLineChars="200"/>
        <w:rPr>
          <w:rFonts w:ascii="仿宋_GB2312" w:hAnsi="仿宋_GB2312" w:eastAsia="仿宋_GB2312" w:cs="仿宋_GB2312"/>
          <w:bCs/>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——“十三五”时期是我县脱贫攻坚力度最强的五年。</w:t>
      </w:r>
      <w:r>
        <w:rPr>
          <w:rFonts w:hint="eastAsia" w:ascii="仿宋_GB2312" w:hAnsi="仿宋_GB2312" w:eastAsia="仿宋_GB2312" w:cs="仿宋_GB2312"/>
          <w:color w:val="000000" w:themeColor="text1"/>
          <w:sz w:val="32"/>
          <w:szCs w:val="32"/>
          <w14:textFill>
            <w14:solidFill>
              <w14:schemeClr w14:val="tx1"/>
            </w14:solidFill>
          </w14:textFill>
        </w:rPr>
        <w:t>2016年以来，全县紧紧围绕“两不愁三保障”脱贫标准，始终把打赢脱贫攻坚战作为最大的政治任务、最大的民生工程抓牢抓实，</w:t>
      </w:r>
      <w:r>
        <w:rPr>
          <w:rFonts w:hint="eastAsia" w:ascii="仿宋_GB2312" w:hAnsi="仿宋_GB2312" w:eastAsia="仿宋_GB2312" w:cs="仿宋_GB2312"/>
          <w:color w:val="000000" w:themeColor="text1"/>
          <w:kern w:val="0"/>
          <w:sz w:val="32"/>
          <w:szCs w:val="32"/>
          <w14:textFill>
            <w14:solidFill>
              <w14:schemeClr w14:val="tx1"/>
            </w14:solidFill>
          </w14:textFill>
        </w:rPr>
        <w:t>全县4342名干部职工及中央定点帮扶、粤桂帮扶、扶贫协理员等社会各界各行各业组成的“龙胜扶贫铁军”，</w:t>
      </w:r>
      <w:r>
        <w:rPr>
          <w:rFonts w:hint="eastAsia" w:ascii="仿宋_GB2312" w:hAnsi="仿宋_GB2312" w:eastAsia="仿宋_GB2312" w:cs="仿宋_GB2312"/>
          <w:color w:val="000000" w:themeColor="text1"/>
          <w:sz w:val="32"/>
          <w:szCs w:val="32"/>
          <w14:textFill>
            <w14:solidFill>
              <w14:schemeClr w14:val="tx1"/>
            </w14:solidFill>
          </w14:textFill>
        </w:rPr>
        <w:t>对贫困户进行全方位帮扶，实现了帮扶“全覆盖”。整合各类涉农资金20多亿元</w:t>
      </w:r>
      <w:r>
        <w:rPr>
          <w:rFonts w:hint="eastAsia" w:ascii="仿宋_GB2312" w:hAnsi="仿宋_GB2312" w:eastAsia="仿宋_GB2312" w:cs="仿宋_GB2312"/>
          <w:color w:val="000000" w:themeColor="text1"/>
          <w:kern w:val="0"/>
          <w:sz w:val="32"/>
          <w:szCs w:val="32"/>
          <w14:textFill>
            <w14:solidFill>
              <w14:schemeClr w14:val="tx1"/>
            </w14:solidFill>
          </w14:textFill>
        </w:rPr>
        <w:t>精准</w:t>
      </w:r>
      <w:r>
        <w:rPr>
          <w:rFonts w:hint="eastAsia" w:ascii="仿宋_GB2312" w:hAnsi="仿宋_GB2312" w:eastAsia="仿宋_GB2312" w:cs="仿宋_GB2312"/>
          <w:color w:val="000000" w:themeColor="text1"/>
          <w:sz w:val="32"/>
          <w:szCs w:val="32"/>
          <w14:textFill>
            <w14:solidFill>
              <w14:schemeClr w14:val="tx1"/>
            </w14:solidFill>
          </w14:textFill>
        </w:rPr>
        <w:t>用于农村基础设施建设、农业产业发展、易地扶贫搬迁、村级集体经济、社会事业发展等</w:t>
      </w:r>
      <w:r>
        <w:rPr>
          <w:rFonts w:hint="eastAsia" w:ascii="仿宋_GB2312" w:hAnsi="仿宋_GB2312" w:eastAsia="仿宋_GB2312" w:cs="仿宋_GB2312"/>
          <w:color w:val="000000" w:themeColor="text1"/>
          <w:kern w:val="0"/>
          <w:sz w:val="32"/>
          <w:szCs w:val="32"/>
          <w14:textFill>
            <w14:solidFill>
              <w14:schemeClr w14:val="tx1"/>
            </w14:solidFill>
          </w14:textFill>
        </w:rPr>
        <w:t>扶贫事业，</w:t>
      </w:r>
      <w:r>
        <w:rPr>
          <w:rFonts w:hint="eastAsia" w:ascii="仿宋_GB2312" w:hAnsi="仿宋_GB2312" w:eastAsia="仿宋_GB2312" w:cs="仿宋_GB2312"/>
          <w:color w:val="000000" w:themeColor="text1"/>
          <w:sz w:val="32"/>
          <w:szCs w:val="32"/>
          <w14:textFill>
            <w14:solidFill>
              <w14:schemeClr w14:val="tx1"/>
            </w14:solidFill>
          </w14:textFill>
        </w:rPr>
        <w:t>共</w:t>
      </w:r>
      <w:r>
        <w:rPr>
          <w:rFonts w:hint="eastAsia" w:ascii="仿宋_GB2312" w:hAnsi="仿宋_GB2312" w:eastAsia="仿宋_GB2312" w:cs="仿宋_GB2312"/>
          <w:color w:val="000000" w:themeColor="text1"/>
          <w:kern w:val="0"/>
          <w:sz w:val="32"/>
          <w:szCs w:val="32"/>
          <w14:textFill>
            <w14:solidFill>
              <w14:schemeClr w14:val="tx1"/>
            </w14:solidFill>
          </w14:textFill>
        </w:rPr>
        <w:t>硬化和新建通组屯道路、产业道路1207条1677公里，80%的自然屯通了水泥路；</w:t>
      </w:r>
      <w:r>
        <w:rPr>
          <w:rFonts w:hint="eastAsia" w:ascii="仿宋_GB2312" w:hAnsi="仿宋_GB2312" w:eastAsia="仿宋_GB2312" w:cs="仿宋_GB2312"/>
          <w:color w:val="000000" w:themeColor="text1"/>
          <w:sz w:val="32"/>
          <w:szCs w:val="32"/>
          <w14:textFill>
            <w14:solidFill>
              <w14:schemeClr w14:val="tx1"/>
            </w14:solidFill>
          </w14:textFill>
        </w:rPr>
        <w:t>扶持10457户建档立卡贫困户通过自主发展产业实现脱贫致富；</w:t>
      </w:r>
      <w:r>
        <w:rPr>
          <w:rFonts w:hint="eastAsia" w:ascii="仿宋_GB2312" w:hAnsi="仿宋_GB2312" w:eastAsia="仿宋_GB2312" w:cs="仿宋_GB2312"/>
          <w:color w:val="000000" w:themeColor="text1"/>
          <w:kern w:val="0"/>
          <w:sz w:val="32"/>
          <w:szCs w:val="32"/>
          <w14:textFill>
            <w14:solidFill>
              <w14:schemeClr w14:val="tx1"/>
            </w14:solidFill>
          </w14:textFill>
        </w:rPr>
        <w:t>创建55个扶贫产业园（基地）带动2.3万户农户增收；帮扶贫困劳动力就业增收10949人；完成易地扶贫搬迁2032户9311人；实施危房改造和不稳固住房维修4663座；资助贫困学生21.12万人次，全县无一名学生因贫辍学；低保救助1.42万人；落实“198”政策，切实解决了</w:t>
      </w:r>
      <w:r>
        <w:rPr>
          <w:rFonts w:hint="eastAsia" w:ascii="仿宋_GB2312" w:hAnsi="仿宋_GB2312" w:eastAsia="仿宋_GB2312" w:cs="仿宋_GB2312"/>
          <w:color w:val="000000" w:themeColor="text1"/>
          <w:sz w:val="32"/>
          <w:szCs w:val="32"/>
          <w14:textFill>
            <w14:solidFill>
              <w14:schemeClr w14:val="tx1"/>
            </w14:solidFill>
          </w14:textFill>
        </w:rPr>
        <w:t>贫困人口“看病难、看病贵”问题；投入6815万元培育村级集体经济，全县所有村级集体经济收入均达5万元以上。通过精准施策，全县水、电、路、网等突出短板逐步补齐，贫困群众收入明显提高，2016-2019年连续四年在全区扶贫成效考核中获“综合评价好”等次，旅游扶贫经验走进了国际减贫论坛，59个贫困村、45160人贫困人口实现了高质量脱贫，圆满完成了新时代脱贫攻坚目标任务，历史性解决了绝对贫困问题。</w:t>
      </w:r>
    </w:p>
    <w:p>
      <w:pPr>
        <w:pStyle w:val="31"/>
        <w:autoSpaceDE/>
        <w:autoSpaceDN/>
        <w:adjustRightInd/>
        <w:spacing w:line="560" w:lineRule="exact"/>
        <w:ind w:firstLine="643" w:firstLineChars="200"/>
        <w:jc w:val="both"/>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——“十三五”时期是我县城乡面貌变化最大的五年。一是</w:t>
      </w:r>
      <w:r>
        <w:rPr>
          <w:rFonts w:hint="eastAsia" w:ascii="仿宋_GB2312" w:hAnsi="仿宋_GB2312" w:eastAsia="仿宋_GB2312" w:cs="仿宋_GB2312"/>
          <w:color w:val="000000" w:themeColor="text1"/>
          <w:sz w:val="32"/>
          <w:szCs w:val="32"/>
          <w14:textFill>
            <w14:solidFill>
              <w14:schemeClr w14:val="tx1"/>
            </w14:solidFill>
          </w14:textFill>
        </w:rPr>
        <w:t>重大路网建设取得新突破，桂三高速公路龙胜段建成通车，正式融入大桂林1小时经济圈，圆了全县各族人民的“高速梦”；</w:t>
      </w:r>
      <w:r>
        <w:rPr>
          <w:rFonts w:hint="eastAsia" w:ascii="仿宋_GB2312" w:hAnsi="仿宋_GB2312" w:eastAsia="仿宋_GB2312" w:cs="仿宋_GB2312"/>
          <w:bCs/>
          <w:color w:val="000000" w:themeColor="text1"/>
          <w:sz w:val="32"/>
          <w:szCs w:val="32"/>
          <w14:textFill>
            <w14:solidFill>
              <w14:schemeClr w14:val="tx1"/>
            </w14:solidFill>
          </w14:textFill>
        </w:rPr>
        <w:t>龙胜—峒中口岸（马堤芙蓉至县城段）高速公路</w:t>
      </w:r>
      <w:r>
        <w:rPr>
          <w:rFonts w:hint="eastAsia" w:ascii="仿宋_GB2312" w:hAnsi="仿宋_GB2312" w:eastAsia="仿宋_GB2312" w:cs="仿宋_GB2312"/>
          <w:color w:val="000000" w:themeColor="text1"/>
          <w:sz w:val="32"/>
          <w:szCs w:val="32"/>
          <w14:textFill>
            <w14:solidFill>
              <w14:schemeClr w14:val="tx1"/>
            </w14:solidFill>
          </w14:textFill>
        </w:rPr>
        <w:t>顺利开工建设</w:t>
      </w:r>
      <w:r>
        <w:rPr>
          <w:rFonts w:hint="eastAsia" w:ascii="仿宋_GB2312" w:hAnsi="仿宋_GB2312" w:eastAsia="仿宋_GB2312" w:cs="仿宋_GB2312"/>
          <w:bCs/>
          <w:color w:val="000000" w:themeColor="text1"/>
          <w:sz w:val="32"/>
          <w:szCs w:val="32"/>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生态旅游扶贫大环线全线贯通。</w:t>
      </w:r>
      <w:r>
        <w:rPr>
          <w:rFonts w:hint="eastAsia" w:ascii="仿宋_GB2312" w:hAnsi="仿宋_GB2312" w:eastAsia="仿宋_GB2312" w:cs="仿宋_GB2312"/>
          <w:b/>
          <w:bCs/>
          <w:color w:val="000000" w:themeColor="text1"/>
          <w:sz w:val="32"/>
          <w:szCs w:val="32"/>
          <w14:textFill>
            <w14:solidFill>
              <w14:schemeClr w14:val="tx1"/>
            </w14:solidFill>
          </w14:textFill>
        </w:rPr>
        <w:t>二是</w:t>
      </w:r>
      <w:r>
        <w:rPr>
          <w:rFonts w:hint="eastAsia" w:ascii="仿宋_GB2312" w:hAnsi="仿宋_GB2312" w:eastAsia="仿宋_GB2312" w:cs="仿宋_GB2312"/>
          <w:bCs/>
          <w:color w:val="000000" w:themeColor="text1"/>
          <w:sz w:val="32"/>
          <w:szCs w:val="32"/>
          <w14:textFill>
            <w14:solidFill>
              <w14:schemeClr w14:val="tx1"/>
            </w14:solidFill>
          </w14:textFill>
        </w:rPr>
        <w:t>推进以人为本的新型城镇化建设，</w:t>
      </w:r>
      <w:r>
        <w:rPr>
          <w:rFonts w:hint="eastAsia" w:ascii="仿宋_GB2312" w:hAnsi="仿宋_GB2312" w:eastAsia="仿宋_GB2312" w:cs="仿宋_GB2312"/>
          <w:color w:val="000000" w:themeColor="text1"/>
          <w:sz w:val="32"/>
          <w:szCs w:val="32"/>
          <w14:textFill>
            <w14:solidFill>
              <w14:schemeClr w14:val="tx1"/>
            </w14:solidFill>
          </w14:textFill>
        </w:rPr>
        <w:t>创建新型城镇化示范乡镇5个，全县城镇化率由2015年末的30.6%提高到2020年末的35.4%。县城品位不断提升，</w:t>
      </w:r>
      <w:r>
        <w:rPr>
          <w:rFonts w:hint="eastAsia" w:ascii="仿宋_GB2312" w:hAnsi="仿宋_GB2312" w:eastAsia="仿宋_GB2312" w:cs="仿宋_GB2312"/>
          <w:bCs/>
          <w:color w:val="000000" w:themeColor="text1"/>
          <w:sz w:val="32"/>
          <w:szCs w:val="32"/>
          <w14:textFill>
            <w14:solidFill>
              <w14:schemeClr w14:val="tx1"/>
            </w14:solidFill>
          </w14:textFill>
        </w:rPr>
        <w:t>成功创建“广西壮族自治区卫生县城”；</w:t>
      </w:r>
      <w:r>
        <w:rPr>
          <w:rFonts w:hint="eastAsia" w:ascii="仿宋_GB2312" w:hAnsi="仿宋_GB2312" w:eastAsia="仿宋_GB2312" w:cs="仿宋_GB2312"/>
          <w:color w:val="000000" w:themeColor="text1"/>
          <w:sz w:val="32"/>
          <w:szCs w:val="32"/>
          <w14:textFill>
            <w14:solidFill>
              <w14:schemeClr w14:val="tx1"/>
            </w14:solidFill>
          </w14:textFill>
        </w:rPr>
        <w:t>龙脊大道新区建设加速推进。</w:t>
      </w:r>
      <w:r>
        <w:rPr>
          <w:rFonts w:hint="eastAsia" w:ascii="仿宋_GB2312" w:hAnsi="仿宋_GB2312" w:eastAsia="仿宋_GB2312" w:cs="仿宋_GB2312"/>
          <w:b/>
          <w:bCs/>
          <w:color w:val="000000" w:themeColor="text1"/>
          <w:sz w:val="32"/>
          <w:szCs w:val="32"/>
          <w14:textFill>
            <w14:solidFill>
              <w14:schemeClr w14:val="tx1"/>
            </w14:solidFill>
          </w14:textFill>
        </w:rPr>
        <w:t>三是</w:t>
      </w:r>
      <w:r>
        <w:rPr>
          <w:rFonts w:hint="eastAsia" w:ascii="仿宋_GB2312" w:hAnsi="仿宋_GB2312" w:eastAsia="仿宋_GB2312" w:cs="仿宋_GB2312"/>
          <w:color w:val="000000" w:themeColor="text1"/>
          <w:sz w:val="32"/>
          <w:szCs w:val="32"/>
          <w14:textFill>
            <w14:solidFill>
              <w14:schemeClr w14:val="tx1"/>
            </w14:solidFill>
          </w14:textFill>
        </w:rPr>
        <w:t>接续推进生态乡村、宜居乡村、幸福乡村建设，幸福乡村示范村建设全面启动。10个乡镇和6个行政村分别获得自治区级生态乡镇、生态村命名，118个行政村获得市级生态村命名，34个行政村获得自治区级卫生村命名；完成18个中国传统村落保护修缮工作及10个乡土特色示范村的建设，龙脊镇金江村金竹组等30个村落入选中国传统村落名录，16个村寨被命名为“中国少数民族特色村寨”，</w:t>
      </w:r>
      <w:r>
        <w:rPr>
          <w:rFonts w:hint="eastAsia" w:ascii="仿宋_GB2312" w:hAnsi="仿宋_GB2312" w:eastAsia="仿宋_GB2312" w:cs="仿宋_GB2312"/>
          <w:color w:val="0000FF"/>
          <w:sz w:val="32"/>
          <w:szCs w:val="32"/>
        </w:rPr>
        <w:t>马堤乡张家塘荣获全国文明村屯称号</w:t>
      </w:r>
      <w:r>
        <w:rPr>
          <w:rFonts w:hint="eastAsia" w:ascii="仿宋_GB2312" w:hAnsi="仿宋_GB2312" w:eastAsia="仿宋_GB2312" w:cs="仿宋_GB2312"/>
          <w:color w:val="000000" w:themeColor="text1"/>
          <w:sz w:val="32"/>
          <w:szCs w:val="32"/>
          <w14:textFill>
            <w14:solidFill>
              <w14:schemeClr w14:val="tx1"/>
            </w14:solidFill>
          </w14:textFill>
        </w:rPr>
        <w:t>。</w:t>
      </w:r>
    </w:p>
    <w:p>
      <w:pPr>
        <w:tabs>
          <w:tab w:val="left" w:pos="993"/>
        </w:tabs>
        <w:spacing w:line="560" w:lineRule="exact"/>
        <w:ind w:firstLine="643" w:firstLineChars="200"/>
        <w:outlineLvl w:val="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——“十三五”时期是我县生态建设成效最好的五年。</w:t>
      </w:r>
      <w:r>
        <w:rPr>
          <w:rFonts w:hint="eastAsia" w:ascii="仿宋_GB2312" w:hAnsi="仿宋_GB2312" w:eastAsia="仿宋_GB2312" w:cs="仿宋_GB2312"/>
          <w:bCs/>
          <w:color w:val="000000" w:themeColor="text1"/>
          <w:sz w:val="32"/>
          <w:szCs w:val="32"/>
          <w14:textFill>
            <w14:solidFill>
              <w14:schemeClr w14:val="tx1"/>
            </w14:solidFill>
          </w14:textFill>
        </w:rPr>
        <w:t>坚守“绿水青山就是金山银山”的发展理念，</w:t>
      </w:r>
      <w:r>
        <w:rPr>
          <w:rFonts w:hint="eastAsia" w:ascii="仿宋_GB2312" w:hAnsi="仿宋_GB2312" w:eastAsia="仿宋_GB2312" w:cs="仿宋_GB2312"/>
          <w:color w:val="000000" w:themeColor="text1"/>
          <w:kern w:val="0"/>
          <w:sz w:val="32"/>
          <w:szCs w:val="32"/>
          <w14:textFill>
            <w14:solidFill>
              <w14:schemeClr w14:val="tx1"/>
            </w14:solidFill>
          </w14:textFill>
        </w:rPr>
        <w:t>把好生态“红线关”和“底线关”，荣获全国第四批“绿水青山就是金山银山实践创新基地”“自治区级生态县”等荣誉称号，龙脊镇荣获“广西首批养生养老小镇”称号，龙脊梯田国家湿地公园顺利通过国家级验收。深入开展蓝天碧水净土保卫战，县城环境空气质量优良率达到99.7%，饮用水、地表水水质达标率100%，森林覆盖率达81.76%，全县生态环境质量排名全市前列。建成绿色矿山15座，被列为“广西首批绿色矿业发展示范区”。</w:t>
      </w:r>
    </w:p>
    <w:p>
      <w:pPr>
        <w:pBdr>
          <w:top w:val="single" w:color="FFFFFF" w:sz="4" w:space="0"/>
          <w:left w:val="single" w:color="FFFFFF" w:sz="4" w:space="31"/>
          <w:bottom w:val="single" w:color="FFFFFF" w:sz="4" w:space="31"/>
          <w:right w:val="single" w:color="FFFFFF" w:sz="4" w:space="2"/>
        </w:pBdr>
        <w:spacing w:line="560" w:lineRule="exact"/>
        <w:ind w:firstLine="643"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mc:AlternateContent>
          <mc:Choice Requires="wps">
            <w:drawing>
              <wp:anchor distT="0" distB="0" distL="114300" distR="114300" simplePos="0" relativeHeight="251670528" behindDoc="0" locked="0" layoutInCell="1" allowOverlap="1">
                <wp:simplePos x="0" y="0"/>
                <wp:positionH relativeFrom="column">
                  <wp:posOffset>-61595</wp:posOffset>
                </wp:positionH>
                <wp:positionV relativeFrom="paragraph">
                  <wp:posOffset>7694930</wp:posOffset>
                </wp:positionV>
                <wp:extent cx="952500" cy="381000"/>
                <wp:effectExtent l="0" t="0" r="0" b="0"/>
                <wp:wrapNone/>
                <wp:docPr id="10" name="矩形 10"/>
                <wp:cNvGraphicFramePr/>
                <a:graphic xmlns:a="http://schemas.openxmlformats.org/drawingml/2006/main">
                  <a:graphicData uri="http://schemas.microsoft.com/office/word/2010/wordprocessingShape">
                    <wps:wsp>
                      <wps:cNvSpPr/>
                      <wps:spPr>
                        <a:xfrm>
                          <a:off x="882650" y="9764395"/>
                          <a:ext cx="952500" cy="38100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pPr>
                              <w:pStyle w:val="15"/>
                              <w:jc w:val="center"/>
                              <w:rPr>
                                <w:rFonts w:ascii="Times New Roman" w:hAnsi="Times New Roman"/>
                                <w:sz w:val="24"/>
                                <w:szCs w:val="24"/>
                              </w:rPr>
                            </w:pPr>
                            <w:r>
                              <w:rPr>
                                <w:rFonts w:ascii="Times New Roman" w:hAnsi="Times New Roman"/>
                                <w:sz w:val="24"/>
                                <w:szCs w:val="24"/>
                              </w:rPr>
                              <w:t xml:space="preserve">— </w:t>
                            </w:r>
                            <w:sdt>
                              <w:sdtPr>
                                <w:rPr>
                                  <w:rFonts w:ascii="Times New Roman" w:hAnsi="Times New Roman"/>
                                  <w:sz w:val="24"/>
                                  <w:szCs w:val="24"/>
                                </w:rPr>
                                <w:id w:val="607398698"/>
                              </w:sdtPr>
                              <w:sdtEndPr>
                                <w:rPr>
                                  <w:rFonts w:ascii="Times New Roman" w:hAnsi="Times New Roman"/>
                                  <w:sz w:val="24"/>
                                  <w:szCs w:val="24"/>
                                </w:rPr>
                              </w:sdtEndPr>
                              <w:sdtContent>
                                <w:r>
                                  <w:rPr>
                                    <w:rFonts w:hint="eastAsia" w:ascii="Times New Roman" w:hAnsi="Times New Roman"/>
                                    <w:sz w:val="24"/>
                                    <w:szCs w:val="24"/>
                                  </w:rPr>
                                  <w:t>6</w:t>
                                </w:r>
                                <w:r>
                                  <w:rPr>
                                    <w:rFonts w:ascii="Times New Roman" w:hAnsi="Times New Roman" w:eastAsiaTheme="minorEastAsia"/>
                                    <w:sz w:val="24"/>
                                    <w:szCs w:val="24"/>
                                  </w:rPr>
                                  <w:t xml:space="preserve"> —</w:t>
                                </w:r>
                              </w:sdtContent>
                            </w:sdt>
                          </w:p>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85pt;margin-top:605.9pt;height:30pt;width:75pt;z-index:251670528;v-text-anchor:middle;mso-width-relative:page;mso-height-relative:page;" fillcolor="#FFFFFF [3201]" filled="t" stroked="f" coordsize="21600,21600" o:gfxdata="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D82rtvVAAAADAEAAA8AAAAAAAAAAQAgAAAAIgAAAGRycy9kb3ducmV2Lnht&#10;bFBLAQIUABQAAAAIAIdO4kAjzKnfbgIAAMsEAAAOAAAAAAAAAAEAIAAAACQBAABkcnMvZTJvRG9j&#10;LnhtbFBLBQYAAAAABgAGAFkBAAAEBgAAAAA=&#10;">
                <v:fill on="t" focussize="0,0"/>
                <v:stroke on="f" weight="2pt"/>
                <v:imagedata o:title=""/>
                <o:lock v:ext="edit" aspectratio="f"/>
                <v:textbox>
                  <w:txbxContent>
                    <w:p>
                      <w:pPr>
                        <w:pStyle w:val="15"/>
                        <w:jc w:val="center"/>
                        <w:rPr>
                          <w:rFonts w:ascii="Times New Roman" w:hAnsi="Times New Roman"/>
                          <w:sz w:val="24"/>
                          <w:szCs w:val="24"/>
                        </w:rPr>
                      </w:pPr>
                      <w:r>
                        <w:rPr>
                          <w:rFonts w:ascii="Times New Roman" w:hAnsi="Times New Roman"/>
                          <w:sz w:val="24"/>
                          <w:szCs w:val="24"/>
                        </w:rPr>
                        <w:t xml:space="preserve">— </w:t>
                      </w:r>
                      <w:sdt>
                        <w:sdtPr>
                          <w:rPr>
                            <w:rFonts w:ascii="Times New Roman" w:hAnsi="Times New Roman"/>
                            <w:sz w:val="24"/>
                            <w:szCs w:val="24"/>
                          </w:rPr>
                          <w:id w:val="607398698"/>
                        </w:sdtPr>
                        <w:sdtEndPr>
                          <w:rPr>
                            <w:rFonts w:ascii="Times New Roman" w:hAnsi="Times New Roman"/>
                            <w:sz w:val="24"/>
                            <w:szCs w:val="24"/>
                          </w:rPr>
                        </w:sdtEndPr>
                        <w:sdtContent>
                          <w:r>
                            <w:rPr>
                              <w:rFonts w:hint="eastAsia" w:ascii="Times New Roman" w:hAnsi="Times New Roman"/>
                              <w:sz w:val="24"/>
                              <w:szCs w:val="24"/>
                            </w:rPr>
                            <w:t>6</w:t>
                          </w:r>
                          <w:r>
                            <w:rPr>
                              <w:rFonts w:ascii="Times New Roman" w:hAnsi="Times New Roman" w:eastAsiaTheme="minorEastAsia"/>
                              <w:sz w:val="24"/>
                              <w:szCs w:val="24"/>
                            </w:rPr>
                            <w:t xml:space="preserve"> —</w:t>
                          </w:r>
                        </w:sdtContent>
                      </w:sdt>
                    </w:p>
                    <w:p>
                      <w:pPr>
                        <w:jc w:val="center"/>
                      </w:pPr>
                    </w:p>
                  </w:txbxContent>
                </v:textbox>
              </v:rect>
            </w:pict>
          </mc:Fallback>
        </mc:AlternateContent>
      </w:r>
      <w:r>
        <w:rPr>
          <w:rFonts w:hint="eastAsia" w:ascii="仿宋_GB2312" w:hAnsi="仿宋_GB2312" w:eastAsia="仿宋_GB2312" w:cs="仿宋_GB2312"/>
          <w:b/>
          <w:bCs/>
          <w:color w:val="000000" w:themeColor="text1"/>
          <w:kern w:val="0"/>
          <w:sz w:val="32"/>
          <w:szCs w:val="32"/>
          <w14:textFill>
            <w14:solidFill>
              <w14:schemeClr w14:val="tx1"/>
            </w14:solidFill>
          </w14:textFill>
        </w:rPr>
        <w:t>——“十三五”时期是我县人民得实惠最多的五年。</w:t>
      </w:r>
      <w:r>
        <w:rPr>
          <w:rFonts w:hint="eastAsia" w:ascii="仿宋_GB2312" w:hAnsi="仿宋_GB2312" w:eastAsia="仿宋_GB2312" w:cs="仿宋_GB2312"/>
          <w:b/>
          <w:bCs/>
          <w:color w:val="000000" w:themeColor="text1"/>
          <w:sz w:val="32"/>
          <w:szCs w:val="32"/>
          <w14:textFill>
            <w14:solidFill>
              <w14:schemeClr w14:val="tx1"/>
            </w14:solidFill>
          </w14:textFill>
        </w:rPr>
        <w:t>一是</w:t>
      </w:r>
      <w:r>
        <w:rPr>
          <w:rFonts w:hint="eastAsia" w:ascii="仿宋_GB2312" w:hAnsi="仿宋_GB2312" w:eastAsia="仿宋_GB2312" w:cs="仿宋_GB2312"/>
          <w:color w:val="000000" w:themeColor="text1"/>
          <w:sz w:val="32"/>
          <w:szCs w:val="32"/>
          <w14:textFill>
            <w14:solidFill>
              <w14:schemeClr w14:val="tx1"/>
            </w14:solidFill>
          </w14:textFill>
        </w:rPr>
        <w:t>教育事业全面推进。努力办好人民满意的教育，每年都有优秀学子考上清华、北大，义务教育入学率、巩固率均完成上级下达指标任务。投入2.78亿元实施龙脊大道教育园区、县扶贫移民小学（龙胜镇第二小学）等教育基础设施项目119个，办学条件大幅提升。县扶贫移民小学和龙胜镇初级中学分别如期实现开学招生。</w:t>
      </w:r>
      <w:r>
        <w:rPr>
          <w:rFonts w:hint="eastAsia" w:ascii="仿宋_GB2312" w:hAnsi="仿宋_GB2312" w:eastAsia="仿宋_GB2312" w:cs="仿宋_GB2312"/>
          <w:b/>
          <w:color w:val="000000" w:themeColor="text1"/>
          <w:sz w:val="32"/>
          <w:szCs w:val="32"/>
          <w14:textFill>
            <w14:solidFill>
              <w14:schemeClr w14:val="tx1"/>
            </w14:solidFill>
          </w14:textFill>
        </w:rPr>
        <w:t>二是</w:t>
      </w:r>
      <w:r>
        <w:rPr>
          <w:rFonts w:hint="eastAsia" w:ascii="仿宋_GB2312" w:hAnsi="仿宋_GB2312" w:eastAsia="仿宋_GB2312" w:cs="仿宋_GB2312"/>
          <w:color w:val="000000" w:themeColor="text1"/>
          <w:sz w:val="32"/>
          <w:szCs w:val="32"/>
          <w14:textFill>
            <w14:solidFill>
              <w14:schemeClr w14:val="tx1"/>
            </w14:solidFill>
          </w14:textFill>
        </w:rPr>
        <w:t>卫生健康事业稳步发展。投入7579万元实施县中医院整体搬迁等一批公共卫生基础设施建设，紧密型“医联体”全面构建完成，公共卫生和疾病防控工作扎实有效，县乡村医疗卫生服务体系建设走在全区前列，全县健康扶贫工作获国家</w:t>
      </w:r>
      <w:r>
        <w:rPr>
          <w:rFonts w:hint="eastAsia" w:ascii="仿宋_GB2312" w:hAnsi="仿宋_GB2312" w:eastAsia="仿宋_GB2312" w:cs="仿宋_GB2312"/>
          <w:color w:val="000000" w:themeColor="text1"/>
          <w:sz w:val="32"/>
          <w:szCs w:val="32"/>
          <w:lang w:eastAsia="zh-CN"/>
          <w14:textFill>
            <w14:solidFill>
              <w14:schemeClr w14:val="tx1"/>
            </w14:solidFill>
          </w14:textFill>
        </w:rPr>
        <w:t>卫生健康委</w:t>
      </w:r>
      <w:r>
        <w:rPr>
          <w:rFonts w:hint="eastAsia" w:ascii="仿宋_GB2312" w:hAnsi="仿宋_GB2312" w:eastAsia="仿宋_GB2312" w:cs="仿宋_GB2312"/>
          <w:color w:val="000000" w:themeColor="text1"/>
          <w:sz w:val="32"/>
          <w:szCs w:val="32"/>
          <w14:textFill>
            <w14:solidFill>
              <w14:schemeClr w14:val="tx1"/>
            </w14:solidFill>
          </w14:textFill>
        </w:rPr>
        <w:t>、国务院扶贫办通报表扬。</w:t>
      </w:r>
      <w:r>
        <w:rPr>
          <w:rFonts w:hint="eastAsia" w:ascii="仿宋_GB2312" w:hAnsi="仿宋_GB2312" w:eastAsia="仿宋_GB2312" w:cs="仿宋_GB2312"/>
          <w:b/>
          <w:color w:val="000000" w:themeColor="text1"/>
          <w:sz w:val="32"/>
          <w:szCs w:val="32"/>
          <w14:textFill>
            <w14:solidFill>
              <w14:schemeClr w14:val="tx1"/>
            </w14:solidFill>
          </w14:textFill>
        </w:rPr>
        <w:t>三是</w:t>
      </w:r>
      <w:r>
        <w:rPr>
          <w:rFonts w:hint="eastAsia" w:ascii="仿宋_GB2312" w:hAnsi="仿宋_GB2312" w:eastAsia="仿宋_GB2312" w:cs="仿宋_GB2312"/>
          <w:color w:val="000000" w:themeColor="text1"/>
          <w:sz w:val="32"/>
          <w:szCs w:val="32"/>
          <w14:textFill>
            <w14:solidFill>
              <w14:schemeClr w14:val="tx1"/>
            </w14:solidFill>
          </w14:textFill>
        </w:rPr>
        <w:t>文化事业繁荣发展。增进民族团结，2018年获自治区级“民族团结进步创建示范县”称号。投入2500万元新建53个村级综合文化服务中心，率先在全市实现了村级综合文化服务中心全覆盖。成功举办中国农民丰收节、桂林市第三届少数民族传统体育运动会等活动。加大科普示范创建工作力度，荣获“2016—2020年度全国科普示范县”荣誉称号，首次跻身全国科普示范县行列。</w:t>
      </w:r>
      <w:r>
        <w:rPr>
          <w:rFonts w:hint="eastAsia" w:ascii="仿宋_GB2312" w:hAnsi="仿宋_GB2312" w:eastAsia="仿宋_GB2312" w:cs="仿宋_GB2312"/>
          <w:b/>
          <w:color w:val="000000" w:themeColor="text1"/>
          <w:sz w:val="32"/>
          <w:szCs w:val="32"/>
          <w14:textFill>
            <w14:solidFill>
              <w14:schemeClr w14:val="tx1"/>
            </w14:solidFill>
          </w14:textFill>
        </w:rPr>
        <w:t>四是</w:t>
      </w:r>
      <w:r>
        <w:rPr>
          <w:rFonts w:hint="eastAsia" w:ascii="仿宋_GB2312" w:hAnsi="仿宋_GB2312" w:eastAsia="仿宋_GB2312" w:cs="仿宋_GB2312"/>
          <w:color w:val="000000" w:themeColor="text1"/>
          <w:sz w:val="32"/>
          <w:szCs w:val="32"/>
          <w14:textFill>
            <w14:solidFill>
              <w14:schemeClr w14:val="tx1"/>
            </w14:solidFill>
          </w14:textFill>
        </w:rPr>
        <w:t>社会保障不断加强，婚姻登记、殡葬、社会救助、社会福利等便民服务水平不断提升。</w:t>
      </w:r>
      <w:r>
        <w:rPr>
          <w:rFonts w:hint="eastAsia" w:ascii="仿宋_GB2312" w:hAnsi="仿宋_GB2312" w:eastAsia="仿宋_GB2312" w:cs="仿宋_GB2312"/>
          <w:b/>
          <w:color w:val="000000" w:themeColor="text1"/>
          <w:sz w:val="32"/>
          <w:szCs w:val="32"/>
          <w14:textFill>
            <w14:solidFill>
              <w14:schemeClr w14:val="tx1"/>
            </w14:solidFill>
          </w14:textFill>
        </w:rPr>
        <w:t>五是</w:t>
      </w:r>
      <w:r>
        <w:rPr>
          <w:rFonts w:hint="eastAsia" w:ascii="仿宋_GB2312" w:hAnsi="仿宋_GB2312" w:eastAsia="仿宋_GB2312" w:cs="仿宋_GB2312"/>
          <w:color w:val="000000" w:themeColor="text1"/>
          <w:sz w:val="32"/>
          <w:szCs w:val="32"/>
          <w14:textFill>
            <w14:solidFill>
              <w14:schemeClr w14:val="tx1"/>
            </w14:solidFill>
          </w14:textFill>
        </w:rPr>
        <w:t>平安龙胜建设成效明显。扎实推进网格化服务管理工作，实现了县乡村网格化全覆盖。加强和创新社会治理，推进县、乡、村三级综治中心规范化建设，实现县、乡综治视联网全覆盖，群众安全感和满意度连年排名全区前列，马堤乡芙蓉村被授予“全国民主法治示范村”荣誉称号。</w:t>
      </w:r>
    </w:p>
    <w:p>
      <w:pPr>
        <w:pBdr>
          <w:top w:val="single" w:color="FFFFFF" w:sz="4" w:space="0"/>
          <w:left w:val="single" w:color="FFFFFF" w:sz="4" w:space="31"/>
          <w:bottom w:val="single" w:color="FFFFFF" w:sz="4" w:space="31"/>
          <w:right w:val="single" w:color="FFFFFF" w:sz="4" w:space="2"/>
        </w:pBdr>
        <w:spacing w:line="560" w:lineRule="exact"/>
        <w:ind w:firstLine="640" w:firstLineChars="200"/>
        <w:rPr>
          <w:rFonts w:ascii="仿宋_GB2312" w:hAnsi="仿宋_GB2312" w:eastAsia="仿宋_GB2312" w:cs="仿宋_GB2312"/>
          <w:color w:val="000000" w:themeColor="text1"/>
          <w:kern w:val="0"/>
          <w:sz w:val="32"/>
          <w:szCs w:val="32"/>
          <w14:textFill>
            <w14:solidFill>
              <w14:schemeClr w14:val="tx1"/>
            </w14:solidFill>
          </w14:textFill>
        </w:rPr>
      </w:pPr>
      <w:r>
        <w:rPr>
          <w:rFonts w:hint="eastAsia" w:ascii="仿宋_GB2312" w:hAnsi="仿宋_GB2312" w:eastAsia="仿宋_GB2312" w:cs="仿宋_GB2312"/>
          <w:color w:val="000000" w:themeColor="text1"/>
          <w:kern w:val="0"/>
          <w:sz w:val="32"/>
          <w:szCs w:val="32"/>
          <w14:textFill>
            <w14:solidFill>
              <w14:schemeClr w14:val="tx1"/>
            </w14:solidFill>
          </w14:textFill>
        </w:rPr>
        <w:t>五年来，统计、审计、保密、应急、机关事务、接待、档案、供销、地方志、编制、民族宗教、外事侨务、对台工作、市场服务、广播电视、新闻外宣、老龄、工会、共青团、妇女儿童、社会科学、军事设施保护、残疾人事业等不断推进，应急管理、国防动员、人民防空及双拥工作得到加强，税务、公路、国土、工商、金融、水库移民、气象、水文、民爆、石油、烟草、邮政、通信等部门为全县经济社会发展发挥重要作用。</w:t>
      </w:r>
    </w:p>
    <w:p>
      <w:pPr>
        <w:spacing w:line="560" w:lineRule="exact"/>
        <w:rPr>
          <w:rFonts w:ascii="仿宋_GB2312" w:hAnsi="仿宋_GB2312" w:eastAsia="仿宋_GB2312" w:cs="仿宋_GB2312"/>
          <w:color w:val="000000" w:themeColor="text1"/>
          <w:sz w:val="32"/>
          <w:szCs w:val="32"/>
          <w14:textFill>
            <w14:solidFill>
              <w14:schemeClr w14:val="tx1"/>
            </w14:solidFill>
          </w14:textFill>
        </w:rPr>
      </w:pPr>
      <w:bookmarkStart w:id="13" w:name="_Toc52201139"/>
      <w:r>
        <w:rPr>
          <w:rFonts w:hint="eastAsia" w:ascii="仿宋_GB2312" w:hAnsi="仿宋_GB2312" w:eastAsia="仿宋_GB2312" w:cs="仿宋_GB2312"/>
          <w:color w:val="000000" w:themeColor="text1"/>
          <w:sz w:val="32"/>
          <w:szCs w:val="32"/>
          <w14:textFill>
            <w14:solidFill>
              <w14:schemeClr w14:val="tx1"/>
            </w14:solidFill>
          </w14:textFill>
        </w:rPr>
        <w:br w:type="page"/>
      </w:r>
    </w:p>
    <w:p>
      <w:pPr>
        <w:spacing w:after="120" w:afterLines="50" w:line="560" w:lineRule="exact"/>
        <w:jc w:val="center"/>
        <w:textAlignment w:val="baseline"/>
        <w:rPr>
          <w:rFonts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14:textFill>
            <w14:solidFill>
              <w14:schemeClr w14:val="tx1"/>
            </w14:solidFill>
          </w14:textFill>
        </w:rPr>
        <w:t>表1  “十三五”时期主要指标执行情况表</w:t>
      </w:r>
    </w:p>
    <w:tbl>
      <w:tblPr>
        <w:tblStyle w:val="22"/>
        <w:tblW w:w="93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94"/>
        <w:gridCol w:w="1125"/>
        <w:gridCol w:w="1170"/>
        <w:gridCol w:w="1470"/>
        <w:gridCol w:w="1440"/>
        <w:gridCol w:w="16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494" w:type="dxa"/>
            <w:vAlign w:val="center"/>
          </w:tcPr>
          <w:p>
            <w:pPr>
              <w:adjustRightInd w:val="0"/>
              <w:snapToGrid w:val="0"/>
              <w:spacing w:line="300" w:lineRule="auto"/>
              <w:jc w:val="center"/>
              <w:textAlignment w:val="baseline"/>
              <w:rPr>
                <w:rFonts w:ascii="Times New Roman" w:hAnsi="Times New Roman" w:eastAsia="仿宋_GB2312" w:cs="仿宋"/>
                <w:b/>
                <w:color w:val="000000" w:themeColor="text1"/>
                <w:sz w:val="24"/>
                <w14:textFill>
                  <w14:solidFill>
                    <w14:schemeClr w14:val="tx1"/>
                  </w14:solidFill>
                </w14:textFill>
              </w:rPr>
            </w:pPr>
            <w:r>
              <w:rPr>
                <w:rFonts w:hint="eastAsia" w:ascii="Times New Roman" w:hAnsi="Times New Roman" w:eastAsia="仿宋_GB2312" w:cs="仿宋"/>
                <w:b/>
                <w:color w:val="000000" w:themeColor="text1"/>
                <w:sz w:val="24"/>
                <w14:textFill>
                  <w14:solidFill>
                    <w14:schemeClr w14:val="tx1"/>
                  </w14:solidFill>
                </w14:textFill>
              </w:rPr>
              <w:t>主要指标</w:t>
            </w:r>
          </w:p>
        </w:tc>
        <w:tc>
          <w:tcPr>
            <w:tcW w:w="1125" w:type="dxa"/>
            <w:vAlign w:val="center"/>
          </w:tcPr>
          <w:p>
            <w:pPr>
              <w:adjustRightInd w:val="0"/>
              <w:snapToGrid w:val="0"/>
              <w:spacing w:line="300" w:lineRule="auto"/>
              <w:jc w:val="center"/>
              <w:textAlignment w:val="baseline"/>
              <w:rPr>
                <w:rFonts w:ascii="Times New Roman" w:hAnsi="Times New Roman" w:eastAsia="仿宋_GB2312" w:cs="仿宋"/>
                <w:b/>
                <w:color w:val="000000" w:themeColor="text1"/>
                <w:sz w:val="24"/>
                <w14:textFill>
                  <w14:solidFill>
                    <w14:schemeClr w14:val="tx1"/>
                  </w14:solidFill>
                </w14:textFill>
              </w:rPr>
            </w:pPr>
            <w:r>
              <w:rPr>
                <w:rFonts w:hint="eastAsia" w:ascii="Times New Roman" w:hAnsi="Times New Roman" w:eastAsia="仿宋_GB2312" w:cs="仿宋"/>
                <w:b/>
                <w:color w:val="000000" w:themeColor="text1"/>
                <w:sz w:val="24"/>
                <w14:textFill>
                  <w14:solidFill>
                    <w14:schemeClr w14:val="tx1"/>
                  </w14:solidFill>
                </w14:textFill>
              </w:rPr>
              <w:t>单位</w:t>
            </w:r>
          </w:p>
        </w:tc>
        <w:tc>
          <w:tcPr>
            <w:tcW w:w="1170" w:type="dxa"/>
            <w:vAlign w:val="center"/>
          </w:tcPr>
          <w:p>
            <w:pPr>
              <w:adjustRightInd w:val="0"/>
              <w:snapToGrid w:val="0"/>
              <w:spacing w:line="300" w:lineRule="auto"/>
              <w:jc w:val="center"/>
              <w:textAlignment w:val="baseline"/>
              <w:rPr>
                <w:rFonts w:ascii="Times New Roman" w:hAnsi="Times New Roman" w:eastAsia="仿宋_GB2312" w:cs="仿宋"/>
                <w:b/>
                <w:color w:val="000000" w:themeColor="text1"/>
                <w:sz w:val="24"/>
                <w14:textFill>
                  <w14:solidFill>
                    <w14:schemeClr w14:val="tx1"/>
                  </w14:solidFill>
                </w14:textFill>
              </w:rPr>
            </w:pPr>
            <w:r>
              <w:rPr>
                <w:rFonts w:hint="eastAsia" w:ascii="Times New Roman" w:hAnsi="Times New Roman" w:eastAsia="仿宋_GB2312" w:cs="仿宋"/>
                <w:b/>
                <w:color w:val="000000" w:themeColor="text1"/>
                <w:sz w:val="24"/>
                <w14:textFill>
                  <w14:solidFill>
                    <w14:schemeClr w14:val="tx1"/>
                  </w14:solidFill>
                </w14:textFill>
              </w:rPr>
              <w:t>2015年</w:t>
            </w:r>
          </w:p>
          <w:p>
            <w:pPr>
              <w:adjustRightInd w:val="0"/>
              <w:snapToGrid w:val="0"/>
              <w:spacing w:line="300" w:lineRule="auto"/>
              <w:jc w:val="center"/>
              <w:textAlignment w:val="baseline"/>
              <w:rPr>
                <w:rFonts w:ascii="Times New Roman" w:hAnsi="Times New Roman" w:eastAsia="仿宋_GB2312" w:cs="仿宋"/>
                <w:b/>
                <w:color w:val="000000" w:themeColor="text1"/>
                <w:sz w:val="24"/>
                <w14:textFill>
                  <w14:solidFill>
                    <w14:schemeClr w14:val="tx1"/>
                  </w14:solidFill>
                </w14:textFill>
              </w:rPr>
            </w:pPr>
            <w:r>
              <w:rPr>
                <w:rFonts w:hint="eastAsia" w:ascii="Times New Roman" w:hAnsi="Times New Roman" w:eastAsia="仿宋_GB2312" w:cs="仿宋"/>
                <w:b/>
                <w:color w:val="000000" w:themeColor="text1"/>
                <w:sz w:val="24"/>
                <w14:textFill>
                  <w14:solidFill>
                    <w14:schemeClr w14:val="tx1"/>
                  </w14:solidFill>
                </w14:textFill>
              </w:rPr>
              <w:t>实际</w:t>
            </w:r>
          </w:p>
        </w:tc>
        <w:tc>
          <w:tcPr>
            <w:tcW w:w="1470" w:type="dxa"/>
            <w:vAlign w:val="center"/>
          </w:tcPr>
          <w:p>
            <w:pPr>
              <w:adjustRightInd w:val="0"/>
              <w:snapToGrid w:val="0"/>
              <w:spacing w:line="300" w:lineRule="auto"/>
              <w:jc w:val="center"/>
              <w:textAlignment w:val="baseline"/>
              <w:rPr>
                <w:rFonts w:ascii="Times New Roman" w:hAnsi="Times New Roman" w:eastAsia="仿宋_GB2312" w:cs="仿宋"/>
                <w:b/>
                <w:color w:val="000000" w:themeColor="text1"/>
                <w:sz w:val="24"/>
                <w14:textFill>
                  <w14:solidFill>
                    <w14:schemeClr w14:val="tx1"/>
                  </w14:solidFill>
                </w14:textFill>
              </w:rPr>
            </w:pPr>
            <w:r>
              <w:rPr>
                <w:rFonts w:hint="eastAsia" w:ascii="Times New Roman" w:hAnsi="Times New Roman" w:eastAsia="仿宋_GB2312" w:cs="仿宋"/>
                <w:b/>
                <w:color w:val="000000" w:themeColor="text1"/>
                <w:sz w:val="24"/>
                <w14:textFill>
                  <w14:solidFill>
                    <w14:schemeClr w14:val="tx1"/>
                  </w14:solidFill>
                </w14:textFill>
              </w:rPr>
              <w:t>“十三五”规划年均增长（%）</w:t>
            </w:r>
          </w:p>
        </w:tc>
        <w:tc>
          <w:tcPr>
            <w:tcW w:w="1440" w:type="dxa"/>
            <w:vAlign w:val="center"/>
          </w:tcPr>
          <w:p>
            <w:pPr>
              <w:adjustRightInd w:val="0"/>
              <w:snapToGrid w:val="0"/>
              <w:spacing w:line="300" w:lineRule="auto"/>
              <w:jc w:val="center"/>
              <w:textAlignment w:val="baseline"/>
              <w:rPr>
                <w:rFonts w:ascii="Times New Roman" w:hAnsi="Times New Roman" w:eastAsia="仿宋_GB2312" w:cs="仿宋"/>
                <w:b/>
                <w:color w:val="000000" w:themeColor="text1"/>
                <w:sz w:val="24"/>
                <w14:textFill>
                  <w14:solidFill>
                    <w14:schemeClr w14:val="tx1"/>
                  </w14:solidFill>
                </w14:textFill>
              </w:rPr>
            </w:pPr>
            <w:r>
              <w:rPr>
                <w:rFonts w:hint="eastAsia" w:ascii="Times New Roman" w:hAnsi="Times New Roman" w:eastAsia="仿宋_GB2312" w:cs="仿宋"/>
                <w:b/>
                <w:color w:val="000000" w:themeColor="text1"/>
                <w:sz w:val="24"/>
                <w14:textFill>
                  <w14:solidFill>
                    <w14:schemeClr w14:val="tx1"/>
                  </w14:solidFill>
                </w14:textFill>
              </w:rPr>
              <w:t>2020年</w:t>
            </w:r>
          </w:p>
          <w:p>
            <w:pPr>
              <w:adjustRightInd w:val="0"/>
              <w:snapToGrid w:val="0"/>
              <w:spacing w:line="300" w:lineRule="auto"/>
              <w:jc w:val="center"/>
              <w:textAlignment w:val="baseline"/>
              <w:rPr>
                <w:rFonts w:ascii="Times New Roman" w:hAnsi="Times New Roman" w:eastAsia="仿宋_GB2312" w:cs="仿宋"/>
                <w:b/>
                <w:color w:val="000000" w:themeColor="text1"/>
                <w:sz w:val="24"/>
                <w14:textFill>
                  <w14:solidFill>
                    <w14:schemeClr w14:val="tx1"/>
                  </w14:solidFill>
                </w14:textFill>
              </w:rPr>
            </w:pPr>
            <w:r>
              <w:rPr>
                <w:rFonts w:hint="eastAsia" w:ascii="Times New Roman" w:hAnsi="Times New Roman" w:eastAsia="仿宋_GB2312" w:cs="仿宋"/>
                <w:b/>
                <w:color w:val="000000" w:themeColor="text1"/>
                <w:sz w:val="24"/>
                <w14:textFill>
                  <w14:solidFill>
                    <w14:schemeClr w14:val="tx1"/>
                  </w14:solidFill>
                </w14:textFill>
              </w:rPr>
              <w:t>完成情况</w:t>
            </w:r>
          </w:p>
        </w:tc>
        <w:tc>
          <w:tcPr>
            <w:tcW w:w="1669" w:type="dxa"/>
            <w:vAlign w:val="center"/>
          </w:tcPr>
          <w:p>
            <w:pPr>
              <w:adjustRightInd w:val="0"/>
              <w:snapToGrid w:val="0"/>
              <w:spacing w:line="300" w:lineRule="auto"/>
              <w:jc w:val="center"/>
              <w:textAlignment w:val="baseline"/>
              <w:rPr>
                <w:rFonts w:ascii="Times New Roman" w:hAnsi="Times New Roman" w:eastAsia="仿宋_GB2312" w:cs="仿宋"/>
                <w:b/>
                <w:color w:val="000000" w:themeColor="text1"/>
                <w:sz w:val="24"/>
                <w14:textFill>
                  <w14:solidFill>
                    <w14:schemeClr w14:val="tx1"/>
                  </w14:solidFill>
                </w14:textFill>
              </w:rPr>
            </w:pPr>
            <w:r>
              <w:rPr>
                <w:rFonts w:hint="eastAsia" w:ascii="Times New Roman" w:hAnsi="Times New Roman" w:eastAsia="仿宋_GB2312" w:cs="仿宋"/>
                <w:b/>
                <w:color w:val="000000" w:themeColor="text1"/>
                <w:sz w:val="24"/>
                <w14:textFill>
                  <w14:solidFill>
                    <w14:schemeClr w14:val="tx1"/>
                  </w14:solidFill>
                </w14:textFill>
              </w:rPr>
              <w:t>“十三五”  实际年均增长（%）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7" w:hRule="atLeast"/>
          <w:jc w:val="center"/>
        </w:trPr>
        <w:tc>
          <w:tcPr>
            <w:tcW w:w="2494" w:type="dxa"/>
            <w:vAlign w:val="center"/>
          </w:tcPr>
          <w:p>
            <w:pPr>
              <w:adjustRightInd w:val="0"/>
              <w:snapToGrid w:val="0"/>
              <w:spacing w:line="300" w:lineRule="auto"/>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地区生产总值</w:t>
            </w:r>
          </w:p>
        </w:tc>
        <w:tc>
          <w:tcPr>
            <w:tcW w:w="1125" w:type="dxa"/>
            <w:vAlign w:val="center"/>
          </w:tcPr>
          <w:p>
            <w:pPr>
              <w:adjustRightInd w:val="0"/>
              <w:snapToGrid w:val="0"/>
              <w:spacing w:line="300" w:lineRule="auto"/>
              <w:jc w:val="center"/>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亿元</w:t>
            </w:r>
          </w:p>
        </w:tc>
        <w:tc>
          <w:tcPr>
            <w:tcW w:w="11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56.60</w:t>
            </w:r>
          </w:p>
        </w:tc>
        <w:tc>
          <w:tcPr>
            <w:tcW w:w="14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7.0</w:t>
            </w:r>
          </w:p>
        </w:tc>
        <w:tc>
          <w:tcPr>
            <w:tcW w:w="144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60.40</w:t>
            </w:r>
          </w:p>
        </w:tc>
        <w:tc>
          <w:tcPr>
            <w:tcW w:w="1669"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jc w:val="center"/>
        </w:trPr>
        <w:tc>
          <w:tcPr>
            <w:tcW w:w="2494" w:type="dxa"/>
            <w:vAlign w:val="center"/>
          </w:tcPr>
          <w:p>
            <w:pPr>
              <w:adjustRightInd w:val="0"/>
              <w:snapToGrid w:val="0"/>
              <w:spacing w:line="300" w:lineRule="auto"/>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人均地区生产总值（按户籍人口）</w:t>
            </w:r>
          </w:p>
        </w:tc>
        <w:tc>
          <w:tcPr>
            <w:tcW w:w="1125" w:type="dxa"/>
            <w:vAlign w:val="center"/>
          </w:tcPr>
          <w:p>
            <w:pPr>
              <w:adjustRightInd w:val="0"/>
              <w:snapToGrid w:val="0"/>
              <w:spacing w:line="300" w:lineRule="auto"/>
              <w:jc w:val="center"/>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元/人</w:t>
            </w:r>
          </w:p>
        </w:tc>
        <w:tc>
          <w:tcPr>
            <w:tcW w:w="11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32131</w:t>
            </w:r>
          </w:p>
        </w:tc>
        <w:tc>
          <w:tcPr>
            <w:tcW w:w="14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8.6</w:t>
            </w:r>
          </w:p>
        </w:tc>
        <w:tc>
          <w:tcPr>
            <w:tcW w:w="144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34850</w:t>
            </w:r>
          </w:p>
        </w:tc>
        <w:tc>
          <w:tcPr>
            <w:tcW w:w="1669"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2" w:hRule="atLeast"/>
          <w:jc w:val="center"/>
        </w:trPr>
        <w:tc>
          <w:tcPr>
            <w:tcW w:w="2494" w:type="dxa"/>
            <w:vAlign w:val="center"/>
          </w:tcPr>
          <w:p>
            <w:pPr>
              <w:adjustRightInd w:val="0"/>
              <w:snapToGrid w:val="0"/>
              <w:spacing w:line="300" w:lineRule="auto"/>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财政收入</w:t>
            </w:r>
          </w:p>
        </w:tc>
        <w:tc>
          <w:tcPr>
            <w:tcW w:w="1125" w:type="dxa"/>
            <w:vAlign w:val="center"/>
          </w:tcPr>
          <w:p>
            <w:pPr>
              <w:adjustRightInd w:val="0"/>
              <w:snapToGrid w:val="0"/>
              <w:spacing w:line="300" w:lineRule="auto"/>
              <w:jc w:val="center"/>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亿元</w:t>
            </w:r>
          </w:p>
        </w:tc>
        <w:tc>
          <w:tcPr>
            <w:tcW w:w="11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w:t>
            </w:r>
          </w:p>
        </w:tc>
        <w:tc>
          <w:tcPr>
            <w:tcW w:w="14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w:t>
            </w:r>
          </w:p>
        </w:tc>
        <w:tc>
          <w:tcPr>
            <w:tcW w:w="144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3.93</w:t>
            </w:r>
          </w:p>
        </w:tc>
        <w:tc>
          <w:tcPr>
            <w:tcW w:w="1669"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2494" w:type="dxa"/>
            <w:vAlign w:val="center"/>
          </w:tcPr>
          <w:p>
            <w:pPr>
              <w:adjustRightInd w:val="0"/>
              <w:snapToGrid w:val="0"/>
              <w:spacing w:line="300" w:lineRule="auto"/>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固定资产投资</w:t>
            </w:r>
          </w:p>
        </w:tc>
        <w:tc>
          <w:tcPr>
            <w:tcW w:w="1125" w:type="dxa"/>
            <w:vAlign w:val="center"/>
          </w:tcPr>
          <w:p>
            <w:pPr>
              <w:adjustRightInd w:val="0"/>
              <w:snapToGrid w:val="0"/>
              <w:spacing w:line="300" w:lineRule="auto"/>
              <w:jc w:val="center"/>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亿元</w:t>
            </w:r>
          </w:p>
        </w:tc>
        <w:tc>
          <w:tcPr>
            <w:tcW w:w="11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w:t>
            </w:r>
          </w:p>
        </w:tc>
        <w:tc>
          <w:tcPr>
            <w:tcW w:w="14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w:t>
            </w:r>
          </w:p>
        </w:tc>
        <w:tc>
          <w:tcPr>
            <w:tcW w:w="144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35.63</w:t>
            </w:r>
          </w:p>
        </w:tc>
        <w:tc>
          <w:tcPr>
            <w:tcW w:w="1669"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2494" w:type="dxa"/>
            <w:vAlign w:val="center"/>
          </w:tcPr>
          <w:p>
            <w:pPr>
              <w:adjustRightInd w:val="0"/>
              <w:snapToGrid w:val="0"/>
              <w:spacing w:line="300" w:lineRule="auto"/>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社会消费品零售总额</w:t>
            </w:r>
          </w:p>
        </w:tc>
        <w:tc>
          <w:tcPr>
            <w:tcW w:w="1125" w:type="dxa"/>
            <w:vAlign w:val="center"/>
          </w:tcPr>
          <w:p>
            <w:pPr>
              <w:adjustRightInd w:val="0"/>
              <w:snapToGrid w:val="0"/>
              <w:spacing w:line="300" w:lineRule="auto"/>
              <w:jc w:val="center"/>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亿元</w:t>
            </w:r>
          </w:p>
        </w:tc>
        <w:tc>
          <w:tcPr>
            <w:tcW w:w="11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8.07</w:t>
            </w:r>
          </w:p>
        </w:tc>
        <w:tc>
          <w:tcPr>
            <w:tcW w:w="14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4.3</w:t>
            </w:r>
          </w:p>
        </w:tc>
        <w:tc>
          <w:tcPr>
            <w:tcW w:w="144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12.59</w:t>
            </w:r>
          </w:p>
        </w:tc>
        <w:tc>
          <w:tcPr>
            <w:tcW w:w="1669"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jc w:val="center"/>
        </w:trPr>
        <w:tc>
          <w:tcPr>
            <w:tcW w:w="2494" w:type="dxa"/>
            <w:vAlign w:val="center"/>
          </w:tcPr>
          <w:p>
            <w:pPr>
              <w:adjustRightInd w:val="0"/>
              <w:snapToGrid w:val="0"/>
              <w:spacing w:line="300" w:lineRule="auto"/>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外贸进出口总额</w:t>
            </w:r>
          </w:p>
        </w:tc>
        <w:tc>
          <w:tcPr>
            <w:tcW w:w="1125" w:type="dxa"/>
            <w:vAlign w:val="center"/>
          </w:tcPr>
          <w:p>
            <w:pPr>
              <w:adjustRightInd w:val="0"/>
              <w:snapToGrid w:val="0"/>
              <w:spacing w:line="300" w:lineRule="auto"/>
              <w:jc w:val="center"/>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亿元</w:t>
            </w:r>
          </w:p>
        </w:tc>
        <w:tc>
          <w:tcPr>
            <w:tcW w:w="11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0.25</w:t>
            </w:r>
          </w:p>
        </w:tc>
        <w:tc>
          <w:tcPr>
            <w:tcW w:w="14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w:t>
            </w:r>
          </w:p>
        </w:tc>
        <w:tc>
          <w:tcPr>
            <w:tcW w:w="144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3.60</w:t>
            </w:r>
          </w:p>
        </w:tc>
        <w:tc>
          <w:tcPr>
            <w:tcW w:w="1669"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2494" w:type="dxa"/>
            <w:vAlign w:val="center"/>
          </w:tcPr>
          <w:p>
            <w:pPr>
              <w:adjustRightInd w:val="0"/>
              <w:snapToGrid w:val="0"/>
              <w:spacing w:line="300" w:lineRule="auto"/>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旅游接待总人数</w:t>
            </w:r>
          </w:p>
        </w:tc>
        <w:tc>
          <w:tcPr>
            <w:tcW w:w="1125" w:type="dxa"/>
            <w:vAlign w:val="center"/>
          </w:tcPr>
          <w:p>
            <w:pPr>
              <w:adjustRightInd w:val="0"/>
              <w:snapToGrid w:val="0"/>
              <w:spacing w:line="300" w:lineRule="auto"/>
              <w:jc w:val="center"/>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万人次</w:t>
            </w:r>
          </w:p>
        </w:tc>
        <w:tc>
          <w:tcPr>
            <w:tcW w:w="11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553.45</w:t>
            </w:r>
          </w:p>
        </w:tc>
        <w:tc>
          <w:tcPr>
            <w:tcW w:w="14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4.76</w:t>
            </w:r>
          </w:p>
        </w:tc>
        <w:tc>
          <w:tcPr>
            <w:tcW w:w="144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698.30</w:t>
            </w:r>
          </w:p>
        </w:tc>
        <w:tc>
          <w:tcPr>
            <w:tcW w:w="1669"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2494" w:type="dxa"/>
            <w:vAlign w:val="center"/>
          </w:tcPr>
          <w:p>
            <w:pPr>
              <w:adjustRightInd w:val="0"/>
              <w:snapToGrid w:val="0"/>
              <w:spacing w:line="300" w:lineRule="auto"/>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实现旅游总消费</w:t>
            </w:r>
          </w:p>
        </w:tc>
        <w:tc>
          <w:tcPr>
            <w:tcW w:w="1125" w:type="dxa"/>
            <w:vAlign w:val="center"/>
          </w:tcPr>
          <w:p>
            <w:pPr>
              <w:adjustRightInd w:val="0"/>
              <w:snapToGrid w:val="0"/>
              <w:spacing w:line="300" w:lineRule="auto"/>
              <w:jc w:val="center"/>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亿元</w:t>
            </w:r>
          </w:p>
        </w:tc>
        <w:tc>
          <w:tcPr>
            <w:tcW w:w="11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46.10</w:t>
            </w:r>
          </w:p>
        </w:tc>
        <w:tc>
          <w:tcPr>
            <w:tcW w:w="14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12.62</w:t>
            </w:r>
          </w:p>
        </w:tc>
        <w:tc>
          <w:tcPr>
            <w:tcW w:w="144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83.52</w:t>
            </w:r>
          </w:p>
        </w:tc>
        <w:tc>
          <w:tcPr>
            <w:tcW w:w="1669"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0" w:hRule="atLeast"/>
          <w:jc w:val="center"/>
        </w:trPr>
        <w:tc>
          <w:tcPr>
            <w:tcW w:w="2494" w:type="dxa"/>
            <w:vAlign w:val="center"/>
          </w:tcPr>
          <w:p>
            <w:pPr>
              <w:adjustRightInd w:val="0"/>
              <w:snapToGrid w:val="0"/>
              <w:spacing w:line="300" w:lineRule="auto"/>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三次产业增加值结构</w:t>
            </w:r>
          </w:p>
        </w:tc>
        <w:tc>
          <w:tcPr>
            <w:tcW w:w="1125" w:type="dxa"/>
            <w:vAlign w:val="center"/>
          </w:tcPr>
          <w:p>
            <w:pPr>
              <w:adjustRightInd w:val="0"/>
              <w:snapToGrid w:val="0"/>
              <w:spacing w:line="300" w:lineRule="auto"/>
              <w:jc w:val="center"/>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w:t>
            </w:r>
          </w:p>
        </w:tc>
        <w:tc>
          <w:tcPr>
            <w:tcW w:w="11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18.7:54:27.3</w:t>
            </w:r>
          </w:p>
        </w:tc>
        <w:tc>
          <w:tcPr>
            <w:tcW w:w="14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w:t>
            </w:r>
          </w:p>
        </w:tc>
        <w:tc>
          <w:tcPr>
            <w:tcW w:w="144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22.2：23.0：54.8</w:t>
            </w:r>
          </w:p>
        </w:tc>
        <w:tc>
          <w:tcPr>
            <w:tcW w:w="1669"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2494" w:type="dxa"/>
            <w:vAlign w:val="center"/>
          </w:tcPr>
          <w:p>
            <w:pPr>
              <w:adjustRightInd w:val="0"/>
              <w:snapToGrid w:val="0"/>
              <w:spacing w:line="300" w:lineRule="auto"/>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工业增加值占GDP</w:t>
            </w:r>
          </w:p>
          <w:p>
            <w:pPr>
              <w:adjustRightInd w:val="0"/>
              <w:snapToGrid w:val="0"/>
              <w:spacing w:line="300" w:lineRule="auto"/>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比重</w:t>
            </w:r>
          </w:p>
        </w:tc>
        <w:tc>
          <w:tcPr>
            <w:tcW w:w="1125" w:type="dxa"/>
            <w:vAlign w:val="center"/>
          </w:tcPr>
          <w:p>
            <w:pPr>
              <w:adjustRightInd w:val="0"/>
              <w:snapToGrid w:val="0"/>
              <w:spacing w:line="300" w:lineRule="auto"/>
              <w:jc w:val="center"/>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w:t>
            </w:r>
          </w:p>
        </w:tc>
        <w:tc>
          <w:tcPr>
            <w:tcW w:w="11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44.9</w:t>
            </w:r>
          </w:p>
        </w:tc>
        <w:tc>
          <w:tcPr>
            <w:tcW w:w="14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w:t>
            </w:r>
          </w:p>
        </w:tc>
        <w:tc>
          <w:tcPr>
            <w:tcW w:w="144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13.4</w:t>
            </w:r>
          </w:p>
        </w:tc>
        <w:tc>
          <w:tcPr>
            <w:tcW w:w="1669"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2494" w:type="dxa"/>
            <w:vAlign w:val="center"/>
          </w:tcPr>
          <w:p>
            <w:pPr>
              <w:adjustRightInd w:val="0"/>
              <w:snapToGrid w:val="0"/>
              <w:spacing w:line="300" w:lineRule="auto"/>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常住人口城镇化率</w:t>
            </w:r>
          </w:p>
        </w:tc>
        <w:tc>
          <w:tcPr>
            <w:tcW w:w="1125" w:type="dxa"/>
            <w:vAlign w:val="center"/>
          </w:tcPr>
          <w:p>
            <w:pPr>
              <w:adjustRightInd w:val="0"/>
              <w:snapToGrid w:val="0"/>
              <w:spacing w:line="300" w:lineRule="auto"/>
              <w:jc w:val="center"/>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w:t>
            </w:r>
          </w:p>
        </w:tc>
        <w:tc>
          <w:tcPr>
            <w:tcW w:w="11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30.6</w:t>
            </w:r>
          </w:p>
        </w:tc>
        <w:tc>
          <w:tcPr>
            <w:tcW w:w="14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w:t>
            </w:r>
          </w:p>
        </w:tc>
        <w:tc>
          <w:tcPr>
            <w:tcW w:w="144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35.4</w:t>
            </w:r>
          </w:p>
        </w:tc>
        <w:tc>
          <w:tcPr>
            <w:tcW w:w="1669"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2" w:hRule="atLeast"/>
          <w:jc w:val="center"/>
        </w:trPr>
        <w:tc>
          <w:tcPr>
            <w:tcW w:w="2494" w:type="dxa"/>
            <w:vAlign w:val="center"/>
          </w:tcPr>
          <w:p>
            <w:pPr>
              <w:adjustRightInd w:val="0"/>
              <w:snapToGrid w:val="0"/>
              <w:spacing w:line="300" w:lineRule="auto"/>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每万人口专利拥有量</w:t>
            </w:r>
          </w:p>
        </w:tc>
        <w:tc>
          <w:tcPr>
            <w:tcW w:w="1125" w:type="dxa"/>
            <w:vAlign w:val="center"/>
          </w:tcPr>
          <w:p>
            <w:pPr>
              <w:adjustRightInd w:val="0"/>
              <w:snapToGrid w:val="0"/>
              <w:spacing w:line="300" w:lineRule="auto"/>
              <w:jc w:val="center"/>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件</w:t>
            </w:r>
          </w:p>
        </w:tc>
        <w:tc>
          <w:tcPr>
            <w:tcW w:w="11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0.51</w:t>
            </w:r>
          </w:p>
        </w:tc>
        <w:tc>
          <w:tcPr>
            <w:tcW w:w="14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w:t>
            </w:r>
          </w:p>
        </w:tc>
        <w:tc>
          <w:tcPr>
            <w:tcW w:w="144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1.05</w:t>
            </w:r>
          </w:p>
        </w:tc>
        <w:tc>
          <w:tcPr>
            <w:tcW w:w="1669"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2494" w:type="dxa"/>
            <w:vAlign w:val="center"/>
          </w:tcPr>
          <w:p>
            <w:pPr>
              <w:adjustRightInd w:val="0"/>
              <w:snapToGrid w:val="0"/>
              <w:spacing w:line="300" w:lineRule="auto"/>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城镇居民人均可支配收入</w:t>
            </w:r>
          </w:p>
        </w:tc>
        <w:tc>
          <w:tcPr>
            <w:tcW w:w="1125" w:type="dxa"/>
            <w:vAlign w:val="center"/>
          </w:tcPr>
          <w:p>
            <w:pPr>
              <w:adjustRightInd w:val="0"/>
              <w:snapToGrid w:val="0"/>
              <w:spacing w:line="300" w:lineRule="auto"/>
              <w:jc w:val="center"/>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元</w:t>
            </w:r>
          </w:p>
        </w:tc>
        <w:tc>
          <w:tcPr>
            <w:tcW w:w="11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27642</w:t>
            </w:r>
          </w:p>
        </w:tc>
        <w:tc>
          <w:tcPr>
            <w:tcW w:w="14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9</w:t>
            </w:r>
          </w:p>
        </w:tc>
        <w:tc>
          <w:tcPr>
            <w:tcW w:w="144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 xml:space="preserve">36304 </w:t>
            </w:r>
          </w:p>
        </w:tc>
        <w:tc>
          <w:tcPr>
            <w:tcW w:w="1669"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2494" w:type="dxa"/>
            <w:vAlign w:val="center"/>
          </w:tcPr>
          <w:p>
            <w:pPr>
              <w:adjustRightInd w:val="0"/>
              <w:snapToGrid w:val="0"/>
              <w:spacing w:line="300" w:lineRule="auto"/>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农村居民人均纯收入</w:t>
            </w:r>
          </w:p>
        </w:tc>
        <w:tc>
          <w:tcPr>
            <w:tcW w:w="1125" w:type="dxa"/>
            <w:vAlign w:val="center"/>
          </w:tcPr>
          <w:p>
            <w:pPr>
              <w:adjustRightInd w:val="0"/>
              <w:snapToGrid w:val="0"/>
              <w:spacing w:line="300" w:lineRule="auto"/>
              <w:jc w:val="center"/>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元</w:t>
            </w:r>
          </w:p>
        </w:tc>
        <w:tc>
          <w:tcPr>
            <w:tcW w:w="11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6637</w:t>
            </w:r>
          </w:p>
        </w:tc>
        <w:tc>
          <w:tcPr>
            <w:tcW w:w="14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12</w:t>
            </w:r>
          </w:p>
        </w:tc>
        <w:tc>
          <w:tcPr>
            <w:tcW w:w="144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 xml:space="preserve">13931 </w:t>
            </w:r>
          </w:p>
        </w:tc>
        <w:tc>
          <w:tcPr>
            <w:tcW w:w="1669"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2494" w:type="dxa"/>
            <w:vAlign w:val="center"/>
          </w:tcPr>
          <w:p>
            <w:pPr>
              <w:adjustRightInd w:val="0"/>
              <w:snapToGrid w:val="0"/>
              <w:spacing w:line="300" w:lineRule="auto"/>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全县耕地保有量</w:t>
            </w:r>
          </w:p>
        </w:tc>
        <w:tc>
          <w:tcPr>
            <w:tcW w:w="1125" w:type="dxa"/>
            <w:vAlign w:val="center"/>
          </w:tcPr>
          <w:p>
            <w:pPr>
              <w:adjustRightInd w:val="0"/>
              <w:snapToGrid w:val="0"/>
              <w:spacing w:line="300" w:lineRule="auto"/>
              <w:jc w:val="center"/>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万亩</w:t>
            </w:r>
          </w:p>
        </w:tc>
        <w:tc>
          <w:tcPr>
            <w:tcW w:w="11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26.71</w:t>
            </w:r>
          </w:p>
        </w:tc>
        <w:tc>
          <w:tcPr>
            <w:tcW w:w="14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w:t>
            </w:r>
          </w:p>
        </w:tc>
        <w:tc>
          <w:tcPr>
            <w:tcW w:w="144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26.71</w:t>
            </w:r>
          </w:p>
        </w:tc>
        <w:tc>
          <w:tcPr>
            <w:tcW w:w="1669"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jc w:val="center"/>
        </w:trPr>
        <w:tc>
          <w:tcPr>
            <w:tcW w:w="2494" w:type="dxa"/>
            <w:vAlign w:val="center"/>
          </w:tcPr>
          <w:p>
            <w:pPr>
              <w:adjustRightInd w:val="0"/>
              <w:snapToGrid w:val="0"/>
              <w:spacing w:line="300" w:lineRule="auto"/>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年末总人口</w:t>
            </w:r>
            <w:r>
              <w:rPr>
                <w:rFonts w:hint="eastAsia" w:ascii="Times New Roman" w:hAnsi="Times New Roman" w:eastAsia="仿宋_GB2312" w:cs="仿宋"/>
                <w:color w:val="000000" w:themeColor="text1"/>
                <w:w w:val="95"/>
                <w:sz w:val="24"/>
                <w14:textFill>
                  <w14:solidFill>
                    <w14:schemeClr w14:val="tx1"/>
                  </w14:solidFill>
                </w14:textFill>
              </w:rPr>
              <w:t>(按户籍人口计)</w:t>
            </w:r>
          </w:p>
        </w:tc>
        <w:tc>
          <w:tcPr>
            <w:tcW w:w="1125" w:type="dxa"/>
            <w:vAlign w:val="center"/>
          </w:tcPr>
          <w:p>
            <w:pPr>
              <w:adjustRightInd w:val="0"/>
              <w:snapToGrid w:val="0"/>
              <w:spacing w:line="300" w:lineRule="auto"/>
              <w:jc w:val="center"/>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万人</w:t>
            </w:r>
          </w:p>
        </w:tc>
        <w:tc>
          <w:tcPr>
            <w:tcW w:w="11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17.10</w:t>
            </w:r>
          </w:p>
        </w:tc>
        <w:tc>
          <w:tcPr>
            <w:tcW w:w="14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w:t>
            </w:r>
          </w:p>
        </w:tc>
        <w:tc>
          <w:tcPr>
            <w:tcW w:w="144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17.34</w:t>
            </w:r>
          </w:p>
        </w:tc>
        <w:tc>
          <w:tcPr>
            <w:tcW w:w="1669"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2494" w:type="dxa"/>
            <w:vAlign w:val="center"/>
          </w:tcPr>
          <w:p>
            <w:pPr>
              <w:adjustRightInd w:val="0"/>
              <w:snapToGrid w:val="0"/>
              <w:spacing w:line="300" w:lineRule="auto"/>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万元生产总值能耗</w:t>
            </w:r>
          </w:p>
        </w:tc>
        <w:tc>
          <w:tcPr>
            <w:tcW w:w="1125" w:type="dxa"/>
            <w:vAlign w:val="center"/>
          </w:tcPr>
          <w:p>
            <w:pPr>
              <w:adjustRightInd w:val="0"/>
              <w:snapToGrid w:val="0"/>
              <w:spacing w:line="300" w:lineRule="auto"/>
              <w:jc w:val="center"/>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吨标煤</w:t>
            </w:r>
          </w:p>
        </w:tc>
        <w:tc>
          <w:tcPr>
            <w:tcW w:w="5749" w:type="dxa"/>
            <w:gridSpan w:val="4"/>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控制在桂林市下达目标范围内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2494" w:type="dxa"/>
            <w:vAlign w:val="center"/>
          </w:tcPr>
          <w:p>
            <w:pPr>
              <w:adjustRightInd w:val="0"/>
              <w:snapToGrid w:val="0"/>
              <w:spacing w:line="300" w:lineRule="auto"/>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森林覆盖率</w:t>
            </w:r>
          </w:p>
        </w:tc>
        <w:tc>
          <w:tcPr>
            <w:tcW w:w="1125" w:type="dxa"/>
            <w:vAlign w:val="center"/>
          </w:tcPr>
          <w:p>
            <w:pPr>
              <w:adjustRightInd w:val="0"/>
              <w:snapToGrid w:val="0"/>
              <w:spacing w:line="300" w:lineRule="auto"/>
              <w:jc w:val="center"/>
              <w:textAlignment w:val="baseline"/>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_GB2312" w:cs="仿宋"/>
                <w:color w:val="000000" w:themeColor="text1"/>
                <w:sz w:val="24"/>
                <w14:textFill>
                  <w14:solidFill>
                    <w14:schemeClr w14:val="tx1"/>
                  </w14:solidFill>
                </w14:textFill>
              </w:rPr>
              <w:t>%</w:t>
            </w:r>
          </w:p>
        </w:tc>
        <w:tc>
          <w:tcPr>
            <w:tcW w:w="11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79.12</w:t>
            </w:r>
          </w:p>
        </w:tc>
        <w:tc>
          <w:tcPr>
            <w:tcW w:w="147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w:t>
            </w:r>
          </w:p>
        </w:tc>
        <w:tc>
          <w:tcPr>
            <w:tcW w:w="1440"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81.76</w:t>
            </w:r>
          </w:p>
        </w:tc>
        <w:tc>
          <w:tcPr>
            <w:tcW w:w="1669" w:type="dxa"/>
            <w:vAlign w:val="center"/>
          </w:tcPr>
          <w:p>
            <w:pPr>
              <w:adjustRightInd w:val="0"/>
              <w:snapToGrid w:val="0"/>
              <w:spacing w:line="300" w:lineRule="auto"/>
              <w:jc w:val="center"/>
              <w:rPr>
                <w:rFonts w:ascii="仿宋_GB2312" w:hAnsi="仿宋" w:eastAsia="仿宋_GB2312" w:cs="仿宋"/>
                <w:color w:val="000000" w:themeColor="text1"/>
                <w:sz w:val="24"/>
                <w14:textFill>
                  <w14:solidFill>
                    <w14:schemeClr w14:val="tx1"/>
                  </w14:solidFill>
                </w14:textFill>
              </w:rPr>
            </w:pPr>
            <w:r>
              <w:rPr>
                <w:rFonts w:hint="eastAsia" w:ascii="仿宋_GB2312" w:hAnsi="仿宋" w:eastAsia="仿宋_GB2312" w:cs="仿宋"/>
                <w:color w:val="000000" w:themeColor="text1"/>
                <w:sz w:val="24"/>
                <w14:textFill>
                  <w14:solidFill>
                    <w14:schemeClr w14:val="tx1"/>
                  </w14:solidFill>
                </w14:textFill>
              </w:rPr>
              <w:t>—</w:t>
            </w:r>
          </w:p>
        </w:tc>
      </w:tr>
    </w:tbl>
    <w:p>
      <w:pPr>
        <w:adjustRightInd w:val="0"/>
        <w:snapToGrid w:val="0"/>
        <w:spacing w:line="520" w:lineRule="exact"/>
        <w:ind w:firstLine="640" w:firstLineChars="200"/>
        <w:rPr>
          <w:rFonts w:ascii="Times New Roman" w:hAnsi="Times New Roman" w:eastAsia="仿宋_GB2312"/>
          <w:color w:val="000000" w:themeColor="text1"/>
          <w:sz w:val="32"/>
          <w:szCs w:val="32"/>
          <w14:textFill>
            <w14:solidFill>
              <w14:schemeClr w14:val="tx1"/>
            </w14:solidFill>
          </w14:textFill>
        </w:rPr>
        <w:sectPr>
          <w:footerReference r:id="rId7" w:type="default"/>
          <w:footnotePr>
            <w:numFmt w:val="decimalEnclosedCircleChinese"/>
          </w:footnotePr>
          <w:pgSz w:w="11906" w:h="16838"/>
          <w:pgMar w:top="1587" w:right="1417" w:bottom="1304" w:left="1417" w:header="851" w:footer="850" w:gutter="0"/>
          <w:cols w:space="0" w:num="1"/>
          <w:docGrid w:linePitch="312" w:charSpace="0"/>
        </w:sectPr>
      </w:pPr>
    </w:p>
    <w:p>
      <w:pPr>
        <w:pStyle w:val="41"/>
        <w:keepNext w:val="0"/>
        <w:keepLines w:val="0"/>
        <w:adjustRightInd/>
        <w:snapToGrid/>
        <w:spacing w:before="0" w:beforeLines="0" w:line="560" w:lineRule="exact"/>
        <w:ind w:left="0" w:leftChars="0"/>
        <w:jc w:val="center"/>
        <w:outlineLvl w:val="0"/>
        <w:rPr>
          <w:rFonts w:ascii="黑体" w:hAnsi="黑体" w:cs="黑体"/>
          <w:color w:val="000000" w:themeColor="text1"/>
          <w14:textFill>
            <w14:solidFill>
              <w14:schemeClr w14:val="tx1"/>
            </w14:solidFill>
          </w14:textFill>
        </w:rPr>
      </w:pPr>
      <w:bookmarkStart w:id="14" w:name="_Toc25305"/>
      <w:bookmarkStart w:id="15" w:name="_Toc61110762"/>
      <w:bookmarkStart w:id="16" w:name="_Toc17502"/>
      <w:bookmarkStart w:id="17" w:name="_Toc15923"/>
      <w:bookmarkStart w:id="18" w:name="_Toc14660"/>
      <w:r>
        <w:rPr>
          <w:rFonts w:hint="eastAsia" w:ascii="黑体" w:hAnsi="黑体" w:cs="黑体"/>
          <w:color w:val="000000" w:themeColor="text1"/>
          <w14:textFill>
            <w14:solidFill>
              <w14:schemeClr w14:val="tx1"/>
            </w14:solidFill>
          </w14:textFill>
        </w:rPr>
        <w:t xml:space="preserve">第二章  </w:t>
      </w:r>
      <w:bookmarkEnd w:id="13"/>
      <w:bookmarkEnd w:id="14"/>
      <w:bookmarkEnd w:id="15"/>
      <w:bookmarkEnd w:id="16"/>
      <w:bookmarkEnd w:id="17"/>
      <w:bookmarkEnd w:id="18"/>
      <w:r>
        <w:rPr>
          <w:rFonts w:hint="eastAsia" w:ascii="黑体" w:hAnsi="黑体" w:cs="黑体"/>
          <w:color w:val="000000" w:themeColor="text1"/>
          <w14:textFill>
            <w14:solidFill>
              <w14:schemeClr w14:val="tx1"/>
            </w14:solidFill>
          </w14:textFill>
        </w:rPr>
        <w:t>新发展阶段的新历史方位</w:t>
      </w:r>
    </w:p>
    <w:p>
      <w:pPr>
        <w:pStyle w:val="31"/>
        <w:autoSpaceDE/>
        <w:autoSpaceDN/>
        <w:adjustRightInd/>
        <w:spacing w:line="560" w:lineRule="exact"/>
        <w:rPr>
          <w:rFonts w:ascii="Times New Roman" w:hAnsi="Times New Roman"/>
          <w:color w:val="000000" w:themeColor="text1"/>
          <w14:textFill>
            <w14:solidFill>
              <w14:schemeClr w14:val="tx1"/>
            </w14:solidFill>
          </w14:textFill>
        </w:rPr>
      </w:pPr>
      <w:bookmarkStart w:id="19" w:name="_Toc3484"/>
      <w:bookmarkStart w:id="20" w:name="_Toc22562"/>
      <w:bookmarkStart w:id="21" w:name="_Toc18849"/>
      <w:bookmarkStart w:id="22" w:name="_Toc8480"/>
      <w:bookmarkStart w:id="23" w:name="_Toc52201140"/>
      <w:bookmarkStart w:id="24" w:name="_Toc61110763"/>
      <w:bookmarkStart w:id="25" w:name="_Toc2252"/>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 xml:space="preserve">第一节  </w:t>
      </w:r>
      <w:bookmarkEnd w:id="19"/>
      <w:bookmarkEnd w:id="20"/>
      <w:bookmarkEnd w:id="21"/>
      <w:bookmarkEnd w:id="22"/>
      <w:bookmarkEnd w:id="23"/>
      <w:bookmarkEnd w:id="24"/>
      <w:bookmarkEnd w:id="25"/>
      <w:r>
        <w:rPr>
          <w:rFonts w:hint="eastAsia" w:ascii="楷体_GB2312" w:hAnsi="楷体_GB2312" w:eastAsia="楷体_GB2312" w:cs="楷体_GB2312"/>
          <w:b w:val="0"/>
          <w:color w:val="000000" w:themeColor="text1"/>
          <w14:textFill>
            <w14:solidFill>
              <w14:schemeClr w14:val="tx1"/>
            </w14:solidFill>
          </w14:textFill>
        </w:rPr>
        <w:t>“十四五”时期发展面临的新形势</w:t>
      </w:r>
    </w:p>
    <w:p>
      <w:pPr>
        <w:spacing w:line="560" w:lineRule="exact"/>
        <w:ind w:firstLine="640" w:firstLineChars="200"/>
        <w:rPr>
          <w:rFonts w:ascii="Times New Roman" w:hAnsi="Times New Roman" w:eastAsia="仿宋_GB2312"/>
          <w:color w:val="000000" w:themeColor="text1"/>
          <w:sz w:val="32"/>
          <w:szCs w:val="32"/>
          <w14:textFill>
            <w14:solidFill>
              <w14:schemeClr w14:val="tx1"/>
            </w14:solidFill>
          </w14:textFill>
        </w:rPr>
      </w:pPr>
    </w:p>
    <w:p>
      <w:pPr>
        <w:spacing w:line="560" w:lineRule="exact"/>
        <w:ind w:firstLine="640" w:firstLineChars="200"/>
        <w:rPr>
          <w:rFonts w:ascii="Times New Roman" w:hAnsi="Times New Roman" w:eastAsia="仿宋_GB2312"/>
          <w:color w:val="000000" w:themeColor="text1"/>
          <w:sz w:val="32"/>
          <w:szCs w:val="32"/>
          <w14:textFill>
            <w14:solidFill>
              <w14:schemeClr w14:val="tx1"/>
            </w14:solidFill>
          </w14:textFill>
        </w:rPr>
      </w:pPr>
      <w:r>
        <w:rPr>
          <w:rFonts w:hint="eastAsia" w:ascii="Times New Roman" w:hAnsi="Times New Roman" w:eastAsia="仿宋_GB2312"/>
          <w:color w:val="000000" w:themeColor="text1"/>
          <w:sz w:val="32"/>
          <w:szCs w:val="32"/>
          <w14:textFill>
            <w14:solidFill>
              <w14:schemeClr w14:val="tx1"/>
            </w14:solidFill>
          </w14:textFill>
        </w:rPr>
        <w:t>当前，中国特色社会主义进入了新时代，这是我国发展新的历史方位。认识新时代新特征是谋划“十四五”发展的逻辑起点。对照这个逻辑深入分析外部形势和环境，有利于明确龙胜县未来五年发展的方向和重点。</w:t>
      </w:r>
    </w:p>
    <w:p>
      <w:pPr>
        <w:spacing w:line="560" w:lineRule="exact"/>
        <w:ind w:firstLine="643" w:firstLineChars="200"/>
        <w:rPr>
          <w:rFonts w:ascii="Times New Roman" w:hAnsi="Times New Roman" w:eastAsia="仿宋_GB2312" w:cs="仿宋_GB2312"/>
          <w:color w:val="000000" w:themeColor="text1"/>
          <w:sz w:val="32"/>
          <w:szCs w:val="32"/>
          <w14:textFill>
            <w14:solidFill>
              <w14:schemeClr w14:val="tx1"/>
            </w14:solidFill>
          </w14:textFill>
        </w:rPr>
      </w:pPr>
      <w:bookmarkStart w:id="26" w:name="_Toc11872"/>
      <w:r>
        <w:rPr>
          <w:rFonts w:hint="eastAsia" w:ascii="Times New Roman" w:hAnsi="Times New Roman" w:eastAsia="楷体_GB2312" w:cs="楷体_GB2312"/>
          <w:b/>
          <w:bCs/>
          <w:color w:val="000000" w:themeColor="text1"/>
          <w:sz w:val="32"/>
          <w:szCs w:val="32"/>
          <w:lang w:bidi="ar"/>
          <w14:textFill>
            <w14:solidFill>
              <w14:schemeClr w14:val="tx1"/>
            </w14:solidFill>
          </w14:textFill>
        </w:rPr>
        <w:t>（一）国际环境</w:t>
      </w:r>
      <w:bookmarkEnd w:id="26"/>
      <w:r>
        <w:rPr>
          <w:rFonts w:hint="eastAsia" w:ascii="Times New Roman" w:hAnsi="Times New Roman" w:eastAsia="楷体_GB2312" w:cs="楷体_GB2312"/>
          <w:b/>
          <w:bCs/>
          <w:color w:val="000000" w:themeColor="text1"/>
          <w:sz w:val="32"/>
          <w:szCs w:val="32"/>
          <w:lang w:bidi="ar"/>
          <w14:textFill>
            <w14:solidFill>
              <w14:schemeClr w14:val="tx1"/>
            </w14:solidFill>
          </w14:textFill>
        </w:rPr>
        <w:t>：</w:t>
      </w:r>
      <w:r>
        <w:rPr>
          <w:rFonts w:hint="eastAsia" w:ascii="Times New Roman" w:hAnsi="Times New Roman" w:eastAsia="楷体_GB2312" w:cs="楷体_GB2312"/>
          <w:color w:val="000000" w:themeColor="text1"/>
          <w:sz w:val="32"/>
          <w:szCs w:val="32"/>
          <w:lang w:bidi="ar"/>
          <w14:textFill>
            <w14:solidFill>
              <w14:schemeClr w14:val="tx1"/>
            </w14:solidFill>
          </w14:textFill>
        </w:rPr>
        <w:t>世界正经历百年未有之大变局。</w:t>
      </w:r>
      <w:bookmarkStart w:id="27" w:name="_Toc15445"/>
      <w:r>
        <w:rPr>
          <w:rFonts w:hint="eastAsia" w:ascii="Times New Roman" w:hAnsi="Times New Roman" w:eastAsia="仿宋_GB2312" w:cs="仿宋_GB2312"/>
          <w:color w:val="000000" w:themeColor="text1"/>
          <w:sz w:val="32"/>
          <w:szCs w:val="32"/>
          <w14:textFill>
            <w14:solidFill>
              <w14:schemeClr w14:val="tx1"/>
            </w14:solidFill>
          </w14:textFill>
        </w:rPr>
        <w:t>新一轮科技革命和产业变革深入发展，国际力量对比深刻调整，和平与发展仍然是时代主题。以信息技术、生物科技、新能源新材料、人工智能等为代表的新技术革命不同程度地孕育突破，将带来产业组织方式、生产生活方式的颠覆性变革，全球产业链、价值链、供应链加快重塑。同时，国际环境日趋复杂，国际力量对比深刻调整，不稳定性、不确定性明显增加，新冠肺炎疫情影响广泛深远，经济全球化遭遇逆流，世界进入动荡变革期。</w:t>
      </w:r>
    </w:p>
    <w:p>
      <w:pPr>
        <w:spacing w:line="560" w:lineRule="exact"/>
        <w:ind w:firstLine="643" w:firstLineChars="200"/>
        <w:rPr>
          <w:rFonts w:ascii="Times New Roman" w:hAnsi="Times New Roman" w:eastAsia="仿宋_GB2312" w:cs="仿宋_GB2312"/>
          <w:color w:val="000000" w:themeColor="text1"/>
          <w:sz w:val="32"/>
          <w:szCs w:val="32"/>
          <w14:textFill>
            <w14:solidFill>
              <w14:schemeClr w14:val="tx1"/>
            </w14:solidFill>
          </w14:textFill>
        </w:rPr>
      </w:pPr>
      <w:r>
        <w:rPr>
          <w:rFonts w:hint="eastAsia" w:ascii="Times New Roman" w:hAnsi="Times New Roman" w:eastAsia="楷体_GB2312" w:cs="楷体_GB2312"/>
          <w:b/>
          <w:bCs/>
          <w:color w:val="000000" w:themeColor="text1"/>
          <w:sz w:val="32"/>
          <w:szCs w:val="32"/>
          <w:lang w:bidi="ar"/>
          <w14:textFill>
            <w14:solidFill>
              <w14:schemeClr w14:val="tx1"/>
            </w14:solidFill>
          </w14:textFill>
        </w:rPr>
        <w:t>（二）国内环境</w:t>
      </w:r>
      <w:bookmarkEnd w:id="27"/>
      <w:r>
        <w:rPr>
          <w:rFonts w:hint="eastAsia" w:ascii="Times New Roman" w:hAnsi="Times New Roman" w:eastAsia="楷体_GB2312" w:cs="楷体_GB2312"/>
          <w:b/>
          <w:bCs/>
          <w:color w:val="000000" w:themeColor="text1"/>
          <w:sz w:val="32"/>
          <w:szCs w:val="32"/>
          <w:lang w:bidi="ar"/>
          <w14:textFill>
            <w14:solidFill>
              <w14:schemeClr w14:val="tx1"/>
            </w14:solidFill>
          </w14:textFill>
        </w:rPr>
        <w:t>：</w:t>
      </w:r>
      <w:r>
        <w:rPr>
          <w:rFonts w:hint="eastAsia" w:ascii="Times New Roman" w:hAnsi="Times New Roman" w:eastAsia="楷体_GB2312" w:cs="楷体_GB2312"/>
          <w:color w:val="000000" w:themeColor="text1"/>
          <w:sz w:val="32"/>
          <w:szCs w:val="32"/>
          <w:lang w:bidi="ar"/>
          <w14:textFill>
            <w14:solidFill>
              <w14:schemeClr w14:val="tx1"/>
            </w14:solidFill>
          </w14:textFill>
        </w:rPr>
        <w:t>中国转向高质量发展阶段。</w:t>
      </w:r>
      <w:r>
        <w:rPr>
          <w:rFonts w:hint="eastAsia" w:ascii="Times New Roman" w:hAnsi="Times New Roman" w:eastAsia="仿宋_GB2312" w:cs="仿宋_GB2312"/>
          <w:color w:val="000000" w:themeColor="text1"/>
          <w:sz w:val="32"/>
          <w:szCs w:val="32"/>
          <w14:textFill>
            <w14:solidFill>
              <w14:schemeClr w14:val="tx1"/>
            </w14:solidFill>
          </w14:textFill>
        </w:rPr>
        <w:t>我国处在转变发展方式、优化经济结构、转换增长动力的攻坚期，正由中等收入国家迈向高收入国家，发展的阶段任务也由全面建成小康社会转向全面建设社会主义现代化国家，社会主要矛盾转化为人民日益增长的美好生活需要和不平衡不充分的发展之间的矛盾，国内大循环为主体、国内国际双循环相互促进的新发展格局加快形成。我国制度优势显著、发展韧性强劲、经济长期向好、社会大局稳定。同时，发展不平衡不充分问题仍然突出，创新能力不适应高质量发展要求，城乡区域发展和收入分配差距较大，生态环保任重道远，民生保障存在短板，社会治理还有弱项。</w:t>
      </w:r>
    </w:p>
    <w:p>
      <w:pPr>
        <w:spacing w:line="560" w:lineRule="exact"/>
        <w:ind w:firstLine="643" w:firstLineChars="200"/>
        <w:rPr>
          <w:rFonts w:ascii="Times New Roman" w:hAnsi="Times New Roman" w:eastAsia="仿宋_GB2312"/>
          <w:color w:val="000000" w:themeColor="text1"/>
          <w:sz w:val="32"/>
          <w:szCs w:val="32"/>
          <w14:textFill>
            <w14:solidFill>
              <w14:schemeClr w14:val="tx1"/>
            </w14:solidFill>
          </w14:textFill>
        </w:rPr>
      </w:pPr>
      <w:bookmarkStart w:id="28" w:name="_Toc9412"/>
      <w:r>
        <w:rPr>
          <w:rFonts w:hint="eastAsia" w:ascii="Times New Roman" w:hAnsi="Times New Roman" w:eastAsia="楷体_GB2312" w:cs="楷体_GB2312"/>
          <w:b/>
          <w:bCs/>
          <w:color w:val="000000" w:themeColor="text1"/>
          <w:sz w:val="32"/>
          <w:szCs w:val="32"/>
          <w:lang w:bidi="ar"/>
          <w14:textFill>
            <w14:solidFill>
              <w14:schemeClr w14:val="tx1"/>
            </w14:solidFill>
          </w14:textFill>
        </w:rPr>
        <w:t>（三）广西环境</w:t>
      </w:r>
      <w:bookmarkEnd w:id="28"/>
      <w:r>
        <w:rPr>
          <w:rFonts w:hint="eastAsia" w:ascii="Times New Roman" w:hAnsi="Times New Roman" w:eastAsia="楷体_GB2312" w:cs="楷体_GB2312"/>
          <w:b/>
          <w:bCs/>
          <w:color w:val="000000" w:themeColor="text1"/>
          <w:sz w:val="32"/>
          <w:szCs w:val="32"/>
          <w:lang w:bidi="ar"/>
          <w14:textFill>
            <w14:solidFill>
              <w14:schemeClr w14:val="tx1"/>
            </w14:solidFill>
          </w14:textFill>
        </w:rPr>
        <w:t>：</w:t>
      </w:r>
      <w:r>
        <w:rPr>
          <w:rFonts w:hint="eastAsia" w:ascii="Times New Roman" w:hAnsi="Times New Roman" w:eastAsia="楷体_GB2312" w:cs="仿宋_GB2312"/>
          <w:color w:val="000000" w:themeColor="text1"/>
          <w:sz w:val="32"/>
          <w:szCs w:val="32"/>
          <w14:textFill>
            <w14:solidFill>
              <w14:schemeClr w14:val="tx1"/>
            </w14:solidFill>
          </w14:textFill>
        </w:rPr>
        <w:t>全区进入加快建设壮美广西、共圆复兴梦想的关键期。</w:t>
      </w:r>
      <w:r>
        <w:rPr>
          <w:rFonts w:hint="eastAsia" w:ascii="Times New Roman" w:hAnsi="Times New Roman" w:eastAsia="仿宋_GB2312"/>
          <w:color w:val="000000" w:themeColor="text1"/>
          <w:sz w:val="32"/>
          <w:szCs w:val="32"/>
          <w14:textFill>
            <w14:solidFill>
              <w14:schemeClr w14:val="tx1"/>
            </w14:solidFill>
          </w14:textFill>
        </w:rPr>
        <w:t>习近平总书记赋予自治区“三大定位”</w:t>
      </w:r>
      <w:r>
        <w:rPr>
          <w:rFonts w:hint="eastAsia" w:ascii="Times New Roman" w:hAnsi="Times New Roman" w:eastAsia="仿宋_GB2312"/>
          <w:color w:val="000000" w:themeColor="text1"/>
          <w:sz w:val="32"/>
          <w:szCs w:val="32"/>
          <w14:textFill>
            <w14:solidFill>
              <w14:schemeClr w14:val="tx1"/>
            </w14:solidFill>
          </w14:textFill>
        </w:rPr>
        <w:footnoteReference w:id="0"/>
      </w:r>
      <w:r>
        <w:rPr>
          <w:rFonts w:hint="eastAsia" w:ascii="Times New Roman" w:hAnsi="Times New Roman" w:eastAsia="仿宋_GB2312"/>
          <w:color w:val="000000" w:themeColor="text1"/>
          <w:sz w:val="32"/>
          <w:szCs w:val="32"/>
          <w14:textFill>
            <w14:solidFill>
              <w14:schemeClr w14:val="tx1"/>
            </w14:solidFill>
          </w14:textFill>
        </w:rPr>
        <w:t>新使命，提出“五个扎实”</w:t>
      </w:r>
      <w:r>
        <w:rPr>
          <w:rFonts w:hint="eastAsia" w:ascii="Times New Roman" w:hAnsi="Times New Roman" w:eastAsia="仿宋_GB2312"/>
          <w:color w:val="000000" w:themeColor="text1"/>
          <w:sz w:val="32"/>
          <w:szCs w:val="32"/>
          <w14:textFill>
            <w14:solidFill>
              <w14:schemeClr w14:val="tx1"/>
            </w14:solidFill>
          </w14:textFill>
        </w:rPr>
        <w:footnoteReference w:id="1"/>
      </w:r>
      <w:r>
        <w:rPr>
          <w:rFonts w:hint="eastAsia" w:ascii="Times New Roman" w:hAnsi="Times New Roman" w:eastAsia="仿宋_GB2312"/>
          <w:color w:val="000000" w:themeColor="text1"/>
          <w:sz w:val="32"/>
          <w:szCs w:val="32"/>
          <w14:textFill>
            <w14:solidFill>
              <w14:schemeClr w14:val="tx1"/>
            </w14:solidFill>
          </w14:textFill>
        </w:rPr>
        <w:t>新要求，做出“建设壮美广西 共圆复兴梦想”重要题词，进一步明确和提升了广西在国家总体战略格局中的地位和作用。建设西部陆海新通道、面向东盟的金融开放门户、中国-东盟信息港、中国（广西）自由贸易试验区等为广西发展提供了新的历史性机遇。广西加快构建“南向、北联、东融、西合”全方位开放发展新格局，将使广西在国家推进“一带一路”建设、中国—东盟合作中发挥更大作用。同时，自治区面临贵州、云南、湖南、江西等周边省份以及东盟国家（地区）的竞争压力，加之自身基础设施承载能力不足、营商环境相对不优、政策红利未能充分释放等问题，留给广西加快发展、进位赶超的窗口期越来越短，需着力打造面向粤港澳大湾区和东盟两大战略通道，以高水平开放引领高质量发展。</w:t>
      </w:r>
      <w:bookmarkStart w:id="29" w:name="_Toc23103"/>
    </w:p>
    <w:p>
      <w:pPr>
        <w:spacing w:line="560" w:lineRule="exact"/>
        <w:ind w:firstLine="643" w:firstLineChars="200"/>
        <w:rPr>
          <w:rFonts w:ascii="Times New Roman" w:hAnsi="Times New Roman" w:eastAsia="仿宋" w:cs="仿宋"/>
          <w:b/>
          <w:color w:val="000000" w:themeColor="text1"/>
          <w:sz w:val="15"/>
          <w:szCs w:val="15"/>
          <w:highlight w:val="yellow"/>
          <w14:textFill>
            <w14:solidFill>
              <w14:schemeClr w14:val="tx1"/>
            </w14:solidFill>
          </w14:textFill>
        </w:rPr>
      </w:pPr>
      <w:r>
        <w:rPr>
          <w:rFonts w:hint="eastAsia" w:ascii="Times New Roman" w:hAnsi="Times New Roman" w:eastAsia="楷体_GB2312" w:cs="楷体_GB2312"/>
          <w:b/>
          <w:bCs/>
          <w:color w:val="000000" w:themeColor="text1"/>
          <w:sz w:val="32"/>
          <w:szCs w:val="32"/>
          <w:lang w:bidi="ar"/>
          <w14:textFill>
            <w14:solidFill>
              <w14:schemeClr w14:val="tx1"/>
            </w14:solidFill>
          </w14:textFill>
        </w:rPr>
        <w:t>（四）市县环境</w:t>
      </w:r>
      <w:bookmarkEnd w:id="29"/>
      <w:r>
        <w:rPr>
          <w:rFonts w:hint="eastAsia" w:ascii="Times New Roman" w:hAnsi="Times New Roman" w:eastAsia="楷体_GB2312" w:cs="楷体_GB2312"/>
          <w:b/>
          <w:bCs/>
          <w:color w:val="000000" w:themeColor="text1"/>
          <w:sz w:val="32"/>
          <w:szCs w:val="32"/>
          <w:lang w:bidi="ar"/>
          <w14:textFill>
            <w14:solidFill>
              <w14:schemeClr w14:val="tx1"/>
            </w14:solidFill>
          </w14:textFill>
        </w:rPr>
        <w:t>：</w:t>
      </w:r>
      <w:r>
        <w:rPr>
          <w:rFonts w:hint="eastAsia" w:ascii="Times New Roman" w:hAnsi="Times New Roman" w:eastAsia="仿宋_GB2312"/>
          <w:b/>
          <w:bCs/>
          <w:color w:val="000000" w:themeColor="text1"/>
          <w:sz w:val="32"/>
          <w:szCs w:val="32"/>
          <w14:textFill>
            <w14:solidFill>
              <w14:schemeClr w14:val="tx1"/>
            </w14:solidFill>
          </w14:textFill>
        </w:rPr>
        <w:t>一是</w:t>
      </w:r>
      <w:r>
        <w:rPr>
          <w:rFonts w:hint="eastAsia" w:ascii="Times New Roman" w:hAnsi="Times New Roman" w:eastAsia="仿宋_GB2312"/>
          <w:color w:val="000000" w:themeColor="text1"/>
          <w:sz w:val="32"/>
          <w:szCs w:val="32"/>
          <w14:textFill>
            <w14:solidFill>
              <w14:schemeClr w14:val="tx1"/>
            </w14:solidFill>
          </w14:textFill>
        </w:rPr>
        <w:t>桂林市随着“1+2”国家战略</w:t>
      </w:r>
      <w:r>
        <w:rPr>
          <w:rFonts w:hint="eastAsia" w:ascii="Times New Roman" w:hAnsi="Times New Roman" w:eastAsia="仿宋_GB2312"/>
          <w:color w:val="000000" w:themeColor="text1"/>
          <w:sz w:val="32"/>
          <w:szCs w:val="32"/>
          <w14:textFill>
            <w14:solidFill>
              <w14:schemeClr w14:val="tx1"/>
            </w14:solidFill>
          </w14:textFill>
        </w:rPr>
        <w:footnoteReference w:id="2"/>
      </w:r>
      <w:r>
        <w:rPr>
          <w:rFonts w:hint="eastAsia" w:ascii="Times New Roman" w:hAnsi="Times New Roman" w:eastAsia="仿宋_GB2312"/>
          <w:color w:val="000000" w:themeColor="text1"/>
          <w:sz w:val="32"/>
          <w:szCs w:val="32"/>
          <w14:textFill>
            <w14:solidFill>
              <w14:schemeClr w14:val="tx1"/>
            </w14:solidFill>
          </w14:textFill>
        </w:rPr>
        <w:t>的深入实施，政策叠加优势更加凸显；“十三五”期间建成的一大批重大基础设施和重大产业项目，将为后续发展提供强大动力。同时，桂林与南宁、柳州差距进一步拉大，北海、贵港、玉林等市与桂林的差距在迅速缩小，呈现“标兵渐行渐远，追兵越来越近”的紧迫形势，需要桂林坚持问题导向，在重点领域寻求突破，实现经济社会高质量发展。</w:t>
      </w:r>
      <w:r>
        <w:rPr>
          <w:rFonts w:hint="eastAsia" w:ascii="Times New Roman" w:hAnsi="Times New Roman" w:eastAsia="仿宋_GB2312"/>
          <w:b/>
          <w:bCs/>
          <w:color w:val="000000" w:themeColor="text1"/>
          <w:sz w:val="32"/>
          <w:szCs w:val="32"/>
          <w14:textFill>
            <w14:solidFill>
              <w14:schemeClr w14:val="tx1"/>
            </w14:solidFill>
          </w14:textFill>
        </w:rPr>
        <w:t>二是</w:t>
      </w:r>
      <w:r>
        <w:rPr>
          <w:rFonts w:hint="eastAsia" w:ascii="Times New Roman" w:hAnsi="Times New Roman" w:eastAsia="仿宋_GB2312"/>
          <w:color w:val="000000" w:themeColor="text1"/>
          <w:sz w:val="32"/>
          <w:szCs w:val="32"/>
          <w14:textFill>
            <w14:solidFill>
              <w14:schemeClr w14:val="tx1"/>
            </w14:solidFill>
          </w14:textFill>
        </w:rPr>
        <w:t>龙胜县处在广西与湖南之间，是</w:t>
      </w:r>
      <w:r>
        <w:fldChar w:fldCharType="begin"/>
      </w:r>
      <w:r>
        <w:instrText xml:space="preserve"> HYPERLINK "https://baike.sogou.com/lemma/ShowInnerLink.htm?lemmaId=69982494&amp;ss_c=ssc.citiao.link" \t "https://baike.sogou.com/_blank" </w:instrText>
      </w:r>
      <w:r>
        <w:fldChar w:fldCharType="separate"/>
      </w:r>
      <w:r>
        <w:rPr>
          <w:rFonts w:hint="eastAsia" w:ascii="Times New Roman" w:hAnsi="Times New Roman" w:eastAsia="仿宋_GB2312"/>
          <w:color w:val="000000" w:themeColor="text1"/>
          <w:sz w:val="32"/>
          <w:szCs w:val="32"/>
          <w14:textFill>
            <w14:solidFill>
              <w14:schemeClr w14:val="tx1"/>
            </w14:solidFill>
          </w14:textFill>
        </w:rPr>
        <w:t>湘西南</w:t>
      </w:r>
      <w:r>
        <w:rPr>
          <w:rFonts w:hint="eastAsia" w:ascii="Times New Roman" w:hAnsi="Times New Roman" w:eastAsia="仿宋_GB2312"/>
          <w:color w:val="000000" w:themeColor="text1"/>
          <w:sz w:val="32"/>
          <w:szCs w:val="32"/>
          <w14:textFill>
            <w14:solidFill>
              <w14:schemeClr w14:val="tx1"/>
            </w14:solidFill>
          </w14:textFill>
        </w:rPr>
        <w:fldChar w:fldCharType="end"/>
      </w:r>
      <w:r>
        <w:rPr>
          <w:rFonts w:hint="eastAsia" w:ascii="Times New Roman" w:hAnsi="Times New Roman" w:eastAsia="仿宋_GB2312"/>
          <w:color w:val="000000" w:themeColor="text1"/>
          <w:sz w:val="32"/>
          <w:szCs w:val="32"/>
          <w14:textFill>
            <w14:solidFill>
              <w14:schemeClr w14:val="tx1"/>
            </w14:solidFill>
          </w14:textFill>
        </w:rPr>
        <w:t>、</w:t>
      </w:r>
      <w:r>
        <w:fldChar w:fldCharType="begin"/>
      </w:r>
      <w:r>
        <w:instrText xml:space="preserve"> HYPERLINK "https://baike.sogou.com/lemma/ShowInnerLink.htm?lemmaId=34616&amp;ss_c=ssc.citiao.link" \t "https://baike.sogou.com/_blank" </w:instrText>
      </w:r>
      <w:r>
        <w:fldChar w:fldCharType="separate"/>
      </w:r>
      <w:r>
        <w:rPr>
          <w:rFonts w:hint="eastAsia" w:ascii="Times New Roman" w:hAnsi="Times New Roman" w:eastAsia="仿宋_GB2312"/>
          <w:color w:val="000000" w:themeColor="text1"/>
          <w:sz w:val="32"/>
          <w:szCs w:val="32"/>
          <w14:textFill>
            <w14:solidFill>
              <w14:schemeClr w14:val="tx1"/>
            </w14:solidFill>
          </w14:textFill>
        </w:rPr>
        <w:t>黔东南</w:t>
      </w:r>
      <w:r>
        <w:rPr>
          <w:rFonts w:hint="eastAsia" w:ascii="Times New Roman" w:hAnsi="Times New Roman" w:eastAsia="仿宋_GB2312"/>
          <w:color w:val="000000" w:themeColor="text1"/>
          <w:sz w:val="32"/>
          <w:szCs w:val="32"/>
          <w14:textFill>
            <w14:solidFill>
              <w14:schemeClr w14:val="tx1"/>
            </w14:solidFill>
          </w14:textFill>
        </w:rPr>
        <w:fldChar w:fldCharType="end"/>
      </w:r>
      <w:r>
        <w:rPr>
          <w:rFonts w:hint="eastAsia" w:ascii="Times New Roman" w:hAnsi="Times New Roman" w:eastAsia="仿宋_GB2312"/>
          <w:color w:val="000000" w:themeColor="text1"/>
          <w:sz w:val="32"/>
          <w:szCs w:val="32"/>
          <w14:textFill>
            <w14:solidFill>
              <w14:schemeClr w14:val="tx1"/>
            </w14:solidFill>
          </w14:textFill>
        </w:rPr>
        <w:t>与四川进入广西之咽喉与物资集散地。龙胜应主动与西部地区更紧密地融为一体，主动融入国家“一带一路”、珠江—西江经济带等区域发展。随着桂三高速公路的开通，龙胜至桂林（高速公路）只需1个小时，使其具备加快发展的优势和潜力，为加强与国际接轨，充分利用国内国际两个市场，国内资源和国外资源两种资源，对外技术合作与经济贸易、招商引资等方面提供了较好的环境和机遇，并为龙胜实现生态绿色、可持续发展提供了良好的环境。</w:t>
      </w:r>
    </w:p>
    <w:p>
      <w:pPr>
        <w:pStyle w:val="4"/>
        <w:keepNext w:val="0"/>
        <w:keepLines w:val="0"/>
        <w:spacing w:before="0" w:after="0" w:line="560" w:lineRule="exact"/>
        <w:ind w:firstLine="643" w:firstLineChars="200"/>
        <w:jc w:val="center"/>
        <w:rPr>
          <w:rFonts w:ascii="Times New Roman" w:hAnsi="Times New Roman" w:eastAsia="黑体" w:cs="黑体"/>
          <w:bCs w:val="0"/>
          <w:color w:val="000000" w:themeColor="text1"/>
          <w14:textFill>
            <w14:solidFill>
              <w14:schemeClr w14:val="tx1"/>
            </w14:solidFill>
          </w14:textFill>
        </w:rPr>
      </w:pPr>
    </w:p>
    <w:p>
      <w:pPr>
        <w:pStyle w:val="4"/>
        <w:keepNext w:val="0"/>
        <w:keepLines w:val="0"/>
        <w:spacing w:before="0" w:after="0" w:line="560" w:lineRule="exact"/>
        <w:ind w:firstLine="640" w:firstLineChars="200"/>
        <w:jc w:val="center"/>
        <w:rPr>
          <w:rFonts w:ascii="楷体_GB2312" w:hAnsi="楷体_GB2312" w:eastAsia="楷体_GB2312" w:cs="楷体_GB2312"/>
          <w:b w:val="0"/>
          <w:color w:val="000000" w:themeColor="text1"/>
          <w14:textFill>
            <w14:solidFill>
              <w14:schemeClr w14:val="tx1"/>
            </w14:solidFill>
          </w14:textFill>
        </w:rPr>
      </w:pPr>
      <w:bookmarkStart w:id="30" w:name="_Toc9908"/>
      <w:bookmarkStart w:id="31" w:name="_Toc30867"/>
      <w:bookmarkStart w:id="32" w:name="_Toc52201141"/>
      <w:bookmarkStart w:id="33" w:name="_Toc15465"/>
      <w:bookmarkStart w:id="34" w:name="_Toc20646"/>
      <w:bookmarkStart w:id="35" w:name="_Toc17021"/>
      <w:bookmarkStart w:id="36" w:name="_Toc61110764"/>
      <w:r>
        <w:rPr>
          <w:rFonts w:hint="eastAsia" w:ascii="楷体_GB2312" w:hAnsi="楷体_GB2312" w:eastAsia="楷体_GB2312" w:cs="楷体_GB2312"/>
          <w:b w:val="0"/>
          <w:color w:val="000000" w:themeColor="text1"/>
          <w14:textFill>
            <w14:solidFill>
              <w14:schemeClr w14:val="tx1"/>
            </w14:solidFill>
          </w14:textFill>
        </w:rPr>
        <w:t>第二节  面临的机遇</w:t>
      </w:r>
      <w:bookmarkEnd w:id="30"/>
      <w:bookmarkEnd w:id="31"/>
      <w:bookmarkEnd w:id="32"/>
      <w:bookmarkEnd w:id="33"/>
      <w:bookmarkEnd w:id="34"/>
      <w:bookmarkEnd w:id="35"/>
      <w:bookmarkEnd w:id="36"/>
      <w:r>
        <w:rPr>
          <w:rFonts w:hint="eastAsia" w:ascii="楷体_GB2312" w:hAnsi="楷体_GB2312" w:eastAsia="楷体_GB2312" w:cs="楷体_GB2312"/>
          <w:b w:val="0"/>
          <w:color w:val="000000" w:themeColor="text1"/>
          <w14:textFill>
            <w14:solidFill>
              <w14:schemeClr w14:val="tx1"/>
            </w14:solidFill>
          </w14:textFill>
        </w:rPr>
        <w:t>和挑战</w:t>
      </w:r>
    </w:p>
    <w:p>
      <w:pPr>
        <w:spacing w:line="560" w:lineRule="exact"/>
        <w:ind w:firstLine="643" w:firstLineChars="200"/>
        <w:rPr>
          <w:rFonts w:ascii="Times New Roman" w:hAnsi="Times New Roman" w:eastAsia="楷体_GB2312"/>
          <w:b/>
          <w:color w:val="000000" w:themeColor="text1"/>
          <w:sz w:val="32"/>
          <w:szCs w:val="32"/>
          <w14:textFill>
            <w14:solidFill>
              <w14:schemeClr w14:val="tx1"/>
            </w14:solidFill>
          </w14:textFill>
        </w:rPr>
      </w:pPr>
    </w:p>
    <w:p>
      <w:pPr>
        <w:spacing w:line="560" w:lineRule="exact"/>
        <w:ind w:firstLine="643" w:firstLineChars="200"/>
        <w:rPr>
          <w:rFonts w:ascii="Times New Roman" w:hAnsi="Times New Roman" w:eastAsia="仿宋_GB2312"/>
          <w:color w:val="000000" w:themeColor="text1"/>
          <w:sz w:val="32"/>
          <w:szCs w:val="32"/>
          <w14:textFill>
            <w14:solidFill>
              <w14:schemeClr w14:val="tx1"/>
            </w14:solidFill>
          </w14:textFill>
        </w:rPr>
      </w:pPr>
      <w:r>
        <w:rPr>
          <w:rFonts w:hint="eastAsia" w:ascii="Times New Roman" w:hAnsi="Times New Roman" w:eastAsia="楷体_GB2312"/>
          <w:b/>
          <w:color w:val="000000" w:themeColor="text1"/>
          <w:sz w:val="32"/>
          <w:szCs w:val="32"/>
          <w14:textFill>
            <w14:solidFill>
              <w14:schemeClr w14:val="tx1"/>
            </w14:solidFill>
          </w14:textFill>
        </w:rPr>
        <w:t>发展机遇：</w:t>
      </w:r>
      <w:r>
        <w:rPr>
          <w:rFonts w:hint="eastAsia" w:ascii="Times New Roman" w:hAnsi="Times New Roman" w:eastAsia="仿宋_GB2312"/>
          <w:color w:val="000000" w:themeColor="text1"/>
          <w:sz w:val="32"/>
          <w:szCs w:val="32"/>
          <w14:textFill>
            <w14:solidFill>
              <w14:schemeClr w14:val="tx1"/>
            </w14:solidFill>
          </w14:textFill>
        </w:rPr>
        <w:t>中央、自治区和桂林市出台一系列刺激经济发展的重大政策，将对提振经济起到非常重要的作用，也为龙胜县扩大有效投资、补齐基础设施和公共服务等短板带来大有作为的重要战略机遇期。</w:t>
      </w:r>
      <w:r>
        <w:rPr>
          <w:rFonts w:hint="eastAsia" w:ascii="Times New Roman" w:hAnsi="Times New Roman" w:eastAsia="仿宋_GB2312"/>
          <w:b/>
          <w:bCs/>
          <w:color w:val="000000" w:themeColor="text1"/>
          <w:sz w:val="32"/>
          <w:szCs w:val="32"/>
          <w14:textFill>
            <w14:solidFill>
              <w14:schemeClr w14:val="tx1"/>
            </w14:solidFill>
          </w14:textFill>
        </w:rPr>
        <w:t>一是</w:t>
      </w:r>
      <w:r>
        <w:rPr>
          <w:rFonts w:hint="eastAsia" w:ascii="Times New Roman" w:hAnsi="Times New Roman" w:eastAsia="仿宋_GB2312"/>
          <w:color w:val="000000" w:themeColor="text1"/>
          <w:sz w:val="32"/>
          <w:szCs w:val="32"/>
          <w14:textFill>
            <w14:solidFill>
              <w14:schemeClr w14:val="tx1"/>
            </w14:solidFill>
          </w14:textFill>
        </w:rPr>
        <w:t>“1+2”国家战略深入推进，有利于全县争取更多的改革空间和制度红利，在重大项目、重大政策和资金安排等方面争取更多的支持。</w:t>
      </w:r>
      <w:r>
        <w:rPr>
          <w:rFonts w:hint="eastAsia" w:ascii="Times New Roman" w:hAnsi="Times New Roman" w:eastAsia="仿宋_GB2312"/>
          <w:b/>
          <w:bCs/>
          <w:color w:val="000000" w:themeColor="text1"/>
          <w:sz w:val="32"/>
          <w:szCs w:val="32"/>
          <w14:textFill>
            <w14:solidFill>
              <w14:schemeClr w14:val="tx1"/>
            </w14:solidFill>
          </w14:textFill>
        </w:rPr>
        <w:t>二是</w:t>
      </w:r>
      <w:r>
        <w:rPr>
          <w:rFonts w:hint="eastAsia" w:ascii="Times New Roman" w:hAnsi="Times New Roman" w:eastAsia="仿宋_GB2312"/>
          <w:color w:val="000000" w:themeColor="text1"/>
          <w:sz w:val="32"/>
          <w:szCs w:val="32"/>
          <w14:textFill>
            <w14:solidFill>
              <w14:schemeClr w14:val="tx1"/>
            </w14:solidFill>
          </w14:textFill>
        </w:rPr>
        <w:t>新一轮西部大开发的全面推进和西部陆海新通道建设，有利于龙胜扩大有效投资，促进投资结构向供给侧调整和优化，切实补齐基础设施、社会民生短板。</w:t>
      </w:r>
      <w:r>
        <w:rPr>
          <w:rFonts w:hint="eastAsia" w:ascii="Times New Roman" w:hAnsi="Times New Roman" w:eastAsia="仿宋_GB2312"/>
          <w:b/>
          <w:bCs/>
          <w:color w:val="000000" w:themeColor="text1"/>
          <w:sz w:val="32"/>
          <w:szCs w:val="32"/>
          <w14:textFill>
            <w14:solidFill>
              <w14:schemeClr w14:val="tx1"/>
            </w14:solidFill>
          </w14:textFill>
        </w:rPr>
        <w:t>三是</w:t>
      </w:r>
      <w:r>
        <w:rPr>
          <w:rFonts w:hint="eastAsia" w:ascii="Times New Roman" w:hAnsi="Times New Roman" w:eastAsia="仿宋_GB2312"/>
          <w:color w:val="000000" w:themeColor="text1"/>
          <w:sz w:val="32"/>
          <w:szCs w:val="32"/>
          <w14:textFill>
            <w14:solidFill>
              <w14:schemeClr w14:val="tx1"/>
            </w14:solidFill>
          </w14:textFill>
        </w:rPr>
        <w:t>技术革新和消费升级成为新导向，有利于龙胜深入推进工业振兴、乡村振兴和文旅振兴，培育壮大新兴文化和旅游消费市场，加快经济转型升级和高质量发展，促进新旧动能有效、快速转化。</w:t>
      </w:r>
      <w:r>
        <w:rPr>
          <w:rFonts w:hint="eastAsia" w:ascii="Times New Roman" w:hAnsi="Times New Roman" w:eastAsia="仿宋_GB2312"/>
          <w:b/>
          <w:bCs/>
          <w:color w:val="000000" w:themeColor="text1"/>
          <w:sz w:val="32"/>
          <w:szCs w:val="32"/>
          <w14:textFill>
            <w14:solidFill>
              <w14:schemeClr w14:val="tx1"/>
            </w14:solidFill>
          </w14:textFill>
        </w:rPr>
        <w:t>四是</w:t>
      </w:r>
      <w:r>
        <w:rPr>
          <w:rFonts w:hint="eastAsia" w:ascii="Times New Roman" w:hAnsi="Times New Roman" w:eastAsia="仿宋_GB2312"/>
          <w:color w:val="000000" w:themeColor="text1"/>
          <w:sz w:val="32"/>
          <w:szCs w:val="32"/>
          <w14:textFill>
            <w14:solidFill>
              <w14:schemeClr w14:val="tx1"/>
            </w14:solidFill>
          </w14:textFill>
        </w:rPr>
        <w:t>国家全方位高水平对外开放和广西“南向、北联、东融、西合”开放新格局，有利于龙胜获得更多的对外开放政策效应外溢，全方位拓展跨区域合作空间和提升开放型经济发展台阶。</w:t>
      </w:r>
    </w:p>
    <w:p>
      <w:pPr>
        <w:spacing w:line="560" w:lineRule="exact"/>
        <w:ind w:firstLine="643" w:firstLineChars="200"/>
        <w:rPr>
          <w:rFonts w:ascii="Times New Roman" w:hAnsi="Times New Roman" w:eastAsia="仿宋_GB2312"/>
          <w:bCs/>
          <w:color w:val="000000" w:themeColor="text1"/>
          <w:sz w:val="32"/>
          <w:szCs w:val="32"/>
          <w14:textFill>
            <w14:solidFill>
              <w14:schemeClr w14:val="tx1"/>
            </w14:solidFill>
          </w14:textFill>
        </w:rPr>
      </w:pPr>
      <w:r>
        <w:rPr>
          <w:rFonts w:hint="eastAsia" w:ascii="Times New Roman" w:hAnsi="Times New Roman" w:eastAsia="楷体_GB2312"/>
          <w:b/>
          <w:color w:val="000000" w:themeColor="text1"/>
          <w:sz w:val="32"/>
          <w:szCs w:val="32"/>
          <w14:textFill>
            <w14:solidFill>
              <w14:schemeClr w14:val="tx1"/>
            </w14:solidFill>
          </w14:textFill>
        </w:rPr>
        <w:t>问题与挑战：</w:t>
      </w:r>
      <w:r>
        <w:rPr>
          <w:rFonts w:hint="eastAsia" w:ascii="Times New Roman" w:hAnsi="Times New Roman" w:eastAsia="仿宋_GB2312"/>
          <w:b/>
          <w:bCs/>
          <w:color w:val="000000" w:themeColor="text1"/>
          <w:sz w:val="32"/>
          <w:szCs w:val="32"/>
          <w14:textFill>
            <w14:solidFill>
              <w14:schemeClr w14:val="tx1"/>
            </w14:solidFill>
          </w14:textFill>
        </w:rPr>
        <w:t>一是</w:t>
      </w:r>
      <w:r>
        <w:rPr>
          <w:rFonts w:hint="eastAsia" w:ascii="Times New Roman" w:hAnsi="Times New Roman" w:eastAsia="仿宋_GB2312"/>
          <w:bCs/>
          <w:color w:val="000000" w:themeColor="text1"/>
          <w:sz w:val="32"/>
          <w:szCs w:val="32"/>
          <w14:textFill>
            <w14:solidFill>
              <w14:schemeClr w14:val="tx1"/>
            </w14:solidFill>
          </w14:textFill>
        </w:rPr>
        <w:t>经济总量偏小，</w:t>
      </w:r>
      <w:r>
        <w:rPr>
          <w:rFonts w:hint="eastAsia" w:ascii="Times New Roman" w:hAnsi="Times New Roman" w:eastAsia="仿宋_GB2312"/>
          <w:color w:val="000000" w:themeColor="text1"/>
          <w:sz w:val="32"/>
          <w:szCs w:val="32"/>
          <w14:textFill>
            <w14:solidFill>
              <w14:schemeClr w14:val="tx1"/>
            </w14:solidFill>
          </w14:textFill>
        </w:rPr>
        <w:t>发展新动能不足，</w:t>
      </w:r>
      <w:r>
        <w:rPr>
          <w:rFonts w:hint="eastAsia" w:ascii="Times New Roman" w:hAnsi="Times New Roman" w:eastAsia="仿宋_GB2312" w:cs="仿宋_GB2312"/>
          <w:color w:val="000000" w:themeColor="text1"/>
          <w:sz w:val="32"/>
          <w:szCs w:val="32"/>
          <w14:textFill>
            <w14:solidFill>
              <w14:schemeClr w14:val="tx1"/>
            </w14:solidFill>
          </w14:textFill>
        </w:rPr>
        <w:t>工业短板明显，人均地区生产总值低于全国平均水平，后发展欠发达的基本县情没有改变。受疫情影响和冲击，旅游、住宿、餐饮、消费等服务业低迷，固定资产投资增速放缓，带动力强的大项目大企业少，</w:t>
      </w:r>
      <w:r>
        <w:rPr>
          <w:rFonts w:hint="eastAsia" w:ascii="Times New Roman" w:hAnsi="Times New Roman" w:eastAsia="仿宋_GB2312"/>
          <w:color w:val="000000" w:themeColor="text1"/>
          <w:sz w:val="32"/>
          <w:szCs w:val="32"/>
          <w14:textFill>
            <w14:solidFill>
              <w14:schemeClr w14:val="tx1"/>
            </w14:solidFill>
          </w14:textFill>
        </w:rPr>
        <w:t>存在“一产不大、二产不强、三产不快”的现象。</w:t>
      </w:r>
      <w:r>
        <w:rPr>
          <w:rFonts w:hint="eastAsia" w:ascii="Times New Roman" w:hAnsi="Times New Roman" w:eastAsia="仿宋_GB2312"/>
          <w:b/>
          <w:bCs/>
          <w:color w:val="000000" w:themeColor="text1"/>
          <w:sz w:val="32"/>
          <w:szCs w:val="32"/>
          <w14:textFill>
            <w14:solidFill>
              <w14:schemeClr w14:val="tx1"/>
            </w14:solidFill>
          </w14:textFill>
        </w:rPr>
        <w:t>二是</w:t>
      </w:r>
      <w:r>
        <w:rPr>
          <w:rFonts w:hint="eastAsia" w:ascii="Times New Roman" w:hAnsi="Times New Roman" w:eastAsia="仿宋_GB2312"/>
          <w:bCs/>
          <w:color w:val="000000" w:themeColor="text1"/>
          <w:sz w:val="32"/>
          <w:szCs w:val="32"/>
          <w14:textFill>
            <w14:solidFill>
              <w14:schemeClr w14:val="tx1"/>
            </w14:solidFill>
          </w14:textFill>
        </w:rPr>
        <w:t>资源要素保障有待加强。</w:t>
      </w:r>
      <w:r>
        <w:rPr>
          <w:rFonts w:hint="eastAsia" w:ascii="Times New Roman" w:hAnsi="Times New Roman" w:eastAsia="仿宋_GB2312"/>
          <w:color w:val="000000" w:themeColor="text1"/>
          <w:sz w:val="32"/>
          <w:szCs w:val="32"/>
          <w14:textFill>
            <w14:solidFill>
              <w14:schemeClr w14:val="tx1"/>
            </w14:solidFill>
          </w14:textFill>
        </w:rPr>
        <w:t>项目建设本级财政配套资金筹集压力大，边坡治理难，“三通一平”等前期建设成本高。交通基础网络薄弱，土地集约利用率偏低，物流、用电、用气、融资等成本高，营商环境有待优化。</w:t>
      </w:r>
      <w:r>
        <w:rPr>
          <w:rFonts w:hint="eastAsia" w:ascii="Times New Roman" w:hAnsi="Times New Roman" w:eastAsia="仿宋_GB2312"/>
          <w:b/>
          <w:bCs/>
          <w:color w:val="000000" w:themeColor="text1"/>
          <w:sz w:val="32"/>
          <w:szCs w:val="32"/>
          <w14:textFill>
            <w14:solidFill>
              <w14:schemeClr w14:val="tx1"/>
            </w14:solidFill>
          </w14:textFill>
        </w:rPr>
        <w:t>三是</w:t>
      </w:r>
      <w:r>
        <w:rPr>
          <w:rFonts w:hint="eastAsia" w:ascii="Times New Roman" w:hAnsi="Times New Roman" w:eastAsia="仿宋_GB2312"/>
          <w:bCs/>
          <w:color w:val="000000" w:themeColor="text1"/>
          <w:sz w:val="32"/>
          <w:szCs w:val="32"/>
          <w14:textFill>
            <w14:solidFill>
              <w14:schemeClr w14:val="tx1"/>
            </w14:solidFill>
          </w14:textFill>
        </w:rPr>
        <w:t>财政增收压力大。</w:t>
      </w:r>
      <w:r>
        <w:rPr>
          <w:rFonts w:hint="eastAsia" w:ascii="Times New Roman" w:hAnsi="Times New Roman" w:eastAsia="仿宋_GB2312"/>
          <w:color w:val="000000" w:themeColor="text1"/>
          <w:sz w:val="32"/>
          <w:szCs w:val="32"/>
          <w14:textFill>
            <w14:solidFill>
              <w14:schemeClr w14:val="tx1"/>
            </w14:solidFill>
          </w14:textFill>
        </w:rPr>
        <w:t>全县财政收入过多依赖于一次性税收项目，收支压力大。特别是受国家减税降费政策和疫情的影响，财政收入明显减少，而教育、医疗、养老等民生保障的刚性支出有增无减，财政运转压力进一步加大。</w:t>
      </w:r>
      <w:r>
        <w:rPr>
          <w:rFonts w:hint="eastAsia" w:ascii="Times New Roman" w:hAnsi="Times New Roman" w:eastAsia="仿宋_GB2312"/>
          <w:b/>
          <w:bCs/>
          <w:color w:val="000000" w:themeColor="text1"/>
          <w:sz w:val="32"/>
          <w:szCs w:val="32"/>
          <w14:textFill>
            <w14:solidFill>
              <w14:schemeClr w14:val="tx1"/>
            </w14:solidFill>
          </w14:textFill>
        </w:rPr>
        <w:t>四是</w:t>
      </w:r>
      <w:r>
        <w:rPr>
          <w:rFonts w:hint="eastAsia" w:ascii="Times New Roman" w:hAnsi="Times New Roman" w:eastAsia="仿宋_GB2312"/>
          <w:bCs/>
          <w:color w:val="000000" w:themeColor="text1"/>
          <w:sz w:val="32"/>
          <w:szCs w:val="32"/>
          <w14:textFill>
            <w14:solidFill>
              <w14:schemeClr w14:val="tx1"/>
            </w14:solidFill>
          </w14:textFill>
        </w:rPr>
        <w:t>人才队伍有待提高。</w:t>
      </w:r>
      <w:r>
        <w:rPr>
          <w:rFonts w:hint="eastAsia" w:ascii="Times New Roman" w:hAnsi="Times New Roman" w:eastAsia="仿宋_GB2312"/>
          <w:color w:val="000000" w:themeColor="text1"/>
          <w:sz w:val="32"/>
          <w:szCs w:val="32"/>
          <w14:textFill>
            <w14:solidFill>
              <w14:schemeClr w14:val="tx1"/>
            </w14:solidFill>
          </w14:textFill>
        </w:rPr>
        <w:t>人才外流、人才总量不足、人才结构不合理和干部思想不够解放等问题依然存在，尤其缺乏懂经营管理、又精通专业技术的复合型企业家人才和国际化人才。</w:t>
      </w:r>
    </w:p>
    <w:p>
      <w:pPr>
        <w:spacing w:line="560" w:lineRule="exact"/>
        <w:ind w:firstLine="640" w:firstLineChars="200"/>
        <w:rPr>
          <w:rFonts w:ascii="Times New Roman" w:hAnsi="Times New Roman" w:eastAsia="仿宋_GB2312"/>
          <w:color w:val="000000" w:themeColor="text1"/>
          <w:sz w:val="32"/>
          <w:szCs w:val="32"/>
          <w14:textFill>
            <w14:solidFill>
              <w14:schemeClr w14:val="tx1"/>
            </w14:solidFill>
          </w14:textFill>
        </w:rPr>
        <w:sectPr>
          <w:footnotePr>
            <w:numFmt w:val="decimalEnclosedCircleChinese"/>
          </w:footnotePr>
          <w:pgSz w:w="11906" w:h="16838"/>
          <w:pgMar w:top="1587" w:right="1417" w:bottom="1304" w:left="1417" w:header="851" w:footer="850" w:gutter="0"/>
          <w:cols w:space="0" w:num="1"/>
          <w:docGrid w:type="lines" w:linePitch="312" w:charSpace="0"/>
        </w:sectPr>
      </w:pPr>
      <w:r>
        <w:rPr>
          <w:rFonts w:hint="eastAsia" w:ascii="Times New Roman" w:hAnsi="Times New Roman" w:eastAsia="仿宋_GB2312"/>
          <w:color w:val="000000" w:themeColor="text1"/>
          <w:sz w:val="32"/>
          <w:szCs w:val="32"/>
          <w14:textFill>
            <w14:solidFill>
              <w14:schemeClr w14:val="tx1"/>
            </w14:solidFill>
          </w14:textFill>
        </w:rPr>
        <w:t>综合分析判断，未来五年，是龙胜县转型升级、爬坡过坎的攻坚期，是进位赶超的关键期和大有可为的重要战略机遇期。多种潜在风险和挑战增多,必须准确把握新时代内涵的深刻变化，厚植发展优势、补齐明显短板，并直面挑战而不畏艰险，锻造优势长板、破解发展难题，促进经济社会持续健康发展。</w:t>
      </w:r>
    </w:p>
    <w:p>
      <w:pPr>
        <w:pStyle w:val="41"/>
        <w:keepLines w:val="0"/>
        <w:adjustRightInd/>
        <w:snapToGrid/>
        <w:spacing w:before="0" w:beforeLines="0" w:line="640" w:lineRule="exact"/>
        <w:ind w:left="0" w:leftChars="0"/>
        <w:jc w:val="center"/>
        <w:outlineLvl w:val="0"/>
        <w:rPr>
          <w:rFonts w:ascii="方正小标宋_GBK" w:hAnsi="Times New Roman" w:eastAsia="方正小标宋_GBK" w:cs="黑体"/>
          <w:color w:val="000000" w:themeColor="text1"/>
          <w:sz w:val="44"/>
          <w:szCs w:val="44"/>
          <w14:textFill>
            <w14:solidFill>
              <w14:schemeClr w14:val="tx1"/>
            </w14:solidFill>
          </w14:textFill>
        </w:rPr>
      </w:pPr>
      <w:bookmarkStart w:id="37" w:name="_Toc2095"/>
      <w:bookmarkStart w:id="38" w:name="_Toc19907"/>
      <w:bookmarkStart w:id="39" w:name="_Toc52201143"/>
      <w:bookmarkStart w:id="40" w:name="_Toc7750"/>
      <w:bookmarkStart w:id="41" w:name="_Toc22268"/>
      <w:bookmarkStart w:id="42" w:name="_Toc61110767"/>
      <w:r>
        <w:rPr>
          <w:rFonts w:hint="eastAsia" w:ascii="方正小标宋_GBK" w:hAnsi="Times New Roman" w:eastAsia="方正小标宋_GBK" w:cs="黑体"/>
          <w:color w:val="000000" w:themeColor="text1"/>
          <w:sz w:val="44"/>
          <w:szCs w:val="44"/>
          <w14:textFill>
            <w14:solidFill>
              <w14:schemeClr w14:val="tx1"/>
            </w14:solidFill>
          </w14:textFill>
        </w:rPr>
        <w:t>第二篇  深入贯彻新发展理念，开启现代化</w:t>
      </w:r>
    </w:p>
    <w:p>
      <w:pPr>
        <w:pStyle w:val="41"/>
        <w:keepLines w:val="0"/>
        <w:adjustRightInd/>
        <w:snapToGrid/>
        <w:spacing w:before="0" w:beforeLines="0" w:line="640" w:lineRule="exact"/>
        <w:ind w:left="0" w:leftChars="0"/>
        <w:jc w:val="center"/>
        <w:outlineLvl w:val="0"/>
        <w:rPr>
          <w:rFonts w:ascii="方正小标宋_GBK" w:hAnsi="Times New Roman" w:eastAsia="方正小标宋_GBK" w:cs="黑体"/>
          <w:color w:val="000000" w:themeColor="text1"/>
          <w:sz w:val="44"/>
          <w:szCs w:val="44"/>
          <w14:textFill>
            <w14:solidFill>
              <w14:schemeClr w14:val="tx1"/>
            </w14:solidFill>
          </w14:textFill>
        </w:rPr>
      </w:pPr>
      <w:r>
        <w:rPr>
          <w:rFonts w:hint="eastAsia" w:ascii="方正小标宋_GBK" w:hAnsi="Times New Roman" w:eastAsia="方正小标宋_GBK" w:cs="黑体"/>
          <w:color w:val="000000" w:themeColor="text1"/>
          <w:sz w:val="44"/>
          <w:szCs w:val="44"/>
          <w14:textFill>
            <w14:solidFill>
              <w14:schemeClr w14:val="tx1"/>
            </w14:solidFill>
          </w14:textFill>
        </w:rPr>
        <w:t>建设新征程</w:t>
      </w:r>
    </w:p>
    <w:p>
      <w:pPr>
        <w:pStyle w:val="41"/>
        <w:keepNext w:val="0"/>
        <w:keepLines w:val="0"/>
        <w:adjustRightInd/>
        <w:snapToGrid/>
        <w:spacing w:before="0" w:beforeLines="0" w:line="560" w:lineRule="exact"/>
        <w:ind w:left="0" w:leftChars="0"/>
        <w:jc w:val="both"/>
        <w:outlineLvl w:val="0"/>
        <w:rPr>
          <w:rFonts w:ascii="Times New Roman" w:hAnsi="Times New Roman" w:cs="黑体"/>
          <w:b/>
          <w:bCs w:val="0"/>
          <w:color w:val="000000" w:themeColor="text1"/>
          <w14:textFill>
            <w14:solidFill>
              <w14:schemeClr w14:val="tx1"/>
            </w14:solidFill>
          </w14:textFill>
        </w:rPr>
      </w:pPr>
    </w:p>
    <w:p>
      <w:pPr>
        <w:pStyle w:val="41"/>
        <w:keepNext w:val="0"/>
        <w:keepLines w:val="0"/>
        <w:adjustRightInd/>
        <w:snapToGrid/>
        <w:spacing w:before="0" w:beforeLines="0" w:line="560" w:lineRule="exact"/>
        <w:ind w:left="0" w:leftChars="0"/>
        <w:jc w:val="center"/>
        <w:outlineLvl w:val="0"/>
        <w:rPr>
          <w:rFonts w:ascii="Times New Roman" w:hAnsi="Times New Roman" w:cs="黑体"/>
          <w:color w:val="000000" w:themeColor="text1"/>
          <w14:textFill>
            <w14:solidFill>
              <w14:schemeClr w14:val="tx1"/>
            </w14:solidFill>
          </w14:textFill>
        </w:rPr>
      </w:pPr>
      <w:r>
        <w:rPr>
          <w:rFonts w:hint="eastAsia" w:ascii="Times New Roman" w:hAnsi="Times New Roman" w:cs="黑体"/>
          <w:color w:val="000000" w:themeColor="text1"/>
          <w14:textFill>
            <w14:solidFill>
              <w14:schemeClr w14:val="tx1"/>
            </w14:solidFill>
          </w14:textFill>
        </w:rPr>
        <w:t>第三章  “十四五”时期发展</w:t>
      </w:r>
      <w:bookmarkEnd w:id="37"/>
      <w:bookmarkEnd w:id="38"/>
      <w:bookmarkEnd w:id="39"/>
      <w:bookmarkEnd w:id="40"/>
      <w:r>
        <w:rPr>
          <w:rFonts w:hint="eastAsia" w:ascii="Times New Roman" w:hAnsi="Times New Roman" w:cs="黑体"/>
          <w:color w:val="000000" w:themeColor="text1"/>
          <w14:textFill>
            <w14:solidFill>
              <w14:schemeClr w14:val="tx1"/>
            </w14:solidFill>
          </w14:textFill>
        </w:rPr>
        <w:t>总体要求</w:t>
      </w:r>
      <w:bookmarkEnd w:id="41"/>
      <w:bookmarkEnd w:id="42"/>
      <w:bookmarkStart w:id="43" w:name="_Toc19070"/>
      <w:bookmarkStart w:id="44" w:name="_Toc61110768"/>
      <w:bookmarkStart w:id="45" w:name="_Toc5297"/>
      <w:bookmarkStart w:id="46" w:name="_Toc13722"/>
      <w:bookmarkStart w:id="47" w:name="_Toc22630"/>
      <w:bookmarkStart w:id="48" w:name="_Toc52201144"/>
    </w:p>
    <w:p>
      <w:pPr>
        <w:pStyle w:val="4"/>
        <w:keepNext w:val="0"/>
        <w:keepLines w:val="0"/>
        <w:spacing w:before="0" w:after="0" w:line="560" w:lineRule="exact"/>
        <w:jc w:val="center"/>
        <w:rPr>
          <w:rFonts w:ascii="Times New Roman" w:hAnsi="Times New Roman" w:eastAsia="黑体" w:cs="黑体"/>
          <w:bCs w:val="0"/>
          <w:color w:val="000000" w:themeColor="text1"/>
          <w14:textFill>
            <w14:solidFill>
              <w14:schemeClr w14:val="tx1"/>
            </w14:solidFill>
          </w14:textFill>
        </w:rPr>
      </w:pPr>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第一节  指导思想</w:t>
      </w:r>
      <w:bookmarkEnd w:id="43"/>
      <w:bookmarkEnd w:id="44"/>
      <w:bookmarkEnd w:id="45"/>
      <w:bookmarkEnd w:id="46"/>
      <w:bookmarkEnd w:id="47"/>
      <w:bookmarkEnd w:id="48"/>
    </w:p>
    <w:p>
      <w:pPr>
        <w:pBdr>
          <w:top w:val="single" w:color="FFFFFF" w:sz="4" w:space="0"/>
          <w:left w:val="single" w:color="FFFFFF" w:sz="4" w:space="31"/>
          <w:bottom w:val="single" w:color="FFFFFF" w:sz="4" w:space="31"/>
          <w:right w:val="single" w:color="FFFFFF" w:sz="4" w:space="2"/>
        </w:pBdr>
        <w:spacing w:line="560" w:lineRule="exact"/>
        <w:rPr>
          <w:rFonts w:ascii="仿宋_GB2312" w:hAnsi="仿宋_GB2312" w:eastAsia="仿宋_GB2312" w:cs="仿宋_GB2312"/>
          <w:color w:val="000000" w:themeColor="text1"/>
          <w:sz w:val="32"/>
          <w:szCs w:val="32"/>
          <w14:textFill>
            <w14:solidFill>
              <w14:schemeClr w14:val="tx1"/>
            </w14:solidFill>
          </w14:textFill>
        </w:rPr>
      </w:pPr>
    </w:p>
    <w:p>
      <w:pPr>
        <w:pBdr>
          <w:top w:val="single" w:color="FFFFFF" w:sz="4" w:space="0"/>
          <w:left w:val="single" w:color="FFFFFF" w:sz="4" w:space="31"/>
          <w:bottom w:val="single" w:color="FFFFFF" w:sz="4" w:space="31"/>
          <w:right w:val="single" w:color="FFFFFF" w:sz="4" w:space="2"/>
        </w:pBd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高举中国特色社会主义伟大旗帜，坚持以习近平新时代中国特色社会主义思想为指导，全面贯彻党的十九大和十九届二中、三中、四中、五中全会精神，按照习近平总书记赋予广西的“三大定位”新使命和“五个扎实”新要求，坚持以人民为中心，以深化供给侧结构性改革为主线，以稳中求进为总基调，围绕“生态立县、绿色发展”理念，统筹推进工业振兴、乡村振兴、文旅振兴，巩固生态优势，促进旅游生态文化深度融合，推动城乡融合发展，全面深化改革开放，切实补强基础设施和公共服务短板，构建形成高质量产业发展体系、高品质公共服务体系，推进政府治理能力现代化，加快创建国家全域旅游示范区，努力走好具有龙胜特色的新时代创新发展之路，</w:t>
      </w:r>
      <w:r>
        <w:rPr>
          <w:rFonts w:hint="eastAsia" w:ascii="仿宋_GB2312" w:hAnsi="仿宋_GB2312" w:eastAsia="仿宋_GB2312" w:cs="仿宋_GB2312"/>
          <w:bCs/>
          <w:color w:val="000000" w:themeColor="text1"/>
          <w:sz w:val="32"/>
          <w:szCs w:val="32"/>
          <w14:textFill>
            <w14:solidFill>
              <w14:schemeClr w14:val="tx1"/>
            </w14:solidFill>
          </w14:textFill>
        </w:rPr>
        <w:t>奋力谱写全面建设社会主义现代化国家的龙胜篇章。</w:t>
      </w:r>
      <w:bookmarkStart w:id="49" w:name="_Toc30085481"/>
      <w:bookmarkStart w:id="50" w:name="_Toc21793"/>
      <w:bookmarkStart w:id="51" w:name="_Toc24506"/>
      <w:bookmarkStart w:id="52" w:name="_Toc27681127"/>
      <w:bookmarkStart w:id="53" w:name="_Toc14830"/>
      <w:bookmarkStart w:id="54" w:name="_Toc27680971"/>
      <w:bookmarkStart w:id="55" w:name="_Toc27471862"/>
      <w:bookmarkStart w:id="56" w:name="_Toc61110769"/>
      <w:bookmarkStart w:id="57" w:name="_Toc16291"/>
      <w:bookmarkStart w:id="58" w:name="_Toc21647"/>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第二节  基本原则</w:t>
      </w:r>
      <w:bookmarkEnd w:id="49"/>
      <w:bookmarkEnd w:id="50"/>
      <w:bookmarkEnd w:id="51"/>
      <w:bookmarkEnd w:id="52"/>
      <w:bookmarkEnd w:id="53"/>
      <w:bookmarkEnd w:id="54"/>
      <w:bookmarkEnd w:id="55"/>
      <w:bookmarkEnd w:id="56"/>
      <w:bookmarkEnd w:id="57"/>
      <w:bookmarkEnd w:id="58"/>
    </w:p>
    <w:p>
      <w:pPr>
        <w:spacing w:line="560" w:lineRule="exact"/>
        <w:ind w:firstLine="643" w:firstLineChars="200"/>
        <w:rPr>
          <w:rFonts w:ascii="Times New Roman" w:hAnsi="Times New Roman" w:eastAsia="仿宋_GB2312"/>
          <w:b/>
          <w:bCs/>
          <w:color w:val="000000" w:themeColor="text1"/>
          <w:sz w:val="32"/>
          <w:szCs w:val="32"/>
          <w14:textFill>
            <w14:solidFill>
              <w14:schemeClr w14:val="tx1"/>
            </w14:solidFill>
          </w14:textFill>
        </w:rPr>
      </w:pPr>
      <w:bookmarkStart w:id="59" w:name="_Toc24608"/>
      <w:bookmarkStart w:id="60" w:name="_Toc52201145"/>
      <w:bookmarkStart w:id="61" w:name="_Toc15531"/>
      <w:bookmarkStart w:id="62" w:name="_Toc2649"/>
    </w:p>
    <w:p>
      <w:pPr>
        <w:spacing w:line="560" w:lineRule="exact"/>
        <w:ind w:firstLine="643" w:firstLineChars="200"/>
        <w:rPr>
          <w:rFonts w:ascii="Times New Roman" w:hAnsi="Times New Roman" w:eastAsia="仿宋_GB2312"/>
          <w:bCs/>
          <w:color w:val="000000" w:themeColor="text1"/>
          <w:sz w:val="32"/>
          <w:szCs w:val="32"/>
          <w14:textFill>
            <w14:solidFill>
              <w14:schemeClr w14:val="tx1"/>
            </w14:solidFill>
          </w14:textFill>
        </w:rPr>
      </w:pPr>
      <w:r>
        <w:rPr>
          <w:rFonts w:hint="eastAsia" w:ascii="Times New Roman" w:hAnsi="Times New Roman" w:eastAsia="仿宋_GB2312"/>
          <w:b/>
          <w:bCs/>
          <w:color w:val="000000" w:themeColor="text1"/>
          <w:sz w:val="32"/>
          <w:szCs w:val="32"/>
          <w14:textFill>
            <w14:solidFill>
              <w14:schemeClr w14:val="tx1"/>
            </w14:solidFill>
          </w14:textFill>
        </w:rPr>
        <w:t>坚持党的全面领导。</w:t>
      </w:r>
      <w:r>
        <w:rPr>
          <w:rFonts w:hint="eastAsia" w:ascii="Times New Roman" w:hAnsi="Times New Roman" w:eastAsia="仿宋_GB2312"/>
          <w:bCs/>
          <w:color w:val="000000" w:themeColor="text1"/>
          <w:sz w:val="32"/>
          <w:szCs w:val="32"/>
          <w14:textFill>
            <w14:solidFill>
              <w14:schemeClr w14:val="tx1"/>
            </w14:solidFill>
          </w14:textFill>
        </w:rPr>
        <w:t>坚持和完善党领导经济社会发展的体制机制，坚决维护党中央权威和集中统一领导，始终同以习近平同志为核心的党中央保持高度一致，为实现经济社会高质量发展提供根本保证。</w:t>
      </w:r>
    </w:p>
    <w:p>
      <w:pPr>
        <w:spacing w:line="560" w:lineRule="exact"/>
        <w:ind w:firstLine="643" w:firstLineChars="200"/>
        <w:rPr>
          <w:rFonts w:ascii="Times New Roman" w:hAnsi="Times New Roman" w:eastAsia="仿宋_GB2312"/>
          <w:bCs/>
          <w:color w:val="000000" w:themeColor="text1"/>
          <w:sz w:val="32"/>
          <w:szCs w:val="32"/>
          <w14:textFill>
            <w14:solidFill>
              <w14:schemeClr w14:val="tx1"/>
            </w14:solidFill>
          </w14:textFill>
        </w:rPr>
      </w:pPr>
      <w:r>
        <w:rPr>
          <w:rFonts w:hint="eastAsia" w:ascii="Times New Roman" w:hAnsi="Times New Roman" w:eastAsia="仿宋_GB2312"/>
          <w:b/>
          <w:bCs/>
          <w:color w:val="000000" w:themeColor="text1"/>
          <w:sz w:val="32"/>
          <w:szCs w:val="32"/>
          <w14:textFill>
            <w14:solidFill>
              <w14:schemeClr w14:val="tx1"/>
            </w14:solidFill>
          </w14:textFill>
        </w:rPr>
        <w:t>坚持以人民为中心。</w:t>
      </w:r>
      <w:r>
        <w:rPr>
          <w:rFonts w:hint="eastAsia" w:ascii="Times New Roman" w:hAnsi="Times New Roman" w:eastAsia="仿宋_GB2312"/>
          <w:bCs/>
          <w:color w:val="000000" w:themeColor="text1"/>
          <w:sz w:val="32"/>
          <w:szCs w:val="32"/>
          <w14:textFill>
            <w14:solidFill>
              <w14:schemeClr w14:val="tx1"/>
            </w14:solidFill>
          </w14:textFill>
        </w:rPr>
        <w:t>坚持人民主体地位，坚持共同富裕方向，把增进人民福祉、促进人的全面发展作为发展的出发点和落脚点，始终做到发展为了人民、发展依靠人民、发展成果由人民共享，更好实现人民对美好生活的向往。</w:t>
      </w:r>
    </w:p>
    <w:p>
      <w:pPr>
        <w:spacing w:line="560" w:lineRule="exact"/>
        <w:ind w:firstLine="643" w:firstLineChars="200"/>
        <w:rPr>
          <w:rFonts w:ascii="Times New Roman" w:hAnsi="Times New Roman" w:eastAsia="仿宋_GB2312"/>
          <w:color w:val="000000" w:themeColor="text1"/>
          <w:sz w:val="32"/>
          <w:szCs w:val="32"/>
          <w14:textFill>
            <w14:solidFill>
              <w14:schemeClr w14:val="tx1"/>
            </w14:solidFill>
          </w14:textFill>
        </w:rPr>
      </w:pPr>
      <w:r>
        <w:rPr>
          <w:rFonts w:hint="eastAsia" w:ascii="Times New Roman" w:hAnsi="Times New Roman" w:eastAsia="仿宋_GB2312"/>
          <w:b/>
          <w:bCs/>
          <w:color w:val="000000" w:themeColor="text1"/>
          <w:sz w:val="32"/>
          <w:szCs w:val="32"/>
          <w14:textFill>
            <w14:solidFill>
              <w14:schemeClr w14:val="tx1"/>
            </w14:solidFill>
          </w14:textFill>
        </w:rPr>
        <w:t>坚持新发展理念。</w:t>
      </w:r>
      <w:r>
        <w:rPr>
          <w:rFonts w:hint="eastAsia" w:ascii="Times New Roman" w:hAnsi="Times New Roman" w:eastAsia="仿宋_GB2312"/>
          <w:color w:val="000000" w:themeColor="text1"/>
          <w:sz w:val="32"/>
          <w:szCs w:val="32"/>
          <w14:textFill>
            <w14:solidFill>
              <w14:schemeClr w14:val="tx1"/>
            </w14:solidFill>
          </w14:textFill>
        </w:rPr>
        <w:t>坚持质量第一、效益优先，把新发展理念贯穿发展全过程和各领域，积极融入新发展格局，切实转变发展方式，推动质量变革、效率变革、动力变革，实现更高质量、更有效率、更加公平、更可持续、更为安全的发展，不断增强经济创新力和竞争力。</w:t>
      </w:r>
    </w:p>
    <w:p>
      <w:pPr>
        <w:spacing w:line="560" w:lineRule="exact"/>
        <w:ind w:firstLine="643" w:firstLineChars="200"/>
        <w:rPr>
          <w:rFonts w:ascii="Times New Roman" w:hAnsi="Times New Roman" w:eastAsia="仿宋_GB2312"/>
          <w:color w:val="000000" w:themeColor="text1"/>
          <w:sz w:val="32"/>
          <w:szCs w:val="32"/>
          <w14:textFill>
            <w14:solidFill>
              <w14:schemeClr w14:val="tx1"/>
            </w14:solidFill>
          </w14:textFill>
        </w:rPr>
      </w:pPr>
      <w:r>
        <w:rPr>
          <w:rFonts w:hint="eastAsia" w:ascii="Times New Roman" w:hAnsi="Times New Roman" w:eastAsia="仿宋_GB2312"/>
          <w:b/>
          <w:bCs/>
          <w:color w:val="000000" w:themeColor="text1"/>
          <w:sz w:val="32"/>
          <w:szCs w:val="32"/>
          <w14:textFill>
            <w14:solidFill>
              <w14:schemeClr w14:val="tx1"/>
            </w14:solidFill>
          </w14:textFill>
        </w:rPr>
        <w:t>坚持深化改革开放。</w:t>
      </w:r>
      <w:r>
        <w:rPr>
          <w:rFonts w:hint="eastAsia" w:ascii="Times New Roman" w:hAnsi="Times New Roman" w:eastAsia="仿宋_GB2312"/>
          <w:color w:val="000000" w:themeColor="text1"/>
          <w:sz w:val="32"/>
          <w:szCs w:val="32"/>
          <w14:textFill>
            <w14:solidFill>
              <w14:schemeClr w14:val="tx1"/>
            </w14:solidFill>
          </w14:textFill>
        </w:rPr>
        <w:t>主动融入国家、自治区和桂林市改革开放新格局，在重点领域和关键环节实现实质性改革突破，充分释放市场活力和改革红利，全面提升对外开放合作水平，持续增强发展动力活力。</w:t>
      </w:r>
    </w:p>
    <w:p>
      <w:pPr>
        <w:spacing w:line="560" w:lineRule="exact"/>
        <w:ind w:firstLine="643" w:firstLineChars="200"/>
        <w:rPr>
          <w:rFonts w:ascii="Times New Roman" w:hAnsi="Times New Roman" w:eastAsia="仿宋_GB2312"/>
          <w:color w:val="000000" w:themeColor="text1"/>
          <w:sz w:val="32"/>
          <w:szCs w:val="32"/>
          <w14:textFill>
            <w14:solidFill>
              <w14:schemeClr w14:val="tx1"/>
            </w14:solidFill>
          </w14:textFill>
        </w:rPr>
      </w:pPr>
      <w:r>
        <w:rPr>
          <w:rFonts w:hint="eastAsia" w:ascii="Times New Roman" w:hAnsi="Times New Roman" w:eastAsia="仿宋_GB2312"/>
          <w:b/>
          <w:bCs/>
          <w:color w:val="000000" w:themeColor="text1"/>
          <w:sz w:val="32"/>
          <w:szCs w:val="32"/>
          <w14:textFill>
            <w14:solidFill>
              <w14:schemeClr w14:val="tx1"/>
            </w14:solidFill>
          </w14:textFill>
        </w:rPr>
        <w:t>坚持协调融合发展。</w:t>
      </w:r>
      <w:r>
        <w:rPr>
          <w:rFonts w:hint="eastAsia" w:ascii="Times New Roman" w:hAnsi="Times New Roman" w:eastAsia="仿宋_GB2312"/>
          <w:color w:val="000000" w:themeColor="text1"/>
          <w:sz w:val="32"/>
          <w:szCs w:val="32"/>
          <w14:textFill>
            <w14:solidFill>
              <w14:schemeClr w14:val="tx1"/>
            </w14:solidFill>
          </w14:textFill>
        </w:rPr>
        <w:t>正确处理好工业、农业、旅游及其他产业在发展中的关系，促进三次产业协调发展；推动城乡融合发展，逐步提升城乡基本公共服务均等化水平。坚持绿水青山就是金山银山的理念，严守生态红线，推广绿色发展方式和生活方式，为人民创造良好生产生活环境。</w:t>
      </w:r>
    </w:p>
    <w:p>
      <w:pPr>
        <w:pStyle w:val="31"/>
        <w:autoSpaceDE/>
        <w:autoSpaceDN/>
        <w:adjustRightInd/>
        <w:spacing w:line="560" w:lineRule="exact"/>
        <w:ind w:firstLine="643" w:firstLineChars="200"/>
        <w:jc w:val="both"/>
        <w:rPr>
          <w:rFonts w:ascii="Times New Roman" w:hAnsi="Times New Roman" w:eastAsia="仿宋_GB2312"/>
          <w:color w:val="000000" w:themeColor="text1"/>
          <w:kern w:val="2"/>
          <w:sz w:val="32"/>
          <w:szCs w:val="32"/>
          <w14:textFill>
            <w14:solidFill>
              <w14:schemeClr w14:val="tx1"/>
            </w14:solidFill>
          </w14:textFill>
        </w:rPr>
      </w:pPr>
      <w:r>
        <w:rPr>
          <w:rFonts w:hint="eastAsia" w:ascii="Times New Roman" w:hAnsi="Times New Roman" w:eastAsia="仿宋_GB2312"/>
          <w:b/>
          <w:bCs/>
          <w:color w:val="000000" w:themeColor="text1"/>
          <w:kern w:val="2"/>
          <w:sz w:val="32"/>
          <w:szCs w:val="32"/>
          <w14:textFill>
            <w14:solidFill>
              <w14:schemeClr w14:val="tx1"/>
            </w14:solidFill>
          </w14:textFill>
        </w:rPr>
        <w:t>坚持保障改善民生。</w:t>
      </w:r>
      <w:r>
        <w:rPr>
          <w:rFonts w:hint="eastAsia" w:ascii="Times New Roman" w:hAnsi="Times New Roman" w:eastAsia="仿宋_GB2312"/>
          <w:color w:val="000000" w:themeColor="text1"/>
          <w:kern w:val="2"/>
          <w:sz w:val="32"/>
          <w:szCs w:val="32"/>
          <w14:textFill>
            <w14:solidFill>
              <w14:schemeClr w14:val="tx1"/>
            </w14:solidFill>
          </w14:textFill>
        </w:rPr>
        <w:t>注重补强民生短板、促进社会公平正义，</w:t>
      </w:r>
      <w:r>
        <w:rPr>
          <w:rFonts w:hint="eastAsia" w:ascii="Times New Roman" w:hAnsi="Times New Roman" w:eastAsia="仿宋_GB2312"/>
          <w:color w:val="000000" w:themeColor="text1"/>
          <w:sz w:val="32"/>
          <w:szCs w:val="32"/>
          <w14:textFill>
            <w14:solidFill>
              <w14:schemeClr w14:val="tx1"/>
            </w14:solidFill>
          </w14:textFill>
        </w:rPr>
        <w:t>积极</w:t>
      </w:r>
      <w:r>
        <w:rPr>
          <w:rFonts w:hint="eastAsia" w:ascii="Times New Roman" w:hAnsi="Times New Roman" w:eastAsia="仿宋_GB2312"/>
          <w:bCs/>
          <w:color w:val="000000" w:themeColor="text1"/>
          <w:sz w:val="32"/>
          <w:szCs w:val="32"/>
          <w14:textFill>
            <w14:solidFill>
              <w14:schemeClr w14:val="tx1"/>
            </w14:solidFill>
          </w14:textFill>
        </w:rPr>
        <w:t>推进健康中国行动，将健康融入所有政策,</w:t>
      </w:r>
      <w:r>
        <w:rPr>
          <w:rFonts w:hint="eastAsia" w:ascii="Times New Roman" w:hAnsi="Times New Roman" w:eastAsia="仿宋_GB2312"/>
          <w:color w:val="000000" w:themeColor="text1"/>
          <w:kern w:val="2"/>
          <w:sz w:val="32"/>
          <w:szCs w:val="32"/>
          <w14:textFill>
            <w14:solidFill>
              <w14:schemeClr w14:val="tx1"/>
            </w14:solidFill>
          </w14:textFill>
        </w:rPr>
        <w:t>切实巩固全面建成小康社会成果，加强和创新社会治理，保证人民群众在共建共享发展中有更多获得感。</w:t>
      </w:r>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bookmarkStart w:id="63" w:name="_Toc61110770"/>
      <w:bookmarkStart w:id="64" w:name="_Toc6516"/>
      <w:r>
        <w:rPr>
          <w:rFonts w:hint="eastAsia" w:ascii="楷体_GB2312" w:hAnsi="楷体_GB2312" w:eastAsia="楷体_GB2312" w:cs="楷体_GB2312"/>
          <w:b w:val="0"/>
          <w:color w:val="000000" w:themeColor="text1"/>
          <w14:textFill>
            <w14:solidFill>
              <w14:schemeClr w14:val="tx1"/>
            </w14:solidFill>
          </w14:textFill>
        </w:rPr>
        <w:t xml:space="preserve">第三节  </w:t>
      </w:r>
      <w:bookmarkEnd w:id="63"/>
      <w:bookmarkEnd w:id="64"/>
      <w:bookmarkStart w:id="65" w:name="_Toc61110771"/>
      <w:bookmarkStart w:id="66" w:name="_Toc12011"/>
      <w:r>
        <w:rPr>
          <w:rFonts w:hint="eastAsia" w:ascii="楷体_GB2312" w:hAnsi="楷体_GB2312" w:eastAsia="楷体_GB2312" w:cs="楷体_GB2312"/>
          <w:b w:val="0"/>
          <w:color w:val="000000" w:themeColor="text1"/>
          <w14:textFill>
            <w14:solidFill>
              <w14:schemeClr w14:val="tx1"/>
            </w14:solidFill>
          </w14:textFill>
        </w:rPr>
        <w:t>发展目标</w:t>
      </w:r>
      <w:bookmarkEnd w:id="59"/>
      <w:bookmarkEnd w:id="60"/>
      <w:bookmarkEnd w:id="61"/>
      <w:bookmarkEnd w:id="62"/>
      <w:bookmarkEnd w:id="65"/>
      <w:bookmarkEnd w:id="66"/>
    </w:p>
    <w:p>
      <w:pPr>
        <w:pStyle w:val="31"/>
        <w:autoSpaceDE/>
        <w:autoSpaceDN/>
        <w:adjustRightInd/>
        <w:spacing w:line="560" w:lineRule="exact"/>
        <w:jc w:val="both"/>
        <w:rPr>
          <w:rFonts w:ascii="Times New Roman" w:hAnsi="Times New Roman" w:eastAsia="楷体_GB2312" w:cs="黑体"/>
          <w:b/>
          <w:color w:val="000000" w:themeColor="text1"/>
          <w:sz w:val="32"/>
          <w:szCs w:val="32"/>
          <w14:textFill>
            <w14:solidFill>
              <w14:schemeClr w14:val="tx1"/>
            </w14:solidFill>
          </w14:textFill>
        </w:rPr>
      </w:pPr>
    </w:p>
    <w:p>
      <w:pPr>
        <w:pStyle w:val="31"/>
        <w:autoSpaceDE/>
        <w:autoSpaceDN/>
        <w:adjustRightInd/>
        <w:spacing w:line="560" w:lineRule="exact"/>
        <w:ind w:firstLine="643" w:firstLineChars="200"/>
        <w:jc w:val="both"/>
        <w:rPr>
          <w:rFonts w:ascii="Times New Roman" w:hAnsi="Times New Roman" w:eastAsia="楷体_GB2312" w:cs="黑体"/>
          <w:color w:val="000000" w:themeColor="text1"/>
          <w:sz w:val="32"/>
          <w:szCs w:val="32"/>
          <w14:textFill>
            <w14:solidFill>
              <w14:schemeClr w14:val="tx1"/>
            </w14:solidFill>
          </w14:textFill>
        </w:rPr>
      </w:pPr>
      <w:r>
        <w:rPr>
          <w:rFonts w:hint="eastAsia" w:ascii="Times New Roman" w:hAnsi="Times New Roman" w:eastAsia="楷体_GB2312" w:cs="黑体"/>
          <w:b/>
          <w:color w:val="000000" w:themeColor="text1"/>
          <w:sz w:val="32"/>
          <w:szCs w:val="32"/>
          <w14:textFill>
            <w14:solidFill>
              <w14:schemeClr w14:val="tx1"/>
            </w14:solidFill>
          </w14:textFill>
        </w:rPr>
        <w:t>二О三五年发展远景目标：</w:t>
      </w:r>
      <w:r>
        <w:rPr>
          <w:rFonts w:hint="eastAsia" w:ascii="Times New Roman" w:hAnsi="Times New Roman" w:eastAsia="仿宋_GB2312"/>
          <w:color w:val="000000" w:themeColor="text1"/>
          <w:sz w:val="32"/>
          <w:szCs w:val="32"/>
          <w14:textFill>
            <w14:solidFill>
              <w14:schemeClr w14:val="tx1"/>
            </w14:solidFill>
          </w14:textFill>
        </w:rPr>
        <w:t>展望二</w:t>
      </w:r>
      <w:r>
        <w:rPr>
          <w:rFonts w:hint="eastAsia" w:ascii="仿宋_GB2312" w:hAnsi="Times New Roman" w:eastAsia="仿宋_GB2312"/>
          <w:color w:val="000000" w:themeColor="text1"/>
          <w:sz w:val="32"/>
          <w:szCs w:val="32"/>
          <w14:textFill>
            <w14:solidFill>
              <w14:schemeClr w14:val="tx1"/>
            </w14:solidFill>
          </w14:textFill>
        </w:rPr>
        <w:t>О</w:t>
      </w:r>
      <w:r>
        <w:rPr>
          <w:rFonts w:hint="eastAsia" w:ascii="Times New Roman" w:hAnsi="Times New Roman" w:eastAsia="仿宋_GB2312"/>
          <w:color w:val="000000" w:themeColor="text1"/>
          <w:sz w:val="32"/>
          <w:szCs w:val="32"/>
          <w14:textFill>
            <w14:solidFill>
              <w14:schemeClr w14:val="tx1"/>
            </w14:solidFill>
          </w14:textFill>
        </w:rPr>
        <w:t>三五年，我县将构建高速、高铁等现代化互联互通大交通网络格局，建成全国一流的全域旅游示范区、旅游康养示范基地和“绿水青山就是金山银山”实践基地，打造国际旅游目的地，并拥有更加优美的山水环境，更富魅力的人文空间，更趋开放的新经济载体，更具品质的宜居生活，与全国同步基本实现社会主义现代化。形成创新驱动发展新优势，综合实力显著提升，基本实现新型工业化、信息化、城镇化、农业产业化，打造以“世界梯田原乡、世界滑石之都、中国红玉之乡、多民族生态博物馆、康寿养生胜地、有机产业大园区”为主的龙胜特色品牌；经济社会发展绿色转型，谱写生态优先绿色发展新篇章，广泛形成绿色生产生活方式，建成人与自然和谐共生的美丽新龙胜；全面深化改革和发展深度融合、高效联动，形成全方位开放发展新格局；平安龙胜建设达到更高水平，基本建成法治龙胜、法治政府、法治社会，县域治理体系和治理能力现代化基本实现；建成生态强县、旅游强县、文化强县、健康龙胜，城乡居民素质和社会文明程度达到新境界；基本公共服务实现均等化，城乡区域发展差距和城乡居民生活水平差距显著缩小；民族团结巩固提升，人民生活更加美好，人的全面发展、各族人民共同富裕取得更为明显的实质性进展。</w:t>
      </w:r>
    </w:p>
    <w:p>
      <w:pPr>
        <w:pStyle w:val="31"/>
        <w:autoSpaceDE/>
        <w:autoSpaceDN/>
        <w:adjustRightInd/>
        <w:spacing w:line="560" w:lineRule="exact"/>
        <w:ind w:firstLine="643" w:firstLineChars="200"/>
        <w:jc w:val="both"/>
        <w:rPr>
          <w:rFonts w:ascii="Times New Roman" w:hAnsi="Times New Roman" w:eastAsia="仿宋_GB2312"/>
          <w:color w:val="000000" w:themeColor="text1"/>
          <w:kern w:val="2"/>
          <w:sz w:val="32"/>
          <w:szCs w:val="32"/>
          <w14:textFill>
            <w14:solidFill>
              <w14:schemeClr w14:val="tx1"/>
            </w14:solidFill>
          </w14:textFill>
        </w:rPr>
      </w:pPr>
      <w:r>
        <w:rPr>
          <w:rFonts w:hint="eastAsia" w:ascii="Times New Roman" w:hAnsi="Times New Roman" w:eastAsia="楷体_GB2312"/>
          <w:b/>
          <w:color w:val="000000" w:themeColor="text1"/>
          <w:kern w:val="2"/>
          <w:sz w:val="32"/>
          <w:szCs w:val="32"/>
          <w14:textFill>
            <w14:solidFill>
              <w14:schemeClr w14:val="tx1"/>
            </w14:solidFill>
          </w14:textFill>
        </w:rPr>
        <w:t>“十四五”时期发展目标：</w:t>
      </w:r>
      <w:r>
        <w:rPr>
          <w:rFonts w:hint="eastAsia" w:ascii="Times New Roman" w:hAnsi="Times New Roman" w:eastAsia="仿宋_GB2312"/>
          <w:color w:val="000000" w:themeColor="text1"/>
          <w:kern w:val="2"/>
          <w:sz w:val="32"/>
          <w:szCs w:val="32"/>
          <w14:textFill>
            <w14:solidFill>
              <w14:schemeClr w14:val="tx1"/>
            </w14:solidFill>
          </w14:textFill>
        </w:rPr>
        <w:t>综合考虑国内外发展趋势和龙胜县发展条件、优势、潜力，坚持目标导向和问题导向，今后五年全县经济社会发展要努力实现以下目标。</w:t>
      </w:r>
      <w:bookmarkStart w:id="67" w:name="_Toc9669"/>
    </w:p>
    <w:p>
      <w:pPr>
        <w:pStyle w:val="31"/>
        <w:autoSpaceDE/>
        <w:autoSpaceDN/>
        <w:adjustRightInd/>
        <w:spacing w:line="560" w:lineRule="exact"/>
        <w:ind w:firstLine="643" w:firstLineChars="200"/>
        <w:jc w:val="both"/>
        <w:rPr>
          <w:rFonts w:ascii="Times New Roman" w:hAnsi="Times New Roman" w:eastAsia="仿宋_GB2312"/>
          <w:color w:val="000000" w:themeColor="text1"/>
          <w:sz w:val="32"/>
          <w:szCs w:val="32"/>
          <w14:textFill>
            <w14:solidFill>
              <w14:schemeClr w14:val="tx1"/>
            </w14:solidFill>
          </w14:textFill>
        </w:rPr>
      </w:pPr>
      <w:r>
        <w:rPr>
          <w:rFonts w:hint="eastAsia" w:ascii="Times New Roman" w:hAnsi="Times New Roman" w:eastAsia="仿宋_GB2312" w:cs="楷体"/>
          <w:b/>
          <w:color w:val="000000" w:themeColor="text1"/>
          <w:sz w:val="32"/>
          <w:szCs w:val="32"/>
          <w14:textFill>
            <w14:solidFill>
              <w14:schemeClr w14:val="tx1"/>
            </w14:solidFill>
          </w14:textFill>
        </w:rPr>
        <w:t>总体目标</w:t>
      </w:r>
      <w:bookmarkEnd w:id="67"/>
      <w:r>
        <w:rPr>
          <w:rFonts w:hint="eastAsia" w:ascii="Times New Roman" w:hAnsi="Times New Roman" w:eastAsia="仿宋_GB2312" w:cs="楷体"/>
          <w:b/>
          <w:color w:val="000000" w:themeColor="text1"/>
          <w:sz w:val="32"/>
          <w:szCs w:val="32"/>
          <w14:textFill>
            <w14:solidFill>
              <w14:schemeClr w14:val="tx1"/>
            </w14:solidFill>
          </w14:textFill>
        </w:rPr>
        <w:t>：</w:t>
      </w:r>
      <w:r>
        <w:rPr>
          <w:rFonts w:hint="eastAsia" w:ascii="Times New Roman" w:hAnsi="Times New Roman" w:eastAsia="仿宋_GB2312"/>
          <w:color w:val="000000" w:themeColor="text1"/>
          <w:sz w:val="32"/>
          <w:szCs w:val="32"/>
          <w14:textFill>
            <w14:solidFill>
              <w14:schemeClr w14:val="tx1"/>
            </w14:solidFill>
          </w14:textFill>
        </w:rPr>
        <w:t>坚持“生态立县，绿色发展”理念和“生态、旅游、健康”发展思路，强化“</w:t>
      </w:r>
      <w:r>
        <w:rPr>
          <w:rFonts w:hint="eastAsia" w:ascii="Times New Roman" w:hAnsi="Times New Roman" w:eastAsia="仿宋_GB2312"/>
          <w:bCs/>
          <w:color w:val="000000" w:themeColor="text1"/>
          <w:sz w:val="32"/>
          <w:szCs w:val="32"/>
          <w14:textFill>
            <w14:solidFill>
              <w14:schemeClr w14:val="tx1"/>
            </w14:solidFill>
          </w14:textFill>
        </w:rPr>
        <w:t>工业振兴、乡村振兴、文旅振兴”三大振兴</w:t>
      </w:r>
      <w:r>
        <w:rPr>
          <w:rFonts w:hint="eastAsia" w:ascii="Times New Roman" w:hAnsi="Times New Roman" w:eastAsia="仿宋_GB2312"/>
          <w:color w:val="000000" w:themeColor="text1"/>
          <w:sz w:val="32"/>
          <w:szCs w:val="32"/>
          <w14:textFill>
            <w14:solidFill>
              <w14:schemeClr w14:val="tx1"/>
            </w14:solidFill>
          </w14:textFill>
        </w:rPr>
        <w:t>，传承红色基因，建设红色旅游强县，以打造“世界梯田原乡、多民族生态博物馆、中国红玉之乡、康寿养生胜地、有机产业大园区”等特色品牌为目标，推进一二三产业高质量可持续发展，以服务业为主体、新型工业和特色农业协调融合发展的现代产业体系基本形成。生态环境质量保持全区前列，探索和推进“两山”</w:t>
      </w:r>
      <w:r>
        <w:rPr>
          <w:rFonts w:hint="eastAsia" w:ascii="Times New Roman" w:hAnsi="Times New Roman"/>
          <w:color w:val="000000" w:themeColor="text1"/>
          <w:sz w:val="32"/>
          <w:szCs w:val="32"/>
          <w14:textFill>
            <w14:solidFill>
              <w14:schemeClr w14:val="tx1"/>
            </w14:solidFill>
          </w14:textFill>
        </w:rPr>
        <w:footnoteReference w:id="3"/>
      </w:r>
      <w:r>
        <w:rPr>
          <w:rFonts w:hint="eastAsia" w:ascii="Times New Roman" w:hAnsi="Times New Roman" w:eastAsia="仿宋_GB2312"/>
          <w:color w:val="000000" w:themeColor="text1"/>
          <w:sz w:val="32"/>
          <w:szCs w:val="32"/>
          <w14:textFill>
            <w14:solidFill>
              <w14:schemeClr w14:val="tx1"/>
            </w14:solidFill>
          </w14:textFill>
        </w:rPr>
        <w:t>发展新模式，生态资源的保护、利用和开发能力明显提升；加快基础设施建设，推进城乡融合发展；完善要素配置的供给，营商环境进一步优化，政府治理能力水平不断提升，人民生活水平和质量显著提高。国家级全域旅游示范区、国际旅游目的地和康养示范基地、全国滑石精细加工基地、国家有机产品认证示范县、多元民族融合的特色生态宜居城镇、桂林清洁能源基地等基本建成，到2025年，走出一条产业兴、人民富、生态美的可持续发展龙胜之路。</w:t>
      </w:r>
    </w:p>
    <w:p>
      <w:pPr>
        <w:spacing w:line="560" w:lineRule="exact"/>
        <w:ind w:firstLine="643" w:firstLineChars="200"/>
        <w:textAlignment w:val="baseline"/>
        <w:rPr>
          <w:rFonts w:ascii="Times New Roman" w:hAnsi="Times New Roman" w:eastAsia="仿宋_GB2312" w:cs="楷体"/>
          <w:b/>
          <w:bCs/>
          <w:color w:val="000000" w:themeColor="text1"/>
          <w:sz w:val="32"/>
          <w:szCs w:val="32"/>
          <w14:textFill>
            <w14:solidFill>
              <w14:schemeClr w14:val="tx1"/>
            </w14:solidFill>
          </w14:textFill>
        </w:rPr>
      </w:pPr>
      <w:r>
        <w:rPr>
          <w:rFonts w:hint="eastAsia" w:ascii="Times New Roman" w:hAnsi="Times New Roman" w:eastAsia="仿宋_GB2312" w:cs="楷体"/>
          <w:b/>
          <w:bCs/>
          <w:color w:val="000000" w:themeColor="text1"/>
          <w:sz w:val="32"/>
          <w:szCs w:val="32"/>
          <w14:textFill>
            <w14:solidFill>
              <w14:schemeClr w14:val="tx1"/>
            </w14:solidFill>
          </w14:textFill>
        </w:rPr>
        <w:t>主要目标：</w:t>
      </w:r>
    </w:p>
    <w:p>
      <w:pPr>
        <w:pBdr>
          <w:top w:val="single" w:color="FFFFFF" w:sz="4" w:space="0"/>
          <w:left w:val="single" w:color="FFFFFF" w:sz="4" w:space="31"/>
          <w:bottom w:val="single" w:color="FFFFFF" w:sz="4" w:space="31"/>
          <w:right w:val="single" w:color="FFFFFF" w:sz="4" w:space="2"/>
        </w:pBdr>
        <w:spacing w:line="560" w:lineRule="exact"/>
        <w:ind w:firstLine="643" w:firstLineChars="200"/>
        <w:rPr>
          <w:rFonts w:ascii="Times New Roman" w:hAnsi="Times New Roman" w:eastAsia="仿宋_GB2312"/>
          <w:color w:val="000000" w:themeColor="text1"/>
          <w:sz w:val="32"/>
          <w:szCs w:val="32"/>
          <w14:textFill>
            <w14:solidFill>
              <w14:schemeClr w14:val="tx1"/>
            </w14:solidFill>
          </w14:textFill>
        </w:rPr>
      </w:pPr>
      <w:r>
        <w:rPr>
          <w:rFonts w:hint="eastAsia" w:ascii="Times New Roman" w:hAnsi="Times New Roman" w:eastAsia="仿宋_GB2312" w:cs="仿宋_GB2312"/>
          <w:b/>
          <w:bCs/>
          <w:color w:val="000000" w:themeColor="text1"/>
          <w:sz w:val="32"/>
          <w:szCs w:val="32"/>
          <w14:textFill>
            <w14:solidFill>
              <w14:schemeClr w14:val="tx1"/>
            </w14:solidFill>
          </w14:textFill>
        </w:rPr>
        <w:t>——综合实力增强。</w:t>
      </w:r>
      <w:r>
        <w:rPr>
          <w:rFonts w:hint="eastAsia" w:ascii="Times New Roman" w:hAnsi="Times New Roman" w:eastAsia="仿宋_GB2312" w:cs="仿宋_GB2312"/>
          <w:bCs/>
          <w:color w:val="000000" w:themeColor="text1"/>
          <w:sz w:val="32"/>
          <w:szCs w:val="32"/>
          <w14:textFill>
            <w14:solidFill>
              <w14:schemeClr w14:val="tx1"/>
            </w14:solidFill>
          </w14:textFill>
        </w:rPr>
        <w:t>经济持续健康发展，力争地区生产总值年均增长6.0%以上。其中第一产业增加值年均增长5.0%以上，继续保持全市中上等水平；第二产业增加值年均增长10.0%以上，工业增加值年均增长10.0%以上，工业振兴取得明显成效；第三产业增加值年均增长6.0%以上。财政收入年均增长5.0%；社会消费品零售总额年均增长8.0%；居民人均可支配收入年均增长 7.0%以上；城镇登记失业率控制住4.5%以内。</w:t>
      </w:r>
    </w:p>
    <w:p>
      <w:pPr>
        <w:pBdr>
          <w:top w:val="single" w:color="FFFFFF" w:sz="4" w:space="0"/>
          <w:left w:val="single" w:color="FFFFFF" w:sz="4" w:space="31"/>
          <w:bottom w:val="single" w:color="FFFFFF" w:sz="4" w:space="31"/>
          <w:right w:val="single" w:color="FFFFFF" w:sz="4" w:space="2"/>
        </w:pBdr>
        <w:spacing w:line="560" w:lineRule="exact"/>
        <w:ind w:firstLine="643"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Times New Roman" w:hAnsi="Times New Roman" w:eastAsia="仿宋_GB2312" w:cs="仿宋_GB2312"/>
          <w:b/>
          <w:bCs/>
          <w:color w:val="000000" w:themeColor="text1"/>
          <w:sz w:val="32"/>
          <w:szCs w:val="32"/>
          <w14:textFill>
            <w14:solidFill>
              <w14:schemeClr w14:val="tx1"/>
            </w14:solidFill>
          </w14:textFill>
        </w:rPr>
        <w:t>——产业结构优化。</w:t>
      </w:r>
      <w:r>
        <w:rPr>
          <w:rFonts w:hint="eastAsia" w:ascii="仿宋_GB2312" w:hAnsi="仿宋_GB2312" w:eastAsia="仿宋_GB2312" w:cs="仿宋_GB2312"/>
          <w:bCs/>
          <w:color w:val="000000" w:themeColor="text1"/>
          <w:sz w:val="32"/>
          <w:szCs w:val="32"/>
          <w14:textFill>
            <w14:solidFill>
              <w14:schemeClr w14:val="tx1"/>
            </w14:solidFill>
          </w14:textFill>
        </w:rPr>
        <w:t>大力推进产业融合，</w:t>
      </w:r>
      <w:r>
        <w:rPr>
          <w:rFonts w:hint="eastAsia" w:ascii="仿宋_GB2312" w:hAnsi="仿宋_GB2312" w:eastAsia="仿宋_GB2312" w:cs="仿宋_GB2312"/>
          <w:color w:val="000000" w:themeColor="text1"/>
          <w:sz w:val="32"/>
          <w:szCs w:val="32"/>
          <w14:textFill>
            <w14:solidFill>
              <w14:schemeClr w14:val="tx1"/>
            </w14:solidFill>
          </w14:textFill>
        </w:rPr>
        <w:t>优化产业结构，</w:t>
      </w:r>
      <w:r>
        <w:rPr>
          <w:rFonts w:hint="eastAsia" w:ascii="仿宋_GB2312" w:hAnsi="仿宋_GB2312" w:eastAsia="仿宋_GB2312" w:cs="仿宋_GB2312"/>
          <w:bCs/>
          <w:color w:val="000000" w:themeColor="text1"/>
          <w:sz w:val="32"/>
          <w:szCs w:val="32"/>
          <w14:textFill>
            <w14:solidFill>
              <w14:schemeClr w14:val="tx1"/>
            </w14:solidFill>
          </w14:textFill>
        </w:rPr>
        <w:t>力争</w:t>
      </w:r>
      <w:r>
        <w:rPr>
          <w:rFonts w:hint="eastAsia" w:ascii="仿宋_GB2312" w:hAnsi="仿宋_GB2312" w:eastAsia="仿宋_GB2312" w:cs="仿宋_GB2312"/>
          <w:color w:val="000000" w:themeColor="text1"/>
          <w:sz w:val="32"/>
          <w:szCs w:val="32"/>
          <w14:textFill>
            <w14:solidFill>
              <w14:schemeClr w14:val="tx1"/>
            </w14:solidFill>
          </w14:textFill>
        </w:rPr>
        <w:t>三次产业结构调整为19:28:53左右</w:t>
      </w:r>
      <w:r>
        <w:rPr>
          <w:rFonts w:hint="eastAsia" w:ascii="仿宋_GB2312" w:hAnsi="仿宋_GB2312" w:eastAsia="仿宋_GB2312" w:cs="仿宋_GB2312"/>
          <w:bCs/>
          <w:color w:val="000000" w:themeColor="text1"/>
          <w:sz w:val="32"/>
          <w:szCs w:val="32"/>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基本实现特色工业县、有机精品特色农业县和全域旅游示范区。</w:t>
      </w:r>
      <w:r>
        <w:rPr>
          <w:rFonts w:hint="eastAsia" w:ascii="仿宋_GB2312" w:hAnsi="仿宋_GB2312" w:eastAsia="仿宋_GB2312" w:cs="仿宋_GB2312"/>
          <w:b/>
          <w:bCs/>
          <w:color w:val="000000" w:themeColor="text1"/>
          <w:sz w:val="32"/>
          <w:szCs w:val="32"/>
          <w14:textFill>
            <w14:solidFill>
              <w14:schemeClr w14:val="tx1"/>
            </w14:solidFill>
          </w14:textFill>
        </w:rPr>
        <w:t>做优第一产业。</w:t>
      </w:r>
      <w:r>
        <w:rPr>
          <w:rFonts w:hint="eastAsia" w:ascii="仿宋_GB2312" w:hAnsi="仿宋_GB2312" w:eastAsia="仿宋_GB2312" w:cs="仿宋_GB2312"/>
          <w:bCs/>
          <w:color w:val="000000" w:themeColor="text1"/>
          <w:sz w:val="32"/>
          <w:szCs w:val="32"/>
          <w14:textFill>
            <w14:solidFill>
              <w14:schemeClr w14:val="tx1"/>
            </w14:solidFill>
          </w14:textFill>
        </w:rPr>
        <w:t>推进农业现代化，</w:t>
      </w:r>
      <w:r>
        <w:rPr>
          <w:rFonts w:hint="eastAsia" w:ascii="仿宋_GB2312" w:hAnsi="仿宋_GB2312" w:eastAsia="仿宋_GB2312" w:cs="仿宋_GB2312"/>
          <w:color w:val="000000" w:themeColor="text1"/>
          <w:sz w:val="32"/>
          <w:szCs w:val="32"/>
          <w14:textFill>
            <w14:solidFill>
              <w14:schemeClr w14:val="tx1"/>
            </w14:solidFill>
          </w14:textFill>
        </w:rPr>
        <w:t>在保障粮食生产安全的前提下，</w:t>
      </w:r>
      <w:r>
        <w:rPr>
          <w:rFonts w:hint="eastAsia" w:ascii="仿宋_GB2312" w:hAnsi="仿宋_GB2312" w:eastAsia="仿宋_GB2312" w:cs="仿宋_GB2312"/>
          <w:bCs/>
          <w:color w:val="000000" w:themeColor="text1"/>
          <w:sz w:val="32"/>
          <w:szCs w:val="32"/>
          <w14:textFill>
            <w14:solidFill>
              <w14:schemeClr w14:val="tx1"/>
            </w14:solidFill>
          </w14:textFill>
        </w:rPr>
        <w:t>做大做强罗汉果、油茶优势农业，做精做特水产、畜牧、茶叶、水果、蔬菜、中药材等特色产业，</w:t>
      </w:r>
      <w:r>
        <w:rPr>
          <w:rFonts w:hint="eastAsia" w:ascii="仿宋_GB2312" w:hAnsi="仿宋_GB2312" w:eastAsia="仿宋_GB2312" w:cs="仿宋_GB2312"/>
          <w:color w:val="000000" w:themeColor="text1"/>
          <w:sz w:val="32"/>
          <w:szCs w:val="32"/>
          <w14:textFill>
            <w14:solidFill>
              <w14:schemeClr w14:val="tx1"/>
            </w14:solidFill>
          </w14:textFill>
        </w:rPr>
        <w:t>创建“中国特优罗汉果核心示范区，</w:t>
      </w:r>
      <w:r>
        <w:rPr>
          <w:rFonts w:hint="eastAsia" w:ascii="仿宋_GB2312" w:hAnsi="仿宋_GB2312" w:eastAsia="仿宋_GB2312" w:cs="仿宋_GB2312"/>
          <w:bCs/>
          <w:color w:val="000000" w:themeColor="text1"/>
          <w:sz w:val="32"/>
          <w:szCs w:val="32"/>
          <w14:textFill>
            <w14:solidFill>
              <w14:schemeClr w14:val="tx1"/>
            </w14:solidFill>
          </w14:textFill>
        </w:rPr>
        <w:t>全面提升“两茶两果+特色养殖”产业水平</w:t>
      </w:r>
      <w:r>
        <w:rPr>
          <w:rFonts w:hint="eastAsia" w:ascii="仿宋_GB2312" w:hAnsi="仿宋_GB2312" w:eastAsia="仿宋_GB2312" w:cs="仿宋_GB2312"/>
          <w:color w:val="000000" w:themeColor="text1"/>
          <w:sz w:val="32"/>
          <w:szCs w:val="32"/>
          <w14:textFill>
            <w14:solidFill>
              <w14:schemeClr w14:val="tx1"/>
            </w14:solidFill>
          </w14:textFill>
        </w:rPr>
        <w:t>。</w:t>
      </w:r>
      <w:r>
        <w:rPr>
          <w:rFonts w:hint="eastAsia" w:ascii="仿宋_GB2312" w:hAnsi="仿宋_GB2312" w:eastAsia="仿宋_GB2312" w:cs="仿宋_GB2312"/>
          <w:b/>
          <w:bCs/>
          <w:color w:val="000000" w:themeColor="text1"/>
          <w:sz w:val="32"/>
          <w:szCs w:val="32"/>
          <w14:textFill>
            <w14:solidFill>
              <w14:schemeClr w14:val="tx1"/>
            </w14:solidFill>
          </w14:textFill>
        </w:rPr>
        <w:t>做强第二产业。</w:t>
      </w:r>
      <w:r>
        <w:rPr>
          <w:rFonts w:hint="eastAsia" w:ascii="仿宋_GB2312" w:hAnsi="仿宋_GB2312" w:eastAsia="仿宋_GB2312" w:cs="仿宋_GB2312"/>
          <w:color w:val="000000" w:themeColor="text1"/>
          <w:sz w:val="32"/>
          <w:szCs w:val="32"/>
          <w14:textFill>
            <w14:solidFill>
              <w14:schemeClr w14:val="tx1"/>
            </w14:solidFill>
          </w14:textFill>
        </w:rPr>
        <w:t>按照“强龙头、补链条、聚集群”的发展要求，着力打造一批上规模特色产业集群和产业带，</w:t>
      </w:r>
      <w:r>
        <w:rPr>
          <w:rFonts w:hint="eastAsia" w:ascii="仿宋_GB2312" w:hAnsi="仿宋_GB2312" w:eastAsia="仿宋_GB2312" w:cs="仿宋_GB2312"/>
          <w:bCs/>
          <w:color w:val="000000" w:themeColor="text1"/>
          <w:sz w:val="32"/>
          <w:szCs w:val="32"/>
          <w14:textFill>
            <w14:solidFill>
              <w14:schemeClr w14:val="tx1"/>
            </w14:solidFill>
          </w14:textFill>
        </w:rPr>
        <w:t>发展滑石、鸡血玉、辉绿岩、花岗岩等矿石产业，优化水电产业，积极推进竹木加工业、饮用水产业、风电产业、生态食品加工业发展，积极打造世界滑石之都、中国红玉之乡、桂林清洁能源基地</w:t>
      </w:r>
      <w:r>
        <w:rPr>
          <w:rFonts w:hint="eastAsia" w:ascii="仿宋_GB2312" w:hAnsi="仿宋_GB2312" w:eastAsia="仿宋_GB2312" w:cs="仿宋_GB2312"/>
          <w:color w:val="000000" w:themeColor="text1"/>
          <w:sz w:val="32"/>
          <w:szCs w:val="32"/>
          <w14:textFill>
            <w14:solidFill>
              <w14:schemeClr w14:val="tx1"/>
            </w14:solidFill>
          </w14:textFill>
        </w:rPr>
        <w:t>。推进建筑业健康发展，推动制造业与服务业及信息化、智能化深度融合，推进信息化信息基础设施建设，大力发展数字经济，推动龙胜工业振兴发展。</w:t>
      </w:r>
      <w:r>
        <w:rPr>
          <w:rFonts w:hint="eastAsia" w:ascii="仿宋_GB2312" w:hAnsi="仿宋_GB2312" w:eastAsia="仿宋_GB2312" w:cs="仿宋_GB2312"/>
          <w:b/>
          <w:bCs/>
          <w:color w:val="000000" w:themeColor="text1"/>
          <w:sz w:val="32"/>
          <w:szCs w:val="32"/>
          <w14:textFill>
            <w14:solidFill>
              <w14:schemeClr w14:val="tx1"/>
            </w14:solidFill>
          </w14:textFill>
        </w:rPr>
        <w:t>做大第三产业。</w:t>
      </w:r>
      <w:r>
        <w:rPr>
          <w:rFonts w:hint="eastAsia" w:ascii="仿宋_GB2312" w:hAnsi="仿宋_GB2312" w:eastAsia="仿宋_GB2312" w:cs="仿宋_GB2312"/>
          <w:bCs/>
          <w:color w:val="000000" w:themeColor="text1"/>
          <w:sz w:val="32"/>
          <w:szCs w:val="32"/>
          <w14:textFill>
            <w14:solidFill>
              <w14:schemeClr w14:val="tx1"/>
            </w14:solidFill>
          </w14:textFill>
        </w:rPr>
        <w:t>加快发展全域旅游、现代物流、现代金融、电子商务、大型商贸、健康养老、文化创意等生产生活性服务业，提升服务业比重，打造全域旅游示范区、国际旅游目的地和旅游康养示范基地、物流集散地。</w:t>
      </w:r>
    </w:p>
    <w:p>
      <w:pPr>
        <w:pBdr>
          <w:top w:val="single" w:color="FFFFFF" w:sz="4" w:space="0"/>
          <w:left w:val="single" w:color="FFFFFF" w:sz="4" w:space="31"/>
          <w:bottom w:val="single" w:color="FFFFFF" w:sz="4" w:space="31"/>
          <w:right w:val="single" w:color="FFFFFF" w:sz="4" w:space="2"/>
        </w:pBdr>
        <w:spacing w:line="560" w:lineRule="exact"/>
        <w:ind w:firstLine="643" w:firstLineChars="200"/>
        <w:rPr>
          <w:rFonts w:ascii="仿宋_GB2312" w:hAnsi="仿宋_GB2312" w:eastAsia="仿宋_GB2312" w:cs="仿宋_GB2312"/>
          <w:b/>
          <w:bCs/>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——城乡融合发展。</w:t>
      </w:r>
      <w:r>
        <w:rPr>
          <w:rFonts w:hint="eastAsia" w:ascii="仿宋_GB2312" w:hAnsi="仿宋_GB2312" w:eastAsia="仿宋_GB2312" w:cs="仿宋_GB2312"/>
          <w:bCs/>
          <w:color w:val="000000" w:themeColor="text1"/>
          <w:sz w:val="32"/>
          <w:szCs w:val="32"/>
          <w14:textFill>
            <w14:solidFill>
              <w14:schemeClr w14:val="tx1"/>
            </w14:solidFill>
          </w14:textFill>
        </w:rPr>
        <w:t>大力推进乡村振兴，全面提升乡村风貌，切实改善人居环境，谋划推进一批“两新一重”建设项目，全面提升城乡公共设施和服务能力。推进以人为本的新型城镇化示范乡镇建设，打造县城AAAA景区，接续推进新型城镇化建设，支持乡镇走特色差异化发展道路，培育形成特色鲜明的工业重镇、农业强镇、文旅名镇、生态美镇、红色亮镇。力争到2025年，城乡一体发展格局基本形成，全县城镇化率达到40%以上。</w:t>
      </w:r>
    </w:p>
    <w:p>
      <w:pPr>
        <w:pBdr>
          <w:top w:val="single" w:color="FFFFFF" w:sz="4" w:space="0"/>
          <w:left w:val="single" w:color="FFFFFF" w:sz="4" w:space="31"/>
          <w:bottom w:val="single" w:color="FFFFFF" w:sz="4" w:space="31"/>
          <w:right w:val="single" w:color="FFFFFF" w:sz="4" w:space="2"/>
        </w:pBdr>
        <w:spacing w:line="560" w:lineRule="exact"/>
        <w:ind w:firstLine="643"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——基础设施完善。</w:t>
      </w:r>
      <w:r>
        <w:rPr>
          <w:rFonts w:hint="eastAsia" w:ascii="仿宋_GB2312" w:hAnsi="仿宋_GB2312" w:eastAsia="仿宋_GB2312" w:cs="仿宋_GB2312"/>
          <w:color w:val="000000" w:themeColor="text1"/>
          <w:sz w:val="32"/>
          <w:szCs w:val="32"/>
          <w14:textFill>
            <w14:solidFill>
              <w14:schemeClr w14:val="tx1"/>
            </w14:solidFill>
          </w14:textFill>
        </w:rPr>
        <w:t>力争张吉怀高铁南延至桂林（桂怀高铁）段过境设站，重点抓好龙胜—峒中口岸高速公路（马堤芙蓉至县城段）、龙胜—峒中口岸高速公路（龙胜至融安段）、灌阳—湖南通道高速公路（江底至平等段）等重大交通项目建设；发展城市公共交通事业，提升城乡干线通达能力；推进“四好农村路”建设。做好水源地保护、水土流失综合治理、农村饮水安全、中小河流治理等建设，补齐水利设施短板。推进人工智能、物联网、大数据中心、新能源汽车充电桩等新型基础设施建设。加快环境卫生、市政、公共服务、产业配套等生活基础设施提质增效。</w:t>
      </w:r>
    </w:p>
    <w:p>
      <w:pPr>
        <w:pBdr>
          <w:top w:val="single" w:color="FFFFFF" w:sz="4" w:space="0"/>
          <w:left w:val="single" w:color="FFFFFF" w:sz="4" w:space="31"/>
          <w:bottom w:val="single" w:color="FFFFFF" w:sz="4" w:space="31"/>
          <w:right w:val="single" w:color="FFFFFF" w:sz="4" w:space="2"/>
        </w:pBdr>
        <w:spacing w:line="560" w:lineRule="exact"/>
        <w:ind w:firstLine="643"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——改革开放深入。</w:t>
      </w:r>
      <w:r>
        <w:rPr>
          <w:rFonts w:hint="eastAsia" w:ascii="仿宋_GB2312" w:hAnsi="仿宋_GB2312" w:eastAsia="仿宋_GB2312" w:cs="仿宋_GB2312"/>
          <w:color w:val="000000" w:themeColor="text1"/>
          <w:sz w:val="32"/>
          <w:szCs w:val="32"/>
          <w14:textFill>
            <w14:solidFill>
              <w14:schemeClr w14:val="tx1"/>
            </w14:solidFill>
          </w14:textFill>
        </w:rPr>
        <w:t>以深化改革为动力，打造良好的营商环境。持续推进农业农村、金融体制、国有企业等系列改革。积极参与国内大循环，深度融入国内国际双循环，主动对接中国—东盟自由贸易区和粤港澳大湾区，深化与台港澳、长三角、珠三角等区域经贸互动合作，在建链、延链、补链上找机遇促发展，加快搭建对外经贸合作平台，构建开放合作新格局。</w:t>
      </w:r>
    </w:p>
    <w:p>
      <w:pPr>
        <w:pBdr>
          <w:top w:val="single" w:color="FFFFFF" w:sz="4" w:space="0"/>
          <w:left w:val="single" w:color="FFFFFF" w:sz="4" w:space="31"/>
          <w:bottom w:val="single" w:color="FFFFFF" w:sz="4" w:space="31"/>
          <w:right w:val="single" w:color="FFFFFF" w:sz="4" w:space="2"/>
        </w:pBdr>
        <w:spacing w:line="560" w:lineRule="exact"/>
        <w:ind w:firstLine="643"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——生态环境优美。</w:t>
      </w:r>
      <w:r>
        <w:rPr>
          <w:rFonts w:hint="eastAsia" w:ascii="仿宋_GB2312" w:hAnsi="仿宋_GB2312" w:eastAsia="仿宋_GB2312" w:cs="仿宋_GB2312"/>
          <w:color w:val="000000" w:themeColor="text1"/>
          <w:sz w:val="32"/>
          <w:szCs w:val="32"/>
          <w14:textFill>
            <w14:solidFill>
              <w14:schemeClr w14:val="tx1"/>
            </w14:solidFill>
          </w14:textFill>
        </w:rPr>
        <w:t>坚持“绿水青山就是金山银山”理念，强化国土空间规划和用途管控，严格落实“三线一单”限制形成可复制推广的“两山”发展新模式。持续推动大气、水、土壤污染防治，突出工业源、农业面源、生活源等污染治理，森林覆盖率达到82%以上，空气质量优良天数比率达标，Ⅲ类水体比例保持100%，土壤环境质量总体稳定。加快生产生活方式绿色转型，建成生态宜居宜业宜游宜养胜地。</w:t>
      </w:r>
    </w:p>
    <w:p>
      <w:pPr>
        <w:pBdr>
          <w:top w:val="single" w:color="FFFFFF" w:sz="4" w:space="0"/>
          <w:left w:val="single" w:color="FFFFFF" w:sz="4" w:space="31"/>
          <w:bottom w:val="single" w:color="FFFFFF" w:sz="4" w:space="31"/>
          <w:right w:val="single" w:color="FFFFFF" w:sz="4" w:space="2"/>
        </w:pBdr>
        <w:spacing w:line="560" w:lineRule="exact"/>
        <w:ind w:firstLine="643" w:firstLineChars="200"/>
        <w:rPr>
          <w:rFonts w:ascii="仿宋_GB2312" w:hAnsi="仿宋_GB2312" w:eastAsia="仿宋_GB2312" w:cs="仿宋_GB2312"/>
          <w:bCs/>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——社会治理健全。</w:t>
      </w:r>
      <w:r>
        <w:rPr>
          <w:rFonts w:hint="eastAsia" w:ascii="仿宋_GB2312" w:hAnsi="仿宋_GB2312" w:eastAsia="仿宋_GB2312" w:cs="仿宋_GB2312"/>
          <w:bCs/>
          <w:color w:val="000000" w:themeColor="text1"/>
          <w:sz w:val="32"/>
          <w:szCs w:val="32"/>
          <w14:textFill>
            <w14:solidFill>
              <w14:schemeClr w14:val="tx1"/>
            </w14:solidFill>
          </w14:textFill>
        </w:rPr>
        <w:t>法治龙胜</w:t>
      </w:r>
      <w:r>
        <w:rPr>
          <w:rFonts w:hint="eastAsia" w:ascii="仿宋_GB2312" w:hAnsi="仿宋_GB2312" w:eastAsia="仿宋_GB2312" w:cs="仿宋_GB2312"/>
          <w:bCs/>
          <w:color w:val="000000" w:themeColor="text1"/>
          <w:kern w:val="0"/>
          <w:sz w:val="32"/>
          <w:szCs w:val="32"/>
          <w14:textFill>
            <w14:solidFill>
              <w14:schemeClr w14:val="tx1"/>
            </w14:solidFill>
          </w14:textFill>
        </w:rPr>
        <w:t>建设深入推进，民主法治更加健全，社会公平正义更加彰显，政府职能转变成效明显，行政效率和公信力显著提升，基层社会治理水平明显提高，突发公共事件应急能力显著增强。</w:t>
      </w:r>
      <w:r>
        <w:rPr>
          <w:rFonts w:hint="eastAsia" w:ascii="仿宋_GB2312" w:hAnsi="仿宋_GB2312" w:eastAsia="仿宋_GB2312" w:cs="仿宋_GB2312"/>
          <w:bCs/>
          <w:color w:val="000000" w:themeColor="text1"/>
          <w:sz w:val="32"/>
          <w:szCs w:val="32"/>
          <w14:textFill>
            <w14:solidFill>
              <w14:schemeClr w14:val="tx1"/>
            </w14:solidFill>
          </w14:textFill>
        </w:rPr>
        <w:t>加快推动县域社会治理现代化，提升公共安全保障能力，建成更高水平的平安龙胜。</w:t>
      </w:r>
    </w:p>
    <w:p>
      <w:pPr>
        <w:pBdr>
          <w:top w:val="single" w:color="FFFFFF" w:sz="4" w:space="0"/>
          <w:left w:val="single" w:color="FFFFFF" w:sz="4" w:space="31"/>
          <w:bottom w:val="single" w:color="FFFFFF" w:sz="4" w:space="31"/>
          <w:right w:val="single" w:color="FFFFFF" w:sz="4" w:space="2"/>
        </w:pBdr>
        <w:spacing w:line="560" w:lineRule="exact"/>
        <w:ind w:firstLine="643" w:firstLineChars="200"/>
        <w:rPr>
          <w:rFonts w:ascii="仿宋_GB2312" w:hAnsi="仿宋_GB2312" w:eastAsia="仿宋_GB2312" w:cs="仿宋_GB2312"/>
          <w:bCs/>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——人民生活幸福。</w:t>
      </w:r>
      <w:r>
        <w:rPr>
          <w:rFonts w:hint="eastAsia" w:ascii="Times New Roman" w:hAnsi="Times New Roman" w:eastAsia="仿宋_GB2312" w:cs="仿宋_GB2312"/>
          <w:bCs/>
          <w:color w:val="000000" w:themeColor="text1"/>
          <w:sz w:val="32"/>
          <w:szCs w:val="32"/>
          <w14:textFill>
            <w14:solidFill>
              <w14:schemeClr w14:val="tx1"/>
            </w14:solidFill>
          </w14:textFill>
        </w:rPr>
        <w:t>以人民对美好生活的向往为目标，将更多的人力、物力、财力投向民生领域。加快补齐教育、养老、卫生健康、城乡基础设施等领域民生短板，实现城乡基本公共服务均等化。</w:t>
      </w:r>
      <w:r>
        <w:rPr>
          <w:rFonts w:hint="eastAsia" w:ascii="仿宋_GB2312" w:hAnsi="仿宋_GB2312" w:eastAsia="仿宋_GB2312" w:cs="仿宋_GB2312"/>
          <w:bCs/>
          <w:color w:val="000000" w:themeColor="text1"/>
          <w:sz w:val="32"/>
          <w:szCs w:val="32"/>
          <w14:textFill>
            <w14:solidFill>
              <w14:schemeClr w14:val="tx1"/>
            </w14:solidFill>
          </w14:textFill>
        </w:rPr>
        <w:t>实施新一轮居民增收行动计划，</w:t>
      </w:r>
      <w:r>
        <w:rPr>
          <w:rFonts w:hint="eastAsia" w:ascii="仿宋_GB2312" w:hAnsi="仿宋_GB2312" w:eastAsia="仿宋_GB2312" w:cs="仿宋_GB2312"/>
          <w:color w:val="000000" w:themeColor="text1"/>
          <w:sz w:val="32"/>
          <w:szCs w:val="32"/>
          <w14:textFill>
            <w14:solidFill>
              <w14:schemeClr w14:val="tx1"/>
            </w14:solidFill>
          </w14:textFill>
        </w:rPr>
        <w:t>居民人均纯收入年均增长7.0%以上，城乡收入差距进一步缩小。教育现代化取得重要进展，九年义务教育巩固率达到98%以上。</w:t>
      </w:r>
      <w:r>
        <w:rPr>
          <w:rFonts w:hint="eastAsia" w:ascii="Times New Roman" w:hAnsi="Times New Roman" w:eastAsia="仿宋_GB2312" w:cs="仿宋_GB2312"/>
          <w:bCs/>
          <w:color w:val="000000" w:themeColor="text1"/>
          <w:sz w:val="32"/>
          <w:szCs w:val="32"/>
          <w14:textFill>
            <w14:solidFill>
              <w14:schemeClr w14:val="tx1"/>
            </w14:solidFill>
          </w14:textFill>
        </w:rPr>
        <w:t>推动文化繁荣兴盛，打造独具魅力的文化强县。</w:t>
      </w:r>
      <w:r>
        <w:rPr>
          <w:rFonts w:hint="eastAsia" w:ascii="仿宋_GB2312" w:hAnsi="仿宋_GB2312" w:eastAsia="仿宋_GB2312" w:cs="仿宋_GB2312"/>
          <w:color w:val="000000" w:themeColor="text1"/>
          <w:sz w:val="32"/>
          <w:szCs w:val="32"/>
          <w14:textFill>
            <w14:solidFill>
              <w14:schemeClr w14:val="tx1"/>
            </w14:solidFill>
          </w14:textFill>
        </w:rPr>
        <w:t>医疗卫生健康服务供给能力和服务质量增强，人均预期寿命提高到79.5岁。全力</w:t>
      </w:r>
      <w:r>
        <w:rPr>
          <w:rFonts w:hint="eastAsia" w:ascii="仿宋_GB2312" w:hAnsi="仿宋_GB2312" w:eastAsia="仿宋_GB2312" w:cs="仿宋_GB2312"/>
          <w:bCs/>
          <w:color w:val="000000" w:themeColor="text1"/>
          <w:sz w:val="32"/>
          <w:szCs w:val="32"/>
          <w14:textFill>
            <w14:solidFill>
              <w14:schemeClr w14:val="tx1"/>
            </w14:solidFill>
          </w14:textFill>
        </w:rPr>
        <w:t>做好稳就业工作，</w:t>
      </w:r>
      <w:r>
        <w:rPr>
          <w:rFonts w:hint="eastAsia" w:ascii="仿宋_GB2312" w:hAnsi="仿宋_GB2312" w:eastAsia="仿宋_GB2312" w:cs="仿宋_GB2312"/>
          <w:color w:val="000000" w:themeColor="text1"/>
          <w:sz w:val="32"/>
          <w:szCs w:val="32"/>
          <w14:textFill>
            <w14:solidFill>
              <w14:schemeClr w14:val="tx1"/>
            </w14:solidFill>
          </w14:textFill>
        </w:rPr>
        <w:t>社会保障体系不断完善，人民群众获得感、幸福感显著提升。</w:t>
      </w:r>
    </w:p>
    <w:p>
      <w:pPr>
        <w:rPr>
          <w:rFonts w:ascii="方正黑体_GBK" w:hAnsi="方正黑体_GBK" w:eastAsia="方正黑体_GBK" w:cs="方正黑体_GBK"/>
          <w:bCs/>
          <w:color w:val="000000" w:themeColor="text1"/>
          <w:sz w:val="28"/>
          <w:szCs w:val="28"/>
          <w14:textFill>
            <w14:solidFill>
              <w14:schemeClr w14:val="tx1"/>
            </w14:solidFill>
          </w14:textFill>
        </w:rPr>
      </w:pPr>
      <w:bookmarkStart w:id="68" w:name="_Toc10851"/>
      <w:bookmarkStart w:id="69" w:name="_Toc23309"/>
      <w:bookmarkStart w:id="70" w:name="_Toc20599"/>
      <w:bookmarkStart w:id="71" w:name="_Toc6501"/>
      <w:bookmarkStart w:id="72" w:name="_Toc11504"/>
      <w:r>
        <w:rPr>
          <w:rFonts w:hint="eastAsia" w:ascii="方正黑体_GBK" w:hAnsi="方正黑体_GBK" w:eastAsia="方正黑体_GBK" w:cs="方正黑体_GBK"/>
          <w:bCs/>
          <w:color w:val="000000" w:themeColor="text1"/>
          <w:sz w:val="28"/>
          <w:szCs w:val="28"/>
          <w14:textFill>
            <w14:solidFill>
              <w14:schemeClr w14:val="tx1"/>
            </w14:solidFill>
          </w14:textFill>
        </w:rPr>
        <w:br w:type="page"/>
      </w:r>
    </w:p>
    <w:p>
      <w:pPr>
        <w:spacing w:after="156" w:afterLines="50" w:line="560" w:lineRule="exact"/>
        <w:jc w:val="center"/>
        <w:rPr>
          <w:rFonts w:ascii="黑体" w:hAnsi="黑体" w:eastAsia="黑体" w:cs="黑体"/>
          <w:bCs/>
          <w:color w:val="000000" w:themeColor="text1"/>
          <w:sz w:val="32"/>
          <w:szCs w:val="32"/>
          <w14:textFill>
            <w14:solidFill>
              <w14:schemeClr w14:val="tx1"/>
            </w14:solidFill>
          </w14:textFill>
        </w:rPr>
      </w:pPr>
      <w:r>
        <w:rPr>
          <w:rFonts w:hint="eastAsia" w:ascii="黑体" w:hAnsi="黑体" w:eastAsia="黑体" w:cs="黑体"/>
          <w:bCs/>
          <w:color w:val="000000" w:themeColor="text1"/>
          <w:sz w:val="32"/>
          <w:szCs w:val="32"/>
          <w14:textFill>
            <w14:solidFill>
              <w14:schemeClr w14:val="tx1"/>
            </w14:solidFill>
          </w14:textFill>
        </w:rPr>
        <w:t>表2  “十四五”经济社会发展主要指标表</w:t>
      </w:r>
    </w:p>
    <w:tbl>
      <w:tblPr>
        <w:tblStyle w:val="22"/>
        <w:tblW w:w="93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3"/>
        <w:gridCol w:w="728"/>
        <w:gridCol w:w="3644"/>
        <w:gridCol w:w="1001"/>
        <w:gridCol w:w="1111"/>
        <w:gridCol w:w="1341"/>
        <w:gridCol w:w="10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blHeader/>
          <w:jc w:val="center"/>
        </w:trPr>
        <w:tc>
          <w:tcPr>
            <w:tcW w:w="483" w:type="dxa"/>
            <w:vAlign w:val="center"/>
          </w:tcPr>
          <w:p>
            <w:pPr>
              <w:adjustRightInd w:val="0"/>
              <w:snapToGrid w:val="0"/>
              <w:jc w:val="center"/>
              <w:rPr>
                <w:rFonts w:ascii="仿宋_GB2312" w:hAnsi="Times New Roman" w:eastAsia="仿宋_GB2312"/>
                <w:bCs/>
                <w:color w:val="000000" w:themeColor="text1"/>
                <w:sz w:val="24"/>
                <w14:textFill>
                  <w14:solidFill>
                    <w14:schemeClr w14:val="tx1"/>
                  </w14:solidFill>
                </w14:textFill>
              </w:rPr>
            </w:pPr>
            <w:r>
              <w:rPr>
                <w:rFonts w:hint="eastAsia" w:ascii="仿宋_GB2312" w:hAnsi="Times New Roman" w:eastAsia="仿宋_GB2312"/>
                <w:bCs/>
                <w:color w:val="000000" w:themeColor="text1"/>
                <w:sz w:val="24"/>
                <w14:textFill>
                  <w14:solidFill>
                    <w14:schemeClr w14:val="tx1"/>
                  </w14:solidFill>
                </w14:textFill>
              </w:rPr>
              <w:t>序号</w:t>
            </w:r>
          </w:p>
        </w:tc>
        <w:tc>
          <w:tcPr>
            <w:tcW w:w="4372" w:type="dxa"/>
            <w:gridSpan w:val="2"/>
            <w:vAlign w:val="center"/>
          </w:tcPr>
          <w:p>
            <w:pPr>
              <w:adjustRightInd w:val="0"/>
              <w:snapToGrid w:val="0"/>
              <w:jc w:val="center"/>
              <w:rPr>
                <w:rFonts w:ascii="仿宋_GB2312" w:hAnsi="Times New Roman" w:eastAsia="仿宋_GB2312"/>
                <w:bCs/>
                <w:color w:val="000000" w:themeColor="text1"/>
                <w:sz w:val="24"/>
                <w14:textFill>
                  <w14:solidFill>
                    <w14:schemeClr w14:val="tx1"/>
                  </w14:solidFill>
                </w14:textFill>
              </w:rPr>
            </w:pPr>
            <w:r>
              <w:rPr>
                <w:rFonts w:hint="eastAsia" w:ascii="仿宋_GB2312" w:hAnsi="Times New Roman" w:eastAsia="仿宋_GB2312"/>
                <w:bCs/>
                <w:color w:val="000000" w:themeColor="text1"/>
                <w:sz w:val="24"/>
                <w14:textFill>
                  <w14:solidFill>
                    <w14:schemeClr w14:val="tx1"/>
                  </w14:solidFill>
                </w14:textFill>
              </w:rPr>
              <w:t>指标</w:t>
            </w:r>
          </w:p>
        </w:tc>
        <w:tc>
          <w:tcPr>
            <w:tcW w:w="1001" w:type="dxa"/>
            <w:vAlign w:val="center"/>
          </w:tcPr>
          <w:p>
            <w:pPr>
              <w:adjustRightInd w:val="0"/>
              <w:snapToGrid w:val="0"/>
              <w:jc w:val="center"/>
              <w:rPr>
                <w:rFonts w:ascii="仿宋_GB2312" w:hAnsi="Times New Roman" w:eastAsia="仿宋_GB2312"/>
                <w:bCs/>
                <w:color w:val="000000" w:themeColor="text1"/>
                <w:sz w:val="24"/>
                <w14:textFill>
                  <w14:solidFill>
                    <w14:schemeClr w14:val="tx1"/>
                  </w14:solidFill>
                </w14:textFill>
              </w:rPr>
            </w:pPr>
            <w:r>
              <w:rPr>
                <w:rFonts w:hint="eastAsia" w:ascii="仿宋_GB2312" w:hAnsi="Times New Roman" w:eastAsia="仿宋_GB2312"/>
                <w:bCs/>
                <w:color w:val="000000" w:themeColor="text1"/>
                <w:sz w:val="24"/>
                <w14:textFill>
                  <w14:solidFill>
                    <w14:schemeClr w14:val="tx1"/>
                  </w14:solidFill>
                </w14:textFill>
              </w:rPr>
              <w:t>2020年</w:t>
            </w:r>
          </w:p>
          <w:p>
            <w:pPr>
              <w:adjustRightInd w:val="0"/>
              <w:snapToGrid w:val="0"/>
              <w:jc w:val="center"/>
              <w:rPr>
                <w:rFonts w:ascii="仿宋_GB2312" w:hAnsi="Times New Roman" w:eastAsia="仿宋_GB2312"/>
                <w:bCs/>
                <w:color w:val="000000" w:themeColor="text1"/>
                <w:sz w:val="24"/>
                <w14:textFill>
                  <w14:solidFill>
                    <w14:schemeClr w14:val="tx1"/>
                  </w14:solidFill>
                </w14:textFill>
              </w:rPr>
            </w:pPr>
            <w:r>
              <w:rPr>
                <w:rFonts w:hint="eastAsia" w:ascii="仿宋_GB2312" w:hAnsi="Times New Roman" w:eastAsia="仿宋_GB2312"/>
                <w:bCs/>
                <w:color w:val="000000" w:themeColor="text1"/>
                <w:sz w:val="24"/>
                <w14:textFill>
                  <w14:solidFill>
                    <w14:schemeClr w14:val="tx1"/>
                  </w14:solidFill>
                </w14:textFill>
              </w:rPr>
              <w:t>完成情况</w:t>
            </w:r>
          </w:p>
        </w:tc>
        <w:tc>
          <w:tcPr>
            <w:tcW w:w="1111" w:type="dxa"/>
            <w:vAlign w:val="center"/>
          </w:tcPr>
          <w:p>
            <w:pPr>
              <w:adjustRightInd w:val="0"/>
              <w:snapToGrid w:val="0"/>
              <w:jc w:val="center"/>
              <w:rPr>
                <w:rFonts w:ascii="仿宋_GB2312" w:hAnsi="Times New Roman" w:eastAsia="仿宋_GB2312"/>
                <w:bCs/>
                <w:color w:val="000000" w:themeColor="text1"/>
                <w:sz w:val="24"/>
                <w14:textFill>
                  <w14:solidFill>
                    <w14:schemeClr w14:val="tx1"/>
                  </w14:solidFill>
                </w14:textFill>
              </w:rPr>
            </w:pPr>
            <w:r>
              <w:rPr>
                <w:rFonts w:hint="eastAsia" w:ascii="仿宋_GB2312" w:hAnsi="Times New Roman" w:eastAsia="仿宋_GB2312"/>
                <w:bCs/>
                <w:color w:val="000000" w:themeColor="text1"/>
                <w:sz w:val="24"/>
                <w14:textFill>
                  <w14:solidFill>
                    <w14:schemeClr w14:val="tx1"/>
                  </w14:solidFill>
                </w14:textFill>
              </w:rPr>
              <w:t>2025年目标</w:t>
            </w:r>
          </w:p>
        </w:tc>
        <w:tc>
          <w:tcPr>
            <w:tcW w:w="1341" w:type="dxa"/>
            <w:vAlign w:val="center"/>
          </w:tcPr>
          <w:p>
            <w:pPr>
              <w:adjustRightInd w:val="0"/>
              <w:snapToGrid w:val="0"/>
              <w:jc w:val="center"/>
              <w:rPr>
                <w:rFonts w:ascii="仿宋_GB2312" w:hAnsi="Times New Roman" w:eastAsia="仿宋_GB2312"/>
                <w:bCs/>
                <w:color w:val="000000" w:themeColor="text1"/>
                <w:sz w:val="24"/>
                <w14:textFill>
                  <w14:solidFill>
                    <w14:schemeClr w14:val="tx1"/>
                  </w14:solidFill>
                </w14:textFill>
              </w:rPr>
            </w:pPr>
            <w:r>
              <w:rPr>
                <w:rFonts w:hint="eastAsia" w:ascii="仿宋_GB2312" w:hAnsi="Times New Roman" w:eastAsia="仿宋_GB2312"/>
                <w:bCs/>
                <w:color w:val="000000" w:themeColor="text1"/>
                <w:sz w:val="24"/>
                <w14:textFill>
                  <w14:solidFill>
                    <w14:schemeClr w14:val="tx1"/>
                  </w14:solidFill>
                </w14:textFill>
              </w:rPr>
              <w:t>年均增长/五年累计（%）</w:t>
            </w:r>
          </w:p>
        </w:tc>
        <w:tc>
          <w:tcPr>
            <w:tcW w:w="1048" w:type="dxa"/>
            <w:vAlign w:val="center"/>
          </w:tcPr>
          <w:p>
            <w:pPr>
              <w:adjustRightInd w:val="0"/>
              <w:snapToGrid w:val="0"/>
              <w:jc w:val="center"/>
              <w:rPr>
                <w:rFonts w:ascii="仿宋_GB2312" w:hAnsi="Times New Roman" w:eastAsia="仿宋_GB2312"/>
                <w:bCs/>
                <w:color w:val="000000" w:themeColor="text1"/>
                <w:sz w:val="24"/>
                <w14:textFill>
                  <w14:solidFill>
                    <w14:schemeClr w14:val="tx1"/>
                  </w14:solidFill>
                </w14:textFill>
              </w:rPr>
            </w:pPr>
            <w:r>
              <w:rPr>
                <w:rFonts w:hint="eastAsia" w:ascii="仿宋_GB2312" w:hAnsi="Times New Roman" w:eastAsia="仿宋_GB2312"/>
                <w:bCs/>
                <w:color w:val="000000" w:themeColor="text1"/>
                <w:sz w:val="24"/>
                <w14:textFill>
                  <w14:solidFill>
                    <w14:schemeClr w14:val="tx1"/>
                  </w14:solidFill>
                </w14:textFill>
              </w:rPr>
              <w:t>属性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jc w:val="center"/>
        </w:trPr>
        <w:tc>
          <w:tcPr>
            <w:tcW w:w="9356" w:type="dxa"/>
            <w:gridSpan w:val="7"/>
            <w:vAlign w:val="center"/>
          </w:tcPr>
          <w:p>
            <w:pPr>
              <w:adjustRightInd w:val="0"/>
              <w:snapToGrid w:val="0"/>
              <w:rPr>
                <w:rFonts w:ascii="仿宋_GB2312" w:hAnsi="Times New Roman" w:eastAsia="仿宋_GB2312"/>
                <w:bCs/>
                <w:color w:val="000000" w:themeColor="text1"/>
                <w:sz w:val="24"/>
                <w14:textFill>
                  <w14:solidFill>
                    <w14:schemeClr w14:val="tx1"/>
                  </w14:solidFill>
                </w14:textFill>
              </w:rPr>
            </w:pPr>
            <w:r>
              <w:rPr>
                <w:rFonts w:hint="eastAsia" w:ascii="仿宋_GB2312" w:hAnsi="Times New Roman" w:eastAsia="仿宋_GB2312"/>
                <w:b/>
                <w:color w:val="000000" w:themeColor="text1"/>
                <w:sz w:val="24"/>
                <w14:textFill>
                  <w14:solidFill>
                    <w14:schemeClr w14:val="tx1"/>
                  </w14:solidFill>
                </w14:textFill>
              </w:rPr>
              <w:t>一、经济发展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3" w:hRule="atLeast"/>
          <w:jc w:val="center"/>
        </w:trPr>
        <w:tc>
          <w:tcPr>
            <w:tcW w:w="483" w:type="dxa"/>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1</w:t>
            </w:r>
          </w:p>
        </w:tc>
        <w:tc>
          <w:tcPr>
            <w:tcW w:w="4372" w:type="dxa"/>
            <w:gridSpan w:val="2"/>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地区生产总值（%）</w:t>
            </w:r>
          </w:p>
        </w:tc>
        <w:tc>
          <w:tcPr>
            <w:tcW w:w="1001" w:type="dxa"/>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2.5</w:t>
            </w:r>
          </w:p>
        </w:tc>
        <w:tc>
          <w:tcPr>
            <w:tcW w:w="111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w:t>
            </w:r>
          </w:p>
        </w:tc>
        <w:tc>
          <w:tcPr>
            <w:tcW w:w="134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6.0</w:t>
            </w:r>
          </w:p>
        </w:tc>
        <w:tc>
          <w:tcPr>
            <w:tcW w:w="1048"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预期性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jc w:val="center"/>
        </w:trPr>
        <w:tc>
          <w:tcPr>
            <w:tcW w:w="483" w:type="dxa"/>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2</w:t>
            </w:r>
          </w:p>
        </w:tc>
        <w:tc>
          <w:tcPr>
            <w:tcW w:w="4372" w:type="dxa"/>
            <w:gridSpan w:val="2"/>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人均地区生产总值(%)</w:t>
            </w:r>
          </w:p>
        </w:tc>
        <w:tc>
          <w:tcPr>
            <w:tcW w:w="1001" w:type="dxa"/>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2.6</w:t>
            </w:r>
          </w:p>
        </w:tc>
        <w:tc>
          <w:tcPr>
            <w:tcW w:w="111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w:t>
            </w:r>
          </w:p>
        </w:tc>
        <w:tc>
          <w:tcPr>
            <w:tcW w:w="134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5.3</w:t>
            </w:r>
          </w:p>
        </w:tc>
        <w:tc>
          <w:tcPr>
            <w:tcW w:w="1048"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预期性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 w:hRule="atLeast"/>
          <w:jc w:val="center"/>
        </w:trPr>
        <w:tc>
          <w:tcPr>
            <w:tcW w:w="483" w:type="dxa"/>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3</w:t>
            </w:r>
          </w:p>
        </w:tc>
        <w:tc>
          <w:tcPr>
            <w:tcW w:w="4372" w:type="dxa"/>
            <w:gridSpan w:val="2"/>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财政收入（亿元）</w:t>
            </w:r>
          </w:p>
        </w:tc>
        <w:tc>
          <w:tcPr>
            <w:tcW w:w="1001" w:type="dxa"/>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3.93</w:t>
            </w:r>
          </w:p>
        </w:tc>
        <w:tc>
          <w:tcPr>
            <w:tcW w:w="111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5.02</w:t>
            </w:r>
          </w:p>
        </w:tc>
        <w:tc>
          <w:tcPr>
            <w:tcW w:w="134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5.0</w:t>
            </w:r>
          </w:p>
        </w:tc>
        <w:tc>
          <w:tcPr>
            <w:tcW w:w="1048"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预期性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jc w:val="center"/>
        </w:trPr>
        <w:tc>
          <w:tcPr>
            <w:tcW w:w="483" w:type="dxa"/>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4</w:t>
            </w:r>
          </w:p>
        </w:tc>
        <w:tc>
          <w:tcPr>
            <w:tcW w:w="4372" w:type="dxa"/>
            <w:gridSpan w:val="2"/>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社会消费品零售总额（亿元）</w:t>
            </w:r>
          </w:p>
        </w:tc>
        <w:tc>
          <w:tcPr>
            <w:tcW w:w="1001" w:type="dxa"/>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12.59</w:t>
            </w:r>
          </w:p>
        </w:tc>
        <w:tc>
          <w:tcPr>
            <w:tcW w:w="111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18.5</w:t>
            </w:r>
          </w:p>
        </w:tc>
        <w:tc>
          <w:tcPr>
            <w:tcW w:w="134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8.0</w:t>
            </w:r>
          </w:p>
        </w:tc>
        <w:tc>
          <w:tcPr>
            <w:tcW w:w="1048"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预期性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jc w:val="center"/>
        </w:trPr>
        <w:tc>
          <w:tcPr>
            <w:tcW w:w="483" w:type="dxa"/>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5</w:t>
            </w:r>
          </w:p>
        </w:tc>
        <w:tc>
          <w:tcPr>
            <w:tcW w:w="4372" w:type="dxa"/>
            <w:gridSpan w:val="2"/>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工业增加值（亿元）</w:t>
            </w:r>
          </w:p>
        </w:tc>
        <w:tc>
          <w:tcPr>
            <w:tcW w:w="1001" w:type="dxa"/>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8.10</w:t>
            </w:r>
          </w:p>
        </w:tc>
        <w:tc>
          <w:tcPr>
            <w:tcW w:w="111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13.05</w:t>
            </w:r>
          </w:p>
        </w:tc>
        <w:tc>
          <w:tcPr>
            <w:tcW w:w="134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10.0</w:t>
            </w:r>
          </w:p>
        </w:tc>
        <w:tc>
          <w:tcPr>
            <w:tcW w:w="1048"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预期性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jc w:val="center"/>
        </w:trPr>
        <w:tc>
          <w:tcPr>
            <w:tcW w:w="483" w:type="dxa"/>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6</w:t>
            </w:r>
          </w:p>
        </w:tc>
        <w:tc>
          <w:tcPr>
            <w:tcW w:w="4372" w:type="dxa"/>
            <w:gridSpan w:val="2"/>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旅游总消费（亿元）</w:t>
            </w:r>
          </w:p>
        </w:tc>
        <w:tc>
          <w:tcPr>
            <w:tcW w:w="100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83.52</w:t>
            </w:r>
          </w:p>
        </w:tc>
        <w:tc>
          <w:tcPr>
            <w:tcW w:w="111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134.51</w:t>
            </w:r>
          </w:p>
        </w:tc>
        <w:tc>
          <w:tcPr>
            <w:tcW w:w="134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10.0</w:t>
            </w:r>
          </w:p>
        </w:tc>
        <w:tc>
          <w:tcPr>
            <w:tcW w:w="1048"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预期性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jc w:val="center"/>
        </w:trPr>
        <w:tc>
          <w:tcPr>
            <w:tcW w:w="483" w:type="dxa"/>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7</w:t>
            </w:r>
          </w:p>
        </w:tc>
        <w:tc>
          <w:tcPr>
            <w:tcW w:w="4372" w:type="dxa"/>
            <w:gridSpan w:val="2"/>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全员劳动生产率（万元/人）</w:t>
            </w:r>
          </w:p>
        </w:tc>
        <w:tc>
          <w:tcPr>
            <w:tcW w:w="100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w:t>
            </w:r>
          </w:p>
        </w:tc>
        <w:tc>
          <w:tcPr>
            <w:tcW w:w="111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w:t>
            </w:r>
          </w:p>
        </w:tc>
        <w:tc>
          <w:tcPr>
            <w:tcW w:w="134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5.0</w:t>
            </w:r>
          </w:p>
        </w:tc>
        <w:tc>
          <w:tcPr>
            <w:tcW w:w="1048"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预期性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jc w:val="center"/>
        </w:trPr>
        <w:tc>
          <w:tcPr>
            <w:tcW w:w="483" w:type="dxa"/>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8</w:t>
            </w:r>
          </w:p>
        </w:tc>
        <w:tc>
          <w:tcPr>
            <w:tcW w:w="4372" w:type="dxa"/>
            <w:gridSpan w:val="2"/>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常住人口城镇化率（%）</w:t>
            </w:r>
          </w:p>
        </w:tc>
        <w:tc>
          <w:tcPr>
            <w:tcW w:w="100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35.4</w:t>
            </w:r>
          </w:p>
        </w:tc>
        <w:tc>
          <w:tcPr>
            <w:tcW w:w="111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40.0</w:t>
            </w:r>
          </w:p>
        </w:tc>
        <w:tc>
          <w:tcPr>
            <w:tcW w:w="134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[ 4.6 ]</w:t>
            </w:r>
          </w:p>
        </w:tc>
        <w:tc>
          <w:tcPr>
            <w:tcW w:w="1048"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预期性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jc w:val="center"/>
        </w:trPr>
        <w:tc>
          <w:tcPr>
            <w:tcW w:w="9356" w:type="dxa"/>
            <w:gridSpan w:val="7"/>
            <w:vAlign w:val="center"/>
          </w:tcPr>
          <w:p>
            <w:pPr>
              <w:adjustRightInd w:val="0"/>
              <w:snapToGrid w:val="0"/>
              <w:rPr>
                <w:rFonts w:ascii="仿宋_GB2312" w:hAnsi="仿宋_GB2312" w:eastAsia="仿宋_GB2312" w:cs="仿宋_GB2312"/>
                <w:b/>
                <w:bCs/>
                <w:color w:val="000000" w:themeColor="text1"/>
                <w:sz w:val="24"/>
                <w14:textFill>
                  <w14:solidFill>
                    <w14:schemeClr w14:val="tx1"/>
                  </w14:solidFill>
                </w14:textFill>
              </w:rPr>
            </w:pPr>
            <w:r>
              <w:rPr>
                <w:rFonts w:hint="eastAsia" w:ascii="仿宋_GB2312" w:hAnsi="仿宋_GB2312" w:eastAsia="仿宋_GB2312" w:cs="仿宋_GB2312"/>
                <w:b/>
                <w:bCs/>
                <w:color w:val="000000" w:themeColor="text1"/>
                <w:sz w:val="24"/>
                <w14:textFill>
                  <w14:solidFill>
                    <w14:schemeClr w14:val="tx1"/>
                  </w14:solidFill>
                </w14:textFill>
              </w:rPr>
              <w:t>二、创新驱动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jc w:val="center"/>
        </w:trPr>
        <w:tc>
          <w:tcPr>
            <w:tcW w:w="483" w:type="dxa"/>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9</w:t>
            </w:r>
          </w:p>
        </w:tc>
        <w:tc>
          <w:tcPr>
            <w:tcW w:w="4372" w:type="dxa"/>
            <w:gridSpan w:val="2"/>
            <w:vAlign w:val="center"/>
          </w:tcPr>
          <w:p>
            <w:pPr>
              <w:adjustRightInd w:val="0"/>
              <w:snapToGrid w:val="0"/>
              <w:ind w:right="-65" w:rightChars="-31"/>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研究与试验发展经费投入情况（万元）</w:t>
            </w:r>
          </w:p>
        </w:tc>
        <w:tc>
          <w:tcPr>
            <w:tcW w:w="100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100</w:t>
            </w:r>
          </w:p>
        </w:tc>
        <w:tc>
          <w:tcPr>
            <w:tcW w:w="111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300</w:t>
            </w:r>
          </w:p>
        </w:tc>
        <w:tc>
          <w:tcPr>
            <w:tcW w:w="134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12.5</w:t>
            </w:r>
          </w:p>
        </w:tc>
        <w:tc>
          <w:tcPr>
            <w:tcW w:w="1048"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预期性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483" w:type="dxa"/>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10</w:t>
            </w:r>
          </w:p>
        </w:tc>
        <w:tc>
          <w:tcPr>
            <w:tcW w:w="4372" w:type="dxa"/>
            <w:gridSpan w:val="2"/>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每万人发明专利拥有量（件）</w:t>
            </w:r>
          </w:p>
        </w:tc>
        <w:tc>
          <w:tcPr>
            <w:tcW w:w="100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1.05</w:t>
            </w:r>
          </w:p>
        </w:tc>
        <w:tc>
          <w:tcPr>
            <w:tcW w:w="111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w:t>
            </w:r>
          </w:p>
        </w:tc>
        <w:tc>
          <w:tcPr>
            <w:tcW w:w="134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18"/>
                <w:szCs w:val="18"/>
                <w14:textFill>
                  <w14:solidFill>
                    <w14:schemeClr w14:val="tx1"/>
                  </w14:solidFill>
                </w14:textFill>
              </w:rPr>
              <w:t>完成桂林市 下达目标</w:t>
            </w:r>
          </w:p>
        </w:tc>
        <w:tc>
          <w:tcPr>
            <w:tcW w:w="1048"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预期性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jc w:val="center"/>
        </w:trPr>
        <w:tc>
          <w:tcPr>
            <w:tcW w:w="483" w:type="dxa"/>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11</w:t>
            </w:r>
          </w:p>
        </w:tc>
        <w:tc>
          <w:tcPr>
            <w:tcW w:w="4372" w:type="dxa"/>
            <w:gridSpan w:val="2"/>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科技进步贡献率(%)</w:t>
            </w:r>
          </w:p>
        </w:tc>
        <w:tc>
          <w:tcPr>
            <w:tcW w:w="100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5</w:t>
            </w:r>
          </w:p>
        </w:tc>
        <w:tc>
          <w:tcPr>
            <w:tcW w:w="111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15</w:t>
            </w:r>
          </w:p>
        </w:tc>
        <w:tc>
          <w:tcPr>
            <w:tcW w:w="134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[ 10 ]</w:t>
            </w:r>
          </w:p>
        </w:tc>
        <w:tc>
          <w:tcPr>
            <w:tcW w:w="1048"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预期性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jc w:val="center"/>
        </w:trPr>
        <w:tc>
          <w:tcPr>
            <w:tcW w:w="9356" w:type="dxa"/>
            <w:gridSpan w:val="7"/>
            <w:vAlign w:val="center"/>
          </w:tcPr>
          <w:p>
            <w:pPr>
              <w:adjustRightInd w:val="0"/>
              <w:snapToGrid w:val="0"/>
              <w:rPr>
                <w:rFonts w:ascii="仿宋_GB2312" w:hAnsi="仿宋_GB2312" w:eastAsia="仿宋_GB2312" w:cs="仿宋_GB2312"/>
                <w:b/>
                <w:bCs/>
                <w:color w:val="000000" w:themeColor="text1"/>
                <w:sz w:val="24"/>
                <w14:textFill>
                  <w14:solidFill>
                    <w14:schemeClr w14:val="tx1"/>
                  </w14:solidFill>
                </w14:textFill>
              </w:rPr>
            </w:pPr>
            <w:r>
              <w:rPr>
                <w:rFonts w:hint="eastAsia" w:ascii="仿宋_GB2312" w:hAnsi="仿宋_GB2312" w:eastAsia="仿宋_GB2312" w:cs="仿宋_GB2312"/>
                <w:b/>
                <w:bCs/>
                <w:color w:val="000000" w:themeColor="text1"/>
                <w:sz w:val="24"/>
                <w14:textFill>
                  <w14:solidFill>
                    <w14:schemeClr w14:val="tx1"/>
                  </w14:solidFill>
                </w14:textFill>
              </w:rPr>
              <w:t>三、民生福祉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1" w:hRule="atLeast"/>
          <w:jc w:val="center"/>
        </w:trPr>
        <w:tc>
          <w:tcPr>
            <w:tcW w:w="483" w:type="dxa"/>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14</w:t>
            </w:r>
          </w:p>
        </w:tc>
        <w:tc>
          <w:tcPr>
            <w:tcW w:w="4372" w:type="dxa"/>
            <w:gridSpan w:val="2"/>
            <w:vAlign w:val="center"/>
          </w:tcPr>
          <w:p>
            <w:pPr>
              <w:adjustRightInd w:val="0"/>
              <w:snapToGrid w:val="0"/>
              <w:ind w:right="-84" w:rightChars="-4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居民人均可支配收入（元）</w:t>
            </w:r>
          </w:p>
        </w:tc>
        <w:tc>
          <w:tcPr>
            <w:tcW w:w="1001" w:type="dxa"/>
            <w:vAlign w:val="center"/>
          </w:tcPr>
          <w:p>
            <w:pPr>
              <w:widowControl/>
              <w:jc w:val="center"/>
              <w:textAlignment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color w:val="000000" w:themeColor="text1"/>
                <w:kern w:val="0"/>
                <w:sz w:val="22"/>
                <w:szCs w:val="22"/>
                <w:lang w:bidi="ar"/>
                <w14:textFill>
                  <w14:solidFill>
                    <w14:schemeClr w14:val="tx1"/>
                  </w14:solidFill>
                </w14:textFill>
              </w:rPr>
              <w:t>21412</w:t>
            </w:r>
          </w:p>
        </w:tc>
        <w:tc>
          <w:tcPr>
            <w:tcW w:w="111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30031</w:t>
            </w:r>
          </w:p>
        </w:tc>
        <w:tc>
          <w:tcPr>
            <w:tcW w:w="134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7.0</w:t>
            </w:r>
          </w:p>
        </w:tc>
        <w:tc>
          <w:tcPr>
            <w:tcW w:w="1048"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预期性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jc w:val="center"/>
        </w:trPr>
        <w:tc>
          <w:tcPr>
            <w:tcW w:w="483" w:type="dxa"/>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p>
        </w:tc>
        <w:tc>
          <w:tcPr>
            <w:tcW w:w="4372" w:type="dxa"/>
            <w:gridSpan w:val="2"/>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城镇登记失业率（%）</w:t>
            </w:r>
          </w:p>
        </w:tc>
        <w:tc>
          <w:tcPr>
            <w:tcW w:w="100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≤4.5</w:t>
            </w:r>
          </w:p>
        </w:tc>
        <w:tc>
          <w:tcPr>
            <w:tcW w:w="111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≤4.5</w:t>
            </w:r>
          </w:p>
        </w:tc>
        <w:tc>
          <w:tcPr>
            <w:tcW w:w="134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w:t>
            </w:r>
          </w:p>
        </w:tc>
        <w:tc>
          <w:tcPr>
            <w:tcW w:w="1048"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预期性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jc w:val="center"/>
        </w:trPr>
        <w:tc>
          <w:tcPr>
            <w:tcW w:w="483" w:type="dxa"/>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15</w:t>
            </w:r>
          </w:p>
        </w:tc>
        <w:tc>
          <w:tcPr>
            <w:tcW w:w="4372" w:type="dxa"/>
            <w:gridSpan w:val="2"/>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城镇新增就业人数（万人）</w:t>
            </w:r>
          </w:p>
        </w:tc>
        <w:tc>
          <w:tcPr>
            <w:tcW w:w="100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0.14</w:t>
            </w:r>
          </w:p>
        </w:tc>
        <w:tc>
          <w:tcPr>
            <w:tcW w:w="111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0.25</w:t>
            </w:r>
          </w:p>
        </w:tc>
        <w:tc>
          <w:tcPr>
            <w:tcW w:w="134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10.0</w:t>
            </w:r>
          </w:p>
        </w:tc>
        <w:tc>
          <w:tcPr>
            <w:tcW w:w="1048"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预期性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jc w:val="center"/>
        </w:trPr>
        <w:tc>
          <w:tcPr>
            <w:tcW w:w="483" w:type="dxa"/>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16</w:t>
            </w:r>
          </w:p>
        </w:tc>
        <w:tc>
          <w:tcPr>
            <w:tcW w:w="4372" w:type="dxa"/>
            <w:gridSpan w:val="2"/>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劳动年龄人口平均受教育年限（年）</w:t>
            </w:r>
          </w:p>
        </w:tc>
        <w:tc>
          <w:tcPr>
            <w:tcW w:w="100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w:t>
            </w:r>
          </w:p>
        </w:tc>
        <w:tc>
          <w:tcPr>
            <w:tcW w:w="111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10</w:t>
            </w:r>
          </w:p>
        </w:tc>
        <w:tc>
          <w:tcPr>
            <w:tcW w:w="134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w:t>
            </w:r>
          </w:p>
        </w:tc>
        <w:tc>
          <w:tcPr>
            <w:tcW w:w="1048"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预期性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jc w:val="center"/>
        </w:trPr>
        <w:tc>
          <w:tcPr>
            <w:tcW w:w="483" w:type="dxa"/>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17</w:t>
            </w:r>
          </w:p>
        </w:tc>
        <w:tc>
          <w:tcPr>
            <w:tcW w:w="4372" w:type="dxa"/>
            <w:gridSpan w:val="2"/>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基本养老保险参保率（%）</w:t>
            </w:r>
          </w:p>
        </w:tc>
        <w:tc>
          <w:tcPr>
            <w:tcW w:w="100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92</w:t>
            </w:r>
          </w:p>
        </w:tc>
        <w:tc>
          <w:tcPr>
            <w:tcW w:w="111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≥95</w:t>
            </w:r>
          </w:p>
        </w:tc>
        <w:tc>
          <w:tcPr>
            <w:tcW w:w="134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w:t>
            </w:r>
          </w:p>
        </w:tc>
        <w:tc>
          <w:tcPr>
            <w:tcW w:w="1048"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预期性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jc w:val="center"/>
        </w:trPr>
        <w:tc>
          <w:tcPr>
            <w:tcW w:w="483" w:type="dxa"/>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18</w:t>
            </w:r>
          </w:p>
        </w:tc>
        <w:tc>
          <w:tcPr>
            <w:tcW w:w="4372" w:type="dxa"/>
            <w:gridSpan w:val="2"/>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人均预期寿命（岁）</w:t>
            </w:r>
          </w:p>
        </w:tc>
        <w:tc>
          <w:tcPr>
            <w:tcW w:w="100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79.35</w:t>
            </w:r>
          </w:p>
        </w:tc>
        <w:tc>
          <w:tcPr>
            <w:tcW w:w="111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79.5</w:t>
            </w:r>
          </w:p>
        </w:tc>
        <w:tc>
          <w:tcPr>
            <w:tcW w:w="134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[ 3 ]</w:t>
            </w:r>
          </w:p>
        </w:tc>
        <w:tc>
          <w:tcPr>
            <w:tcW w:w="1048"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预期性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jc w:val="center"/>
        </w:trPr>
        <w:tc>
          <w:tcPr>
            <w:tcW w:w="483" w:type="dxa"/>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19</w:t>
            </w:r>
          </w:p>
        </w:tc>
        <w:tc>
          <w:tcPr>
            <w:tcW w:w="4372" w:type="dxa"/>
            <w:gridSpan w:val="2"/>
            <w:vAlign w:val="center"/>
          </w:tcPr>
          <w:p>
            <w:pPr>
              <w:adjustRightInd w:val="0"/>
              <w:snapToGrid w:val="0"/>
              <w:ind w:right="-65" w:rightChars="-31"/>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每千常住人口执业（助理）医师数（人）</w:t>
            </w:r>
          </w:p>
        </w:tc>
        <w:tc>
          <w:tcPr>
            <w:tcW w:w="100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2.03</w:t>
            </w:r>
          </w:p>
        </w:tc>
        <w:tc>
          <w:tcPr>
            <w:tcW w:w="111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2.5</w:t>
            </w:r>
          </w:p>
        </w:tc>
        <w:tc>
          <w:tcPr>
            <w:tcW w:w="134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[ 9 ]</w:t>
            </w:r>
          </w:p>
        </w:tc>
        <w:tc>
          <w:tcPr>
            <w:tcW w:w="1048"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预期性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jc w:val="center"/>
        </w:trPr>
        <w:tc>
          <w:tcPr>
            <w:tcW w:w="483" w:type="dxa"/>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20</w:t>
            </w:r>
          </w:p>
        </w:tc>
        <w:tc>
          <w:tcPr>
            <w:tcW w:w="4372" w:type="dxa"/>
            <w:gridSpan w:val="2"/>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每千名老人养老床位数（张）</w:t>
            </w:r>
          </w:p>
        </w:tc>
        <w:tc>
          <w:tcPr>
            <w:tcW w:w="100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25</w:t>
            </w:r>
          </w:p>
        </w:tc>
        <w:tc>
          <w:tcPr>
            <w:tcW w:w="111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37.5</w:t>
            </w:r>
          </w:p>
        </w:tc>
        <w:tc>
          <w:tcPr>
            <w:tcW w:w="134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[ 12.5 ]</w:t>
            </w:r>
          </w:p>
        </w:tc>
        <w:tc>
          <w:tcPr>
            <w:tcW w:w="1048"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预期性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483" w:type="dxa"/>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21</w:t>
            </w:r>
          </w:p>
        </w:tc>
        <w:tc>
          <w:tcPr>
            <w:tcW w:w="4372" w:type="dxa"/>
            <w:gridSpan w:val="2"/>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每千人拥有3岁以下婴幼儿托位（个）</w:t>
            </w:r>
          </w:p>
        </w:tc>
        <w:tc>
          <w:tcPr>
            <w:tcW w:w="100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w:t>
            </w:r>
          </w:p>
        </w:tc>
        <w:tc>
          <w:tcPr>
            <w:tcW w:w="111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w:t>
            </w:r>
          </w:p>
        </w:tc>
        <w:tc>
          <w:tcPr>
            <w:tcW w:w="134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18"/>
                <w:szCs w:val="18"/>
                <w14:textFill>
                  <w14:solidFill>
                    <w14:schemeClr w14:val="tx1"/>
                  </w14:solidFill>
                </w14:textFill>
              </w:rPr>
              <w:t>完成桂林市 下达目标</w:t>
            </w:r>
          </w:p>
        </w:tc>
        <w:tc>
          <w:tcPr>
            <w:tcW w:w="1048"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预期性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483" w:type="dxa"/>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22</w:t>
            </w:r>
          </w:p>
        </w:tc>
        <w:tc>
          <w:tcPr>
            <w:tcW w:w="4372" w:type="dxa"/>
            <w:gridSpan w:val="2"/>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单位GDP能源消耗降低(%)</w:t>
            </w:r>
          </w:p>
        </w:tc>
        <w:tc>
          <w:tcPr>
            <w:tcW w:w="100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w:t>
            </w:r>
          </w:p>
        </w:tc>
        <w:tc>
          <w:tcPr>
            <w:tcW w:w="111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w:t>
            </w:r>
          </w:p>
        </w:tc>
        <w:tc>
          <w:tcPr>
            <w:tcW w:w="1341" w:type="dxa"/>
            <w:vAlign w:val="center"/>
          </w:tcPr>
          <w:p>
            <w:pPr>
              <w:adjustRightInd w:val="0"/>
              <w:snapToGrid w:val="0"/>
              <w:jc w:val="center"/>
              <w:rPr>
                <w:rFonts w:ascii="仿宋_GB2312" w:hAnsi="仿宋_GB2312" w:eastAsia="仿宋_GB2312" w:cs="仿宋_GB2312"/>
                <w:color w:val="000000" w:themeColor="text1"/>
                <w:sz w:val="18"/>
                <w:szCs w:val="18"/>
                <w14:textFill>
                  <w14:solidFill>
                    <w14:schemeClr w14:val="tx1"/>
                  </w14:solidFill>
                </w14:textFill>
              </w:rPr>
            </w:pPr>
            <w:r>
              <w:rPr>
                <w:rFonts w:hint="eastAsia" w:ascii="仿宋_GB2312" w:hAnsi="仿宋_GB2312" w:eastAsia="仿宋_GB2312" w:cs="仿宋_GB2312"/>
                <w:color w:val="000000" w:themeColor="text1"/>
                <w:sz w:val="18"/>
                <w:szCs w:val="18"/>
                <w14:textFill>
                  <w14:solidFill>
                    <w14:schemeClr w14:val="tx1"/>
                  </w14:solidFill>
                </w14:textFill>
              </w:rPr>
              <w:t>完成桂林市 下达目标</w:t>
            </w:r>
          </w:p>
        </w:tc>
        <w:tc>
          <w:tcPr>
            <w:tcW w:w="1048"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约束性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483" w:type="dxa"/>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23</w:t>
            </w:r>
          </w:p>
        </w:tc>
        <w:tc>
          <w:tcPr>
            <w:tcW w:w="4372" w:type="dxa"/>
            <w:gridSpan w:val="2"/>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单位GDP二氧化碳排放量降低(%)</w:t>
            </w:r>
          </w:p>
        </w:tc>
        <w:tc>
          <w:tcPr>
            <w:tcW w:w="100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w:t>
            </w:r>
          </w:p>
        </w:tc>
        <w:tc>
          <w:tcPr>
            <w:tcW w:w="111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w:t>
            </w:r>
          </w:p>
        </w:tc>
        <w:tc>
          <w:tcPr>
            <w:tcW w:w="1341" w:type="dxa"/>
            <w:vAlign w:val="center"/>
          </w:tcPr>
          <w:p>
            <w:pPr>
              <w:adjustRightInd w:val="0"/>
              <w:snapToGrid w:val="0"/>
              <w:jc w:val="center"/>
              <w:rPr>
                <w:rFonts w:ascii="仿宋_GB2312" w:hAnsi="仿宋_GB2312" w:eastAsia="仿宋_GB2312" w:cs="仿宋_GB2312"/>
                <w:color w:val="000000" w:themeColor="text1"/>
                <w:sz w:val="18"/>
                <w:szCs w:val="18"/>
                <w14:textFill>
                  <w14:solidFill>
                    <w14:schemeClr w14:val="tx1"/>
                  </w14:solidFill>
                </w14:textFill>
              </w:rPr>
            </w:pPr>
            <w:r>
              <w:rPr>
                <w:rFonts w:hint="eastAsia" w:ascii="仿宋_GB2312" w:hAnsi="仿宋_GB2312" w:eastAsia="仿宋_GB2312" w:cs="仿宋_GB2312"/>
                <w:color w:val="000000" w:themeColor="text1"/>
                <w:sz w:val="18"/>
                <w:szCs w:val="18"/>
                <w14:textFill>
                  <w14:solidFill>
                    <w14:schemeClr w14:val="tx1"/>
                  </w14:solidFill>
                </w14:textFill>
              </w:rPr>
              <w:t>完成桂林市 下达目标</w:t>
            </w:r>
          </w:p>
        </w:tc>
        <w:tc>
          <w:tcPr>
            <w:tcW w:w="1048"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约束性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jc w:val="center"/>
        </w:trPr>
        <w:tc>
          <w:tcPr>
            <w:tcW w:w="483" w:type="dxa"/>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24</w:t>
            </w:r>
          </w:p>
        </w:tc>
        <w:tc>
          <w:tcPr>
            <w:tcW w:w="728" w:type="dxa"/>
            <w:vMerge w:val="restart"/>
            <w:vAlign w:val="center"/>
          </w:tcPr>
          <w:p>
            <w:pPr>
              <w:adjustRightInd w:val="0"/>
              <w:snapToGrid w:val="0"/>
              <w:ind w:right="-57" w:rightChars="-27"/>
              <w:jc w:val="center"/>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森林发展</w:t>
            </w:r>
          </w:p>
        </w:tc>
        <w:tc>
          <w:tcPr>
            <w:tcW w:w="3644" w:type="dxa"/>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森林覆盖率（%）</w:t>
            </w:r>
          </w:p>
        </w:tc>
        <w:tc>
          <w:tcPr>
            <w:tcW w:w="1001" w:type="dxa"/>
            <w:vAlign w:val="center"/>
          </w:tcPr>
          <w:p>
            <w:pPr>
              <w:adjustRightInd w:val="0"/>
              <w:snapToGrid w:val="0"/>
              <w:jc w:val="center"/>
              <w:rPr>
                <w:rFonts w:ascii="仿宋_GB2312" w:hAnsi="仿宋_GB2312" w:eastAsia="仿宋_GB2312" w:cs="仿宋_GB2312"/>
                <w:bCs/>
                <w:color w:val="000000" w:themeColor="text1"/>
                <w:sz w:val="24"/>
                <w:highlight w:val="yellow"/>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81.76</w:t>
            </w:r>
          </w:p>
        </w:tc>
        <w:tc>
          <w:tcPr>
            <w:tcW w:w="1111" w:type="dxa"/>
            <w:vAlign w:val="center"/>
          </w:tcPr>
          <w:p>
            <w:pPr>
              <w:adjustRightInd w:val="0"/>
              <w:snapToGrid w:val="0"/>
              <w:jc w:val="center"/>
              <w:rPr>
                <w:rFonts w:ascii="仿宋_GB2312" w:hAnsi="仿宋_GB2312" w:eastAsia="仿宋_GB2312" w:cs="仿宋_GB2312"/>
                <w:bCs/>
                <w:color w:val="000000" w:themeColor="text1"/>
                <w:sz w:val="24"/>
                <w:highlight w:val="yellow"/>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82.0</w:t>
            </w:r>
          </w:p>
        </w:tc>
        <w:tc>
          <w:tcPr>
            <w:tcW w:w="134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w:t>
            </w:r>
          </w:p>
        </w:tc>
        <w:tc>
          <w:tcPr>
            <w:tcW w:w="1048" w:type="dxa"/>
            <w:vMerge w:val="restart"/>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约束性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jc w:val="center"/>
        </w:trPr>
        <w:tc>
          <w:tcPr>
            <w:tcW w:w="483" w:type="dxa"/>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25</w:t>
            </w:r>
          </w:p>
        </w:tc>
        <w:tc>
          <w:tcPr>
            <w:tcW w:w="728" w:type="dxa"/>
            <w:vMerge w:val="continue"/>
            <w:vAlign w:val="center"/>
          </w:tcPr>
          <w:p>
            <w:pPr>
              <w:adjustRightInd w:val="0"/>
              <w:snapToGrid w:val="0"/>
              <w:ind w:right="-57" w:rightChars="-27"/>
              <w:rPr>
                <w:rFonts w:ascii="仿宋_GB2312" w:hAnsi="仿宋_GB2312" w:eastAsia="仿宋_GB2312" w:cs="仿宋_GB2312"/>
                <w:color w:val="000000" w:themeColor="text1"/>
                <w:sz w:val="24"/>
                <w14:textFill>
                  <w14:solidFill>
                    <w14:schemeClr w14:val="tx1"/>
                  </w14:solidFill>
                </w14:textFill>
              </w:rPr>
            </w:pPr>
          </w:p>
        </w:tc>
        <w:tc>
          <w:tcPr>
            <w:tcW w:w="3644" w:type="dxa"/>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森林蓄积量（亿立方米）</w:t>
            </w:r>
          </w:p>
        </w:tc>
        <w:tc>
          <w:tcPr>
            <w:tcW w:w="100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0.19</w:t>
            </w:r>
          </w:p>
        </w:tc>
        <w:tc>
          <w:tcPr>
            <w:tcW w:w="111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0.20</w:t>
            </w:r>
          </w:p>
        </w:tc>
        <w:tc>
          <w:tcPr>
            <w:tcW w:w="134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w:t>
            </w:r>
          </w:p>
        </w:tc>
        <w:tc>
          <w:tcPr>
            <w:tcW w:w="1048" w:type="dxa"/>
            <w:vMerge w:val="continue"/>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483" w:type="dxa"/>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26</w:t>
            </w:r>
          </w:p>
        </w:tc>
        <w:tc>
          <w:tcPr>
            <w:tcW w:w="728" w:type="dxa"/>
            <w:vMerge w:val="restart"/>
            <w:vAlign w:val="center"/>
          </w:tcPr>
          <w:p>
            <w:pPr>
              <w:adjustRightInd w:val="0"/>
              <w:snapToGrid w:val="0"/>
              <w:ind w:right="-57" w:rightChars="-27"/>
              <w:jc w:val="center"/>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空气质量</w:t>
            </w:r>
          </w:p>
        </w:tc>
        <w:tc>
          <w:tcPr>
            <w:tcW w:w="3644" w:type="dxa"/>
            <w:vAlign w:val="center"/>
          </w:tcPr>
          <w:p>
            <w:pPr>
              <w:adjustRightInd w:val="0"/>
              <w:snapToGrid w:val="0"/>
              <w:ind w:right="-65" w:rightChars="-31"/>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城市空气质量优良天数比例（%）</w:t>
            </w:r>
          </w:p>
        </w:tc>
        <w:tc>
          <w:tcPr>
            <w:tcW w:w="100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98.1</w:t>
            </w:r>
          </w:p>
        </w:tc>
        <w:tc>
          <w:tcPr>
            <w:tcW w:w="111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w:t>
            </w:r>
          </w:p>
        </w:tc>
        <w:tc>
          <w:tcPr>
            <w:tcW w:w="1341" w:type="dxa"/>
            <w:vAlign w:val="center"/>
          </w:tcPr>
          <w:p>
            <w:pPr>
              <w:adjustRightInd w:val="0"/>
              <w:snapToGrid w:val="0"/>
              <w:jc w:val="center"/>
              <w:rPr>
                <w:rFonts w:ascii="仿宋_GB2312" w:hAnsi="仿宋_GB2312" w:eastAsia="仿宋_GB2312" w:cs="仿宋_GB2312"/>
                <w:color w:val="000000" w:themeColor="text1"/>
                <w:sz w:val="18"/>
                <w:szCs w:val="18"/>
                <w14:textFill>
                  <w14:solidFill>
                    <w14:schemeClr w14:val="tx1"/>
                  </w14:solidFill>
                </w14:textFill>
              </w:rPr>
            </w:pPr>
            <w:r>
              <w:rPr>
                <w:rFonts w:hint="eastAsia" w:ascii="仿宋_GB2312" w:hAnsi="仿宋_GB2312" w:eastAsia="仿宋_GB2312" w:cs="仿宋_GB2312"/>
                <w:color w:val="000000" w:themeColor="text1"/>
                <w:sz w:val="18"/>
                <w:szCs w:val="18"/>
                <w14:textFill>
                  <w14:solidFill>
                    <w14:schemeClr w14:val="tx1"/>
                  </w14:solidFill>
                </w14:textFill>
              </w:rPr>
              <w:t>完成桂林市 下达目标</w:t>
            </w:r>
          </w:p>
        </w:tc>
        <w:tc>
          <w:tcPr>
            <w:tcW w:w="1048" w:type="dxa"/>
            <w:vMerge w:val="restart"/>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约束性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483" w:type="dxa"/>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27</w:t>
            </w:r>
          </w:p>
        </w:tc>
        <w:tc>
          <w:tcPr>
            <w:tcW w:w="728" w:type="dxa"/>
            <w:vMerge w:val="continue"/>
            <w:vAlign w:val="center"/>
          </w:tcPr>
          <w:p>
            <w:pPr>
              <w:adjustRightInd w:val="0"/>
              <w:snapToGrid w:val="0"/>
              <w:ind w:right="-57" w:rightChars="-27"/>
              <w:rPr>
                <w:rFonts w:ascii="仿宋_GB2312" w:hAnsi="仿宋_GB2312" w:eastAsia="仿宋_GB2312" w:cs="仿宋_GB2312"/>
                <w:color w:val="000000" w:themeColor="text1"/>
                <w:sz w:val="24"/>
                <w14:textFill>
                  <w14:solidFill>
                    <w14:schemeClr w14:val="tx1"/>
                  </w14:solidFill>
                </w14:textFill>
              </w:rPr>
            </w:pPr>
          </w:p>
        </w:tc>
        <w:tc>
          <w:tcPr>
            <w:tcW w:w="3644" w:type="dxa"/>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PM2.5浓度下降（%）</w:t>
            </w:r>
          </w:p>
        </w:tc>
        <w:tc>
          <w:tcPr>
            <w:tcW w:w="100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23</w:t>
            </w:r>
          </w:p>
        </w:tc>
        <w:tc>
          <w:tcPr>
            <w:tcW w:w="1111" w:type="dxa"/>
            <w:vAlign w:val="center"/>
          </w:tcPr>
          <w:p>
            <w:pPr>
              <w:adjustRightInd w:val="0"/>
              <w:snapToGrid w:val="0"/>
              <w:jc w:val="center"/>
              <w:rPr>
                <w:rFonts w:ascii="仿宋_GB2312" w:hAnsi="仿宋_GB2312" w:eastAsia="仿宋_GB2312" w:cs="仿宋_GB2312"/>
                <w:color w:val="000000" w:themeColor="text1"/>
                <w14:textFill>
                  <w14:solidFill>
                    <w14:schemeClr w14:val="tx1"/>
                  </w14:solidFill>
                </w14:textFill>
              </w:rPr>
            </w:pPr>
            <w:r>
              <w:rPr>
                <w:rFonts w:hint="eastAsia" w:ascii="仿宋_GB2312" w:hAnsi="仿宋_GB2312" w:eastAsia="仿宋_GB2312" w:cs="仿宋_GB2312"/>
                <w:color w:val="000000" w:themeColor="text1"/>
                <w14:textFill>
                  <w14:solidFill>
                    <w14:schemeClr w14:val="tx1"/>
                  </w14:solidFill>
                </w14:textFill>
              </w:rPr>
              <w:t>—</w:t>
            </w:r>
          </w:p>
        </w:tc>
        <w:tc>
          <w:tcPr>
            <w:tcW w:w="1341" w:type="dxa"/>
            <w:vAlign w:val="center"/>
          </w:tcPr>
          <w:p>
            <w:pPr>
              <w:adjustRightInd w:val="0"/>
              <w:snapToGrid w:val="0"/>
              <w:jc w:val="center"/>
              <w:rPr>
                <w:rFonts w:ascii="仿宋_GB2312" w:hAnsi="仿宋_GB2312" w:eastAsia="仿宋_GB2312" w:cs="仿宋_GB2312"/>
                <w:color w:val="000000" w:themeColor="text1"/>
                <w:sz w:val="18"/>
                <w:szCs w:val="18"/>
                <w14:textFill>
                  <w14:solidFill>
                    <w14:schemeClr w14:val="tx1"/>
                  </w14:solidFill>
                </w14:textFill>
              </w:rPr>
            </w:pPr>
            <w:r>
              <w:rPr>
                <w:rFonts w:hint="eastAsia" w:ascii="仿宋_GB2312" w:hAnsi="仿宋_GB2312" w:eastAsia="仿宋_GB2312" w:cs="仿宋_GB2312"/>
                <w:color w:val="000000" w:themeColor="text1"/>
                <w:sz w:val="18"/>
                <w:szCs w:val="18"/>
                <w14:textFill>
                  <w14:solidFill>
                    <w14:schemeClr w14:val="tx1"/>
                  </w14:solidFill>
                </w14:textFill>
              </w:rPr>
              <w:t>完成桂林市 下达目标</w:t>
            </w:r>
          </w:p>
        </w:tc>
        <w:tc>
          <w:tcPr>
            <w:tcW w:w="1048" w:type="dxa"/>
            <w:vMerge w:val="continue"/>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jc w:val="center"/>
        </w:trPr>
        <w:tc>
          <w:tcPr>
            <w:tcW w:w="483" w:type="dxa"/>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28</w:t>
            </w:r>
          </w:p>
        </w:tc>
        <w:tc>
          <w:tcPr>
            <w:tcW w:w="4372" w:type="dxa"/>
            <w:gridSpan w:val="2"/>
            <w:vAlign w:val="center"/>
          </w:tcPr>
          <w:p>
            <w:pPr>
              <w:adjustRightInd w:val="0"/>
              <w:snapToGrid w:val="0"/>
              <w:ind w:right="-57" w:rightChars="-27"/>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地表水质量达到或好于III类水体比例（%）</w:t>
            </w:r>
          </w:p>
        </w:tc>
        <w:tc>
          <w:tcPr>
            <w:tcW w:w="100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100</w:t>
            </w:r>
          </w:p>
        </w:tc>
        <w:tc>
          <w:tcPr>
            <w:tcW w:w="111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100</w:t>
            </w:r>
          </w:p>
        </w:tc>
        <w:tc>
          <w:tcPr>
            <w:tcW w:w="134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w:t>
            </w:r>
          </w:p>
        </w:tc>
        <w:tc>
          <w:tcPr>
            <w:tcW w:w="1048"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约束性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483" w:type="dxa"/>
            <w:vAlign w:val="center"/>
          </w:tcPr>
          <w:p>
            <w:pPr>
              <w:adjustRightInd w:val="0"/>
              <w:snapToGrid w:val="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29</w:t>
            </w:r>
          </w:p>
        </w:tc>
        <w:tc>
          <w:tcPr>
            <w:tcW w:w="728" w:type="dxa"/>
            <w:vAlign w:val="center"/>
          </w:tcPr>
          <w:p>
            <w:pPr>
              <w:adjustRightInd w:val="0"/>
              <w:snapToGrid w:val="0"/>
              <w:ind w:right="-57" w:rightChars="-27"/>
              <w:jc w:val="center"/>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安全保障</w:t>
            </w:r>
          </w:p>
        </w:tc>
        <w:tc>
          <w:tcPr>
            <w:tcW w:w="3644" w:type="dxa"/>
            <w:vAlign w:val="center"/>
          </w:tcPr>
          <w:p>
            <w:pPr>
              <w:adjustRightInd w:val="0"/>
              <w:snapToGrid w:val="0"/>
              <w:ind w:right="-65" w:rightChars="-31"/>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粮食综合生产能力（万吨）</w:t>
            </w:r>
          </w:p>
        </w:tc>
        <w:tc>
          <w:tcPr>
            <w:tcW w:w="100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6.2</w:t>
            </w:r>
          </w:p>
        </w:tc>
        <w:tc>
          <w:tcPr>
            <w:tcW w:w="111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≥6.2</w:t>
            </w:r>
          </w:p>
        </w:tc>
        <w:tc>
          <w:tcPr>
            <w:tcW w:w="1341"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w:t>
            </w:r>
          </w:p>
        </w:tc>
        <w:tc>
          <w:tcPr>
            <w:tcW w:w="1048" w:type="dxa"/>
            <w:vAlign w:val="center"/>
          </w:tcPr>
          <w:p>
            <w:pPr>
              <w:adjustRightInd w:val="0"/>
              <w:snapToGrid w:val="0"/>
              <w:jc w:val="center"/>
              <w:rPr>
                <w:rFonts w:ascii="仿宋_GB2312" w:hAnsi="仿宋_GB2312" w:eastAsia="仿宋_GB2312" w:cs="仿宋_GB2312"/>
                <w:bCs/>
                <w:color w:val="000000" w:themeColor="text1"/>
                <w:sz w:val="24"/>
                <w14:textFill>
                  <w14:solidFill>
                    <w14:schemeClr w14:val="tx1"/>
                  </w14:solidFill>
                </w14:textFill>
              </w:rPr>
            </w:pPr>
            <w:r>
              <w:rPr>
                <w:rFonts w:hint="eastAsia" w:ascii="仿宋_GB2312" w:hAnsi="仿宋_GB2312" w:eastAsia="仿宋_GB2312" w:cs="仿宋_GB2312"/>
                <w:bCs/>
                <w:color w:val="000000" w:themeColor="text1"/>
                <w:sz w:val="24"/>
                <w14:textFill>
                  <w14:solidFill>
                    <w14:schemeClr w14:val="tx1"/>
                  </w14:solidFill>
                </w14:textFill>
              </w:rPr>
              <w:t>约束性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56" w:type="dxa"/>
            <w:gridSpan w:val="7"/>
            <w:vAlign w:val="center"/>
          </w:tcPr>
          <w:p>
            <w:pPr>
              <w:adjustRightInd w:val="0"/>
              <w:snapToGrid w:val="0"/>
              <w:ind w:left="961" w:leftChars="228" w:hanging="482" w:hangingChars="200"/>
              <w:jc w:val="left"/>
              <w:rPr>
                <w:rFonts w:ascii="仿宋_GB2312" w:hAnsi="仿宋_GB2312" w:eastAsia="仿宋_GB2312" w:cs="仿宋_GB2312"/>
                <w:b/>
                <w:bCs/>
                <w:color w:val="000000" w:themeColor="text1"/>
                <w:sz w:val="24"/>
                <w14:textFill>
                  <w14:solidFill>
                    <w14:schemeClr w14:val="tx1"/>
                  </w14:solidFill>
                </w14:textFill>
              </w:rPr>
            </w:pPr>
            <w:r>
              <w:rPr>
                <w:rFonts w:hint="eastAsia" w:ascii="仿宋_GB2312" w:hAnsi="仿宋_GB2312" w:eastAsia="仿宋_GB2312" w:cs="仿宋_GB2312"/>
                <w:b/>
                <w:bCs/>
                <w:color w:val="000000" w:themeColor="text1"/>
                <w:sz w:val="24"/>
                <w14:textFill>
                  <w14:solidFill>
                    <w14:schemeClr w14:val="tx1"/>
                  </w14:solidFill>
                </w14:textFill>
              </w:rPr>
              <w:t>注：1.地区生产总值、人均地区生产总值、全员劳动生产率增速按不变价计算；    2.[ ]内为五年累计数。</w:t>
            </w:r>
          </w:p>
        </w:tc>
      </w:tr>
    </w:tbl>
    <w:p>
      <w:pPr>
        <w:pStyle w:val="41"/>
        <w:spacing w:before="0" w:beforeLines="0" w:line="240" w:lineRule="auto"/>
        <w:ind w:left="0" w:leftChars="0"/>
        <w:jc w:val="center"/>
        <w:rPr>
          <w:rFonts w:ascii="Times New Roman" w:hAnsi="Times New Roman" w:cs="黑体"/>
          <w:bCs w:val="0"/>
          <w:color w:val="000000" w:themeColor="text1"/>
          <w14:textFill>
            <w14:solidFill>
              <w14:schemeClr w14:val="tx1"/>
            </w14:solidFill>
          </w14:textFill>
        </w:rPr>
        <w:sectPr>
          <w:footnotePr>
            <w:numFmt w:val="decimalEnclosedCircleChinese"/>
          </w:footnotePr>
          <w:pgSz w:w="11906" w:h="16838"/>
          <w:pgMar w:top="1587" w:right="1304" w:bottom="1304" w:left="1588" w:header="851" w:footer="850" w:gutter="0"/>
          <w:cols w:space="0" w:num="1"/>
          <w:docGrid w:type="lines" w:linePitch="312" w:charSpace="0"/>
        </w:sectPr>
      </w:pPr>
    </w:p>
    <w:bookmarkEnd w:id="68"/>
    <w:bookmarkEnd w:id="69"/>
    <w:bookmarkEnd w:id="70"/>
    <w:bookmarkEnd w:id="71"/>
    <w:bookmarkEnd w:id="72"/>
    <w:p>
      <w:pPr>
        <w:pStyle w:val="41"/>
        <w:keepNext w:val="0"/>
        <w:keepLines w:val="0"/>
        <w:spacing w:before="0" w:beforeLines="0" w:line="640" w:lineRule="exact"/>
        <w:ind w:left="0" w:leftChars="0"/>
        <w:jc w:val="center"/>
        <w:outlineLvl w:val="0"/>
        <w:rPr>
          <w:rFonts w:ascii="Times New Roman" w:hAnsi="Times New Roman" w:eastAsia="方正小标宋_GBK" w:cs="黑体"/>
          <w:color w:val="000000" w:themeColor="text1"/>
          <w:sz w:val="44"/>
          <w:szCs w:val="44"/>
          <w14:textFill>
            <w14:solidFill>
              <w14:schemeClr w14:val="tx1"/>
            </w14:solidFill>
          </w14:textFill>
        </w:rPr>
      </w:pPr>
      <w:bookmarkStart w:id="73" w:name="_Toc61110776"/>
      <w:bookmarkStart w:id="74" w:name="_Toc20341"/>
      <w:bookmarkStart w:id="75" w:name="_Toc16260"/>
      <w:bookmarkStart w:id="76" w:name="_Toc52201149"/>
      <w:bookmarkStart w:id="77" w:name="_Toc27366"/>
      <w:bookmarkStart w:id="78" w:name="_Toc30330"/>
      <w:r>
        <w:rPr>
          <w:rFonts w:hint="eastAsia" w:ascii="Times New Roman" w:hAnsi="Times New Roman" w:eastAsia="方正小标宋_GBK" w:cs="黑体"/>
          <w:color w:val="000000" w:themeColor="text1"/>
          <w:sz w:val="44"/>
          <w:szCs w:val="44"/>
          <w14:textFill>
            <w14:solidFill>
              <w14:schemeClr w14:val="tx1"/>
            </w14:solidFill>
          </w14:textFill>
        </w:rPr>
        <w:t>第三篇   实施三大振兴，坚持两大战略，绘就         富裕和谐美丽龙胜新篇章</w:t>
      </w:r>
    </w:p>
    <w:p>
      <w:pPr>
        <w:pStyle w:val="41"/>
        <w:keepNext w:val="0"/>
        <w:keepLines w:val="0"/>
        <w:adjustRightInd/>
        <w:snapToGrid/>
        <w:spacing w:before="0" w:beforeLines="0" w:line="560" w:lineRule="exact"/>
        <w:ind w:left="0" w:leftChars="0"/>
        <w:jc w:val="center"/>
        <w:outlineLvl w:val="0"/>
        <w:rPr>
          <w:rFonts w:ascii="Times New Roman" w:hAnsi="Times New Roman" w:cs="黑体"/>
          <w:b/>
          <w:bCs w:val="0"/>
          <w:color w:val="000000" w:themeColor="text1"/>
          <w14:textFill>
            <w14:solidFill>
              <w14:schemeClr w14:val="tx1"/>
            </w14:solidFill>
          </w14:textFill>
        </w:rPr>
      </w:pPr>
    </w:p>
    <w:p>
      <w:pPr>
        <w:pStyle w:val="4"/>
        <w:keepNext w:val="0"/>
        <w:keepLines w:val="0"/>
        <w:spacing w:before="0" w:after="0" w:line="560" w:lineRule="exact"/>
        <w:jc w:val="center"/>
        <w:rPr>
          <w:rFonts w:ascii="Times New Roman" w:hAnsi="Times New Roman" w:eastAsia="黑体" w:cs="黑体"/>
          <w:b w:val="0"/>
          <w:color w:val="000000" w:themeColor="text1"/>
          <w14:textFill>
            <w14:solidFill>
              <w14:schemeClr w14:val="tx1"/>
            </w14:solidFill>
          </w14:textFill>
        </w:rPr>
      </w:pPr>
      <w:r>
        <w:rPr>
          <w:rFonts w:hint="eastAsia" w:ascii="Times New Roman" w:hAnsi="Times New Roman" w:eastAsia="黑体" w:cs="黑体"/>
          <w:b w:val="0"/>
          <w:color w:val="000000" w:themeColor="text1"/>
          <w14:textFill>
            <w14:solidFill>
              <w14:schemeClr w14:val="tx1"/>
            </w14:solidFill>
          </w14:textFill>
        </w:rPr>
        <w:t>第四章  着力工业振兴，确保规模企业提质增效</w:t>
      </w:r>
      <w:bookmarkEnd w:id="73"/>
    </w:p>
    <w:p>
      <w:pPr>
        <w:pStyle w:val="41"/>
        <w:keepNext w:val="0"/>
        <w:keepLines w:val="0"/>
        <w:adjustRightInd/>
        <w:snapToGrid/>
        <w:spacing w:before="0" w:beforeLines="0" w:line="560" w:lineRule="exact"/>
        <w:ind w:left="0" w:leftChars="0"/>
        <w:jc w:val="center"/>
        <w:outlineLvl w:val="0"/>
        <w:rPr>
          <w:rFonts w:ascii="Times New Roman" w:hAnsi="Times New Roman" w:cs="黑体"/>
          <w:b/>
          <w:bCs w:val="0"/>
          <w:color w:val="000000" w:themeColor="text1"/>
          <w14:textFill>
            <w14:solidFill>
              <w14:schemeClr w14:val="tx1"/>
            </w14:solidFill>
          </w14:textFill>
        </w:rPr>
      </w:pPr>
    </w:p>
    <w:bookmarkEnd w:id="74"/>
    <w:p>
      <w:pPr>
        <w:spacing w:line="560" w:lineRule="exact"/>
        <w:ind w:firstLine="640" w:firstLineChars="200"/>
        <w:rPr>
          <w:rFonts w:ascii="Times New Roman" w:hAnsi="Times New Roman" w:eastAsia="仿宋_GB2312"/>
          <w:color w:val="000000" w:themeColor="text1"/>
          <w:sz w:val="32"/>
          <w:szCs w:val="32"/>
          <w14:textFill>
            <w14:solidFill>
              <w14:schemeClr w14:val="tx1"/>
            </w14:solidFill>
          </w14:textFill>
        </w:rPr>
      </w:pPr>
      <w:bookmarkStart w:id="79" w:name="_Toc17570"/>
      <w:bookmarkStart w:id="80" w:name="_Toc43278103"/>
      <w:r>
        <w:rPr>
          <w:rFonts w:hint="eastAsia" w:ascii="Times New Roman" w:hAnsi="Times New Roman" w:eastAsia="仿宋_GB2312"/>
          <w:color w:val="000000" w:themeColor="text1"/>
          <w:sz w:val="32"/>
          <w:szCs w:val="32"/>
          <w14:textFill>
            <w14:solidFill>
              <w14:schemeClr w14:val="tx1"/>
            </w14:solidFill>
          </w14:textFill>
        </w:rPr>
        <w:t>把工业振兴放在优先地位，着力“强龙头、补链条、聚集群”，着力“抓创新、创品牌、拓市场”，以深度融合为发展主线，以提升产业链水平为战略重点，以扩大开放合作为根本出路，以科技创新为第一动力，以增强企业活力为改革重心，以绿色低碳发展为必然要求，推动工业总量扩张、结构优化和效益提升，围绕建设“特色工业产业带”“特色产业园区”，加大工业招商力度，注重新兴产业培育与传统产业改造升级，协同产业链、创业链、政策链并举，突出国有与民营经济并重，大力推进先进制造业建设，促进产业结构转型升级，完善现代工业特色产业体系，做大经济总量，推动我县工业高质量发展。到2025年，全县实现工业总产值突破30亿元。全县规模工业总产值年均增长12%以上；实现工业增加值达13.05亿元，工业增加值年均增长10%以上。</w:t>
      </w:r>
    </w:p>
    <w:bookmarkEnd w:id="75"/>
    <w:bookmarkEnd w:id="76"/>
    <w:bookmarkEnd w:id="77"/>
    <w:bookmarkEnd w:id="78"/>
    <w:bookmarkEnd w:id="79"/>
    <w:bookmarkEnd w:id="80"/>
    <w:p>
      <w:pPr>
        <w:pStyle w:val="4"/>
        <w:keepNext w:val="0"/>
        <w:keepLines w:val="0"/>
        <w:spacing w:before="0" w:after="0" w:line="560" w:lineRule="exact"/>
        <w:jc w:val="center"/>
        <w:rPr>
          <w:rFonts w:ascii="Times New Roman" w:hAnsi="Times New Roman" w:eastAsia="黑体" w:cs="黑体"/>
          <w:bCs w:val="0"/>
          <w:color w:val="000000" w:themeColor="text1"/>
          <w14:textFill>
            <w14:solidFill>
              <w14:schemeClr w14:val="tx1"/>
            </w14:solidFill>
          </w14:textFill>
        </w:rPr>
      </w:pPr>
      <w:bookmarkStart w:id="81" w:name="_Toc9923"/>
      <w:bookmarkStart w:id="82" w:name="_Toc3427"/>
      <w:bookmarkStart w:id="83" w:name="_Toc12561"/>
      <w:bookmarkStart w:id="84" w:name="_Toc21441"/>
      <w:bookmarkStart w:id="85" w:name="_Toc61110777"/>
      <w:bookmarkStart w:id="86" w:name="_Toc19469"/>
      <w:bookmarkStart w:id="87" w:name="_Hlk27428372"/>
      <w:bookmarkStart w:id="88" w:name="_Hlk27428087"/>
      <w:bookmarkStart w:id="89" w:name="_Toc26464"/>
      <w:bookmarkStart w:id="90" w:name="_Toc19142"/>
      <w:bookmarkStart w:id="91" w:name="_Toc2316"/>
      <w:bookmarkStart w:id="92" w:name="_Toc18400"/>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第一节  优化工业发展</w:t>
      </w:r>
      <w:bookmarkEnd w:id="81"/>
      <w:bookmarkEnd w:id="82"/>
      <w:bookmarkEnd w:id="83"/>
      <w:bookmarkEnd w:id="84"/>
      <w:r>
        <w:rPr>
          <w:rFonts w:hint="eastAsia" w:ascii="楷体_GB2312" w:hAnsi="楷体_GB2312" w:eastAsia="楷体_GB2312" w:cs="楷体_GB2312"/>
          <w:b w:val="0"/>
          <w:color w:val="000000" w:themeColor="text1"/>
          <w14:textFill>
            <w14:solidFill>
              <w14:schemeClr w14:val="tx1"/>
            </w14:solidFill>
          </w14:textFill>
        </w:rPr>
        <w:t>园区</w:t>
      </w:r>
      <w:bookmarkEnd w:id="85"/>
      <w:bookmarkEnd w:id="86"/>
    </w:p>
    <w:p>
      <w:pPr>
        <w:spacing w:line="560" w:lineRule="exact"/>
        <w:ind w:firstLine="640" w:firstLineChars="200"/>
        <w:rPr>
          <w:rFonts w:ascii="Times New Roman" w:hAnsi="Times New Roman" w:eastAsia="仿宋_GB2312" w:cs="仿宋_GB2312"/>
          <w:color w:val="000000" w:themeColor="text1"/>
          <w:kern w:val="0"/>
          <w:sz w:val="32"/>
          <w:szCs w:val="32"/>
          <w14:textFill>
            <w14:solidFill>
              <w14:schemeClr w14:val="tx1"/>
            </w14:solidFill>
          </w14:textFill>
        </w:rPr>
      </w:pPr>
    </w:p>
    <w:p>
      <w:pPr>
        <w:spacing w:line="560" w:lineRule="exact"/>
        <w:ind w:firstLine="640" w:firstLineChars="200"/>
        <w:rPr>
          <w:rFonts w:ascii="Times New Roman" w:hAnsi="Times New Roman" w:eastAsia="仿宋_GB2312" w:cs="仿宋_GB2312"/>
          <w:color w:val="000000" w:themeColor="text1"/>
          <w:sz w:val="32"/>
          <w:szCs w:val="32"/>
          <w14:textFill>
            <w14:solidFill>
              <w14:schemeClr w14:val="tx1"/>
            </w14:solidFill>
          </w14:textFill>
        </w:rPr>
      </w:pPr>
      <w:r>
        <w:rPr>
          <w:rFonts w:hint="eastAsia" w:ascii="Times New Roman" w:hAnsi="Times New Roman" w:eastAsia="仿宋_GB2312" w:cs="仿宋_GB2312"/>
          <w:color w:val="000000" w:themeColor="text1"/>
          <w:kern w:val="0"/>
          <w:sz w:val="32"/>
          <w:szCs w:val="32"/>
          <w14:textFill>
            <w14:solidFill>
              <w14:schemeClr w14:val="tx1"/>
            </w14:solidFill>
          </w14:textFill>
        </w:rPr>
        <w:t>在“多规合一”总体框架下，以市场为导向，以提高土地利用效率和提升产业竞争力为目标，立足现有产业发展基础和未来发展趋势，对原有布局进行有效整合，优化产业空间布局，完善园区设施配套，引导产业企业集聚集群发展，力争打造1—2个主导产业，实现产城融合发展。建强滑石特色加工产业园、鸡血玉加工产业园、拉麻扶贫产业园、马堤民合扶贫产业园、瓢里上塘扶贫产业园、瓢里小寨</w:t>
      </w:r>
      <w:r>
        <w:rPr>
          <w:rFonts w:hint="eastAsia" w:ascii="Times New Roman" w:hAnsi="Times New Roman" w:eastAsia="仿宋_GB2312"/>
          <w:color w:val="000000" w:themeColor="text1"/>
          <w:sz w:val="32"/>
          <w:szCs w:val="32"/>
          <w14:textFill>
            <w14:solidFill>
              <w14:schemeClr w14:val="tx1"/>
            </w14:solidFill>
          </w14:textFill>
        </w:rPr>
        <w:t>产业园、乐江镇磨坊湾产业园等园区，构建布局合理、多点支撑的工业发展新格局</w:t>
      </w:r>
      <w:bookmarkEnd w:id="87"/>
      <w:r>
        <w:rPr>
          <w:rFonts w:hint="eastAsia" w:ascii="Times New Roman" w:hAnsi="Times New Roman" w:eastAsia="仿宋_GB2312"/>
          <w:color w:val="000000" w:themeColor="text1"/>
          <w:sz w:val="32"/>
          <w:szCs w:val="32"/>
          <w14:textFill>
            <w14:solidFill>
              <w14:schemeClr w14:val="tx1"/>
            </w14:solidFill>
          </w14:textFill>
        </w:rPr>
        <w:t>。到2025年，特色产业园土地开发达到3000亩，工业投资规模50亿以上。抓好园区标准厂房、基础设施、综合服务配套设施等建设；抓住国内国际产业链重构的机遇，积极承接优质产业项目转移，承接以粤港澳大湾区等为重点的产业转移。参与“三企入桂”</w:t>
      </w:r>
      <w:r>
        <w:rPr>
          <w:rFonts w:hint="eastAsia" w:ascii="Times New Roman" w:hAnsi="Times New Roman" w:eastAsia="仿宋_GB2312"/>
          <w:color w:val="000000" w:themeColor="text1"/>
          <w:sz w:val="32"/>
          <w:szCs w:val="32"/>
          <w:vertAlign w:val="superscript"/>
          <w14:textFill>
            <w14:solidFill>
              <w14:schemeClr w14:val="tx1"/>
            </w14:solidFill>
          </w14:textFill>
        </w:rPr>
        <w:footnoteReference w:id="4"/>
      </w:r>
      <w:r>
        <w:rPr>
          <w:rFonts w:hint="eastAsia" w:ascii="Times New Roman" w:hAnsi="Times New Roman" w:eastAsia="仿宋_GB2312"/>
          <w:color w:val="000000" w:themeColor="text1"/>
          <w:sz w:val="32"/>
          <w:szCs w:val="32"/>
          <w14:textFill>
            <w14:solidFill>
              <w14:schemeClr w14:val="tx1"/>
            </w14:solidFill>
          </w14:textFill>
        </w:rPr>
        <w:t>活动，争取更多好企业、好项目落户龙胜，提升园区承载能力。</w:t>
      </w:r>
      <w:bookmarkStart w:id="93" w:name="baidusnap1"/>
      <w:bookmarkEnd w:id="93"/>
      <w:bookmarkStart w:id="94" w:name="_Toc1151"/>
      <w:bookmarkStart w:id="95" w:name="_Toc24643"/>
      <w:bookmarkStart w:id="96" w:name="_Toc5118"/>
      <w:bookmarkStart w:id="97" w:name="_Toc24206"/>
    </w:p>
    <w:bookmarkEnd w:id="88"/>
    <w:bookmarkEnd w:id="94"/>
    <w:bookmarkEnd w:id="95"/>
    <w:bookmarkEnd w:id="96"/>
    <w:bookmarkEnd w:id="97"/>
    <w:p>
      <w:pPr>
        <w:pStyle w:val="4"/>
        <w:keepNext w:val="0"/>
        <w:keepLines w:val="0"/>
        <w:spacing w:before="0" w:after="0" w:line="560" w:lineRule="exact"/>
        <w:jc w:val="center"/>
        <w:rPr>
          <w:rFonts w:ascii="Times New Roman" w:hAnsi="Times New Roman" w:eastAsia="黑体" w:cs="黑体"/>
          <w:bCs w:val="0"/>
          <w:color w:val="000000" w:themeColor="text1"/>
          <w14:textFill>
            <w14:solidFill>
              <w14:schemeClr w14:val="tx1"/>
            </w14:solidFill>
          </w14:textFill>
        </w:rPr>
      </w:pPr>
      <w:bookmarkStart w:id="98" w:name="_Toc25921"/>
      <w:bookmarkStart w:id="99" w:name="_Toc61110778"/>
      <w:bookmarkStart w:id="100" w:name="_Toc28527"/>
      <w:bookmarkStart w:id="101" w:name="_Toc8401"/>
      <w:bookmarkStart w:id="102" w:name="_Toc11404"/>
      <w:bookmarkStart w:id="103" w:name="_Toc29828"/>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第二节  实施特色产业项目</w:t>
      </w:r>
      <w:bookmarkEnd w:id="98"/>
      <w:bookmarkEnd w:id="99"/>
      <w:bookmarkEnd w:id="100"/>
      <w:bookmarkEnd w:id="101"/>
      <w:bookmarkEnd w:id="102"/>
      <w:bookmarkEnd w:id="103"/>
    </w:p>
    <w:p>
      <w:pPr>
        <w:spacing w:line="560" w:lineRule="exact"/>
        <w:ind w:firstLine="640" w:firstLineChars="200"/>
        <w:rPr>
          <w:rFonts w:ascii="Times New Roman" w:hAnsi="Times New Roman" w:eastAsia="仿宋_GB2312"/>
          <w:color w:val="000000" w:themeColor="text1"/>
          <w:sz w:val="32"/>
          <w:szCs w:val="32"/>
          <w14:textFill>
            <w14:solidFill>
              <w14:schemeClr w14:val="tx1"/>
            </w14:solidFill>
          </w14:textFill>
        </w:rPr>
      </w:pPr>
    </w:p>
    <w:p>
      <w:pPr>
        <w:spacing w:line="560" w:lineRule="exact"/>
        <w:ind w:firstLine="640" w:firstLineChars="200"/>
        <w:rPr>
          <w:rFonts w:ascii="Times New Roman" w:hAnsi="Times New Roman" w:eastAsia="仿宋_GB2312"/>
          <w:color w:val="000000" w:themeColor="text1"/>
          <w:sz w:val="32"/>
          <w:szCs w:val="32"/>
          <w14:textFill>
            <w14:solidFill>
              <w14:schemeClr w14:val="tx1"/>
            </w14:solidFill>
          </w14:textFill>
        </w:rPr>
      </w:pPr>
      <w:r>
        <w:rPr>
          <w:rFonts w:hint="eastAsia" w:ascii="Times New Roman" w:hAnsi="Times New Roman" w:eastAsia="仿宋_GB2312"/>
          <w:color w:val="000000" w:themeColor="text1"/>
          <w:sz w:val="32"/>
          <w:szCs w:val="32"/>
          <w14:textFill>
            <w14:solidFill>
              <w14:schemeClr w14:val="tx1"/>
            </w14:solidFill>
          </w14:textFill>
        </w:rPr>
        <w:t>统筹推进智能化改造、绿色制造推广、关键技术产业化、重大产业基地建设等项目，着力打造一批上规模特色产业集群，培育壮大滑石产业、鸡血玉产业、辉绿岩、花岗岩产业、饮用水产业、竹木加工业、风电产业、农产品加工产业，新培育亿元企业2家以上。</w:t>
      </w:r>
    </w:p>
    <w:p>
      <w:pPr>
        <w:spacing w:line="560" w:lineRule="exact"/>
        <w:ind w:firstLine="640" w:firstLineChars="200"/>
        <w:rPr>
          <w:rFonts w:ascii="Times New Roman" w:hAnsi="Times New Roman" w:eastAsia="仿宋_GB2312" w:cs="仿宋_GB2312"/>
          <w:color w:val="000000" w:themeColor="text1"/>
          <w:sz w:val="32"/>
          <w:szCs w:val="32"/>
          <w14:textFill>
            <w14:solidFill>
              <w14:schemeClr w14:val="tx1"/>
            </w14:solidFill>
          </w14:textFill>
        </w:rPr>
      </w:pPr>
      <w:r>
        <w:rPr>
          <w:rFonts w:hint="eastAsia" w:ascii="楷体_GB2312" w:hAnsi="Times New Roman" w:eastAsia="楷体_GB2312" w:cs="仿宋_GB2312"/>
          <w:bCs/>
          <w:color w:val="000000" w:themeColor="text1"/>
          <w:sz w:val="32"/>
          <w:szCs w:val="32"/>
          <w14:textFill>
            <w14:solidFill>
              <w14:schemeClr w14:val="tx1"/>
            </w14:solidFill>
          </w14:textFill>
        </w:rPr>
        <w:t>（一）滑石产业。</w:t>
      </w:r>
      <w:r>
        <w:rPr>
          <w:rFonts w:hint="eastAsia" w:ascii="Times New Roman" w:hAnsi="Times New Roman" w:eastAsia="仿宋_GB2312" w:cs="仿宋_GB2312"/>
          <w:color w:val="000000" w:themeColor="text1"/>
          <w:sz w:val="32"/>
          <w:szCs w:val="32"/>
          <w14:textFill>
            <w14:solidFill>
              <w14:schemeClr w14:val="tx1"/>
            </w14:solidFill>
          </w14:textFill>
        </w:rPr>
        <w:t>围绕高端滑石需求，以转型升级为主线、以科技创新为动力，促进矿山绿色化智能化发展。做优做强医药级、化妆品级滑石加工，大力发展滑石母料等以滑石为主要原料的精深加工。积极培育引进高端研发人才，建设自治区级工程研究中心、技术研发中心。推进龙头企业建设，加快产业用地、交通等要素配套完善，创造良好的产业发展环境。通过延伸产业链和提高产品附加值，加快构建高端滑石产业发展模式，将“世界滑石之都”打造成品种丰富、品质优良、技术领先、产业竞争力强的“高端滑石世界工厂”，滑石优势产业综合竞争力处于国内领先水平。到2025年，全县滑石产业总产值达20亿元以上。</w:t>
      </w:r>
    </w:p>
    <w:p>
      <w:pPr>
        <w:spacing w:line="560" w:lineRule="exact"/>
        <w:ind w:firstLine="640" w:firstLineChars="200"/>
        <w:rPr>
          <w:rFonts w:ascii="Times New Roman" w:hAnsi="Times New Roman" w:eastAsia="仿宋_GB2312" w:cs="仿宋_GB2312"/>
          <w:color w:val="000000" w:themeColor="text1"/>
          <w:sz w:val="32"/>
          <w:szCs w:val="32"/>
          <w14:textFill>
            <w14:solidFill>
              <w14:schemeClr w14:val="tx1"/>
            </w14:solidFill>
          </w14:textFill>
        </w:rPr>
      </w:pPr>
      <w:r>
        <w:rPr>
          <w:rFonts w:hint="eastAsia" w:ascii="楷体_GB2312" w:hAnsi="Times New Roman" w:eastAsia="楷体_GB2312" w:cs="仿宋_GB2312"/>
          <w:bCs/>
          <w:color w:val="000000" w:themeColor="text1"/>
          <w:sz w:val="32"/>
          <w:szCs w:val="32"/>
          <w14:textFill>
            <w14:solidFill>
              <w14:schemeClr w14:val="tx1"/>
            </w14:solidFill>
          </w14:textFill>
        </w:rPr>
        <w:t>（二）鸡血玉产业。</w:t>
      </w:r>
      <w:r>
        <w:rPr>
          <w:rFonts w:hint="eastAsia" w:ascii="Times New Roman" w:hAnsi="Times New Roman" w:eastAsia="仿宋_GB2312" w:cs="仿宋_GB2312"/>
          <w:color w:val="000000" w:themeColor="text1"/>
          <w:sz w:val="32"/>
          <w:szCs w:val="32"/>
          <w14:textFill>
            <w14:solidFill>
              <w14:schemeClr w14:val="tx1"/>
            </w14:solidFill>
          </w14:textFill>
        </w:rPr>
        <w:t>拓展鸡血玉产业链，培育龙头企业和商品市场，在龙胜镇双洞村或龙脊大道建立集精品区、地摊区、原石区、加工雕刻区、博物馆为一体的中心市场。借鉴外地开发新玉种的经验，培养一批玉石雕刻师，将鸡血玉加工成精美旅游产品，融合龙脊旅游宣传，打造具有龙胜特色的鸡血玉品牌效应。完善公盘交易市场体系，壮大赏玩、收藏、经营者的力量，打造5家以上具有一定规模的鸡血玉深加工企业。</w:t>
      </w:r>
    </w:p>
    <w:p>
      <w:pPr>
        <w:spacing w:line="560" w:lineRule="exact"/>
        <w:ind w:firstLine="640" w:firstLineChars="200"/>
        <w:rPr>
          <w:rFonts w:ascii="Times New Roman" w:hAnsi="Times New Roman" w:eastAsia="仿宋_GB2312"/>
          <w:color w:val="000000" w:themeColor="text1"/>
          <w:sz w:val="32"/>
          <w:szCs w:val="32"/>
          <w14:textFill>
            <w14:solidFill>
              <w14:schemeClr w14:val="tx1"/>
            </w14:solidFill>
          </w14:textFill>
        </w:rPr>
      </w:pPr>
      <w:r>
        <w:rPr>
          <w:rFonts w:hint="eastAsia" w:ascii="楷体_GB2312" w:hAnsi="Times New Roman" w:eastAsia="楷体_GB2312" w:cs="仿宋_GB2312"/>
          <w:bCs/>
          <w:color w:val="000000" w:themeColor="text1"/>
          <w:sz w:val="32"/>
          <w:szCs w:val="32"/>
          <w14:textFill>
            <w14:solidFill>
              <w14:schemeClr w14:val="tx1"/>
            </w14:solidFill>
          </w14:textFill>
        </w:rPr>
        <w:t>（三）辉绿岩、花岗岩产业。</w:t>
      </w:r>
      <w:r>
        <w:rPr>
          <w:rFonts w:hint="eastAsia" w:ascii="Times New Roman" w:hAnsi="Times New Roman" w:eastAsia="仿宋_GB2312" w:cs="仿宋_GB2312"/>
          <w:color w:val="000000" w:themeColor="text1"/>
          <w:sz w:val="32"/>
          <w:szCs w:val="32"/>
          <w14:textFill>
            <w14:solidFill>
              <w14:schemeClr w14:val="tx1"/>
            </w14:solidFill>
          </w14:textFill>
        </w:rPr>
        <w:t>龙胜县辉绿岩储量大、品质好，主要用作建筑、道路等工程原料，市场前景好。目前，全县有辉绿岩企业3家。到2025年，做好吊竹山石材有限公司、金车光明桥石</w:t>
      </w:r>
      <w:r>
        <w:rPr>
          <w:rFonts w:hint="eastAsia" w:ascii="仿宋_GB2312" w:hAnsi="仿宋_GB2312" w:eastAsia="仿宋_GB2312" w:cs="仿宋_GB2312"/>
          <w:color w:val="000000" w:themeColor="text1"/>
          <w:sz w:val="32"/>
          <w:szCs w:val="32"/>
          <w14:textFill>
            <w14:solidFill>
              <w14:schemeClr w14:val="tx1"/>
            </w14:solidFill>
          </w14:textFill>
        </w:rPr>
        <w:t>材有限公司、</w:t>
      </w:r>
      <w:r>
        <w:rPr>
          <w:rStyle w:val="27"/>
          <w:rFonts w:hint="eastAsia" w:ascii="仿宋_GB2312" w:hAnsi="仿宋_GB2312" w:eastAsia="仿宋_GB2312" w:cs="仿宋_GB2312"/>
          <w:i w:val="0"/>
          <w:color w:val="000000" w:themeColor="text1"/>
          <w:sz w:val="32"/>
          <w:szCs w:val="32"/>
          <w:shd w:val="clear" w:color="auto" w:fill="FFFFFF"/>
          <w14:textFill>
            <w14:solidFill>
              <w14:schemeClr w14:val="tx1"/>
            </w14:solidFill>
          </w14:textFill>
        </w:rPr>
        <w:t>鑫辉</w:t>
      </w:r>
      <w:r>
        <w:rPr>
          <w:rFonts w:hint="eastAsia" w:ascii="仿宋_GB2312" w:hAnsi="仿宋_GB2312" w:eastAsia="仿宋_GB2312" w:cs="仿宋_GB2312"/>
          <w:color w:val="000000" w:themeColor="text1"/>
          <w:sz w:val="32"/>
          <w:szCs w:val="32"/>
          <w:shd w:val="clear" w:color="auto" w:fill="FFFFFF"/>
          <w14:textFill>
            <w14:solidFill>
              <w14:schemeClr w14:val="tx1"/>
            </w14:solidFill>
          </w14:textFill>
        </w:rPr>
        <w:t>石业有限责任公司、</w:t>
      </w:r>
      <w:r>
        <w:rPr>
          <w:rFonts w:hint="eastAsia" w:ascii="仿宋_GB2312" w:hAnsi="仿宋_GB2312" w:eastAsia="仿宋_GB2312" w:cs="仿宋_GB2312"/>
          <w:color w:val="000000" w:themeColor="text1"/>
          <w:sz w:val="32"/>
          <w:szCs w:val="32"/>
          <w14:textFill>
            <w14:solidFill>
              <w14:schemeClr w14:val="tx1"/>
            </w14:solidFill>
          </w14:textFill>
        </w:rPr>
        <w:t>瓢里六才山片石场等技术改造，壮大乐江</w:t>
      </w:r>
      <w:r>
        <w:rPr>
          <w:rFonts w:hint="eastAsia" w:ascii="仿宋_GB2312" w:hAnsi="仿宋_GB2312" w:eastAsia="仿宋_GB2312" w:cs="仿宋_GB2312"/>
          <w:bCs/>
          <w:color w:val="000000" w:themeColor="text1"/>
          <w:sz w:val="32"/>
          <w:szCs w:val="32"/>
          <w14:textFill>
            <w14:solidFill>
              <w14:schemeClr w14:val="tx1"/>
            </w14:solidFill>
          </w14:textFill>
        </w:rPr>
        <w:t>辉绿岩、伟江花岗岩等</w:t>
      </w:r>
      <w:r>
        <w:rPr>
          <w:rFonts w:hint="eastAsia" w:ascii="Times New Roman" w:hAnsi="Times New Roman" w:eastAsia="仿宋_GB2312" w:cs="仿宋_GB2312"/>
          <w:color w:val="000000" w:themeColor="text1"/>
          <w:sz w:val="32"/>
          <w:szCs w:val="32"/>
          <w14:textFill>
            <w14:solidFill>
              <w14:schemeClr w14:val="tx1"/>
            </w14:solidFill>
          </w14:textFill>
        </w:rPr>
        <w:t>石材加工产业，重点培育吊竹山石材有限公司进入规模工业企业统计序列。</w:t>
      </w:r>
    </w:p>
    <w:p>
      <w:pPr>
        <w:spacing w:line="560" w:lineRule="exact"/>
        <w:ind w:firstLine="640" w:firstLineChars="200"/>
        <w:rPr>
          <w:rFonts w:ascii="Times New Roman" w:hAnsi="Times New Roman" w:eastAsia="仿宋_GB2312" w:cs="仿宋_GB2312"/>
          <w:bCs/>
          <w:color w:val="000000" w:themeColor="text1"/>
          <w:sz w:val="32"/>
          <w:szCs w:val="32"/>
          <w14:textFill>
            <w14:solidFill>
              <w14:schemeClr w14:val="tx1"/>
            </w14:solidFill>
          </w14:textFill>
        </w:rPr>
      </w:pPr>
      <w:r>
        <w:rPr>
          <w:rFonts w:hint="eastAsia" w:ascii="楷体_GB2312" w:hAnsi="Times New Roman" w:eastAsia="楷体_GB2312" w:cs="仿宋_GB2312"/>
          <w:bCs/>
          <w:color w:val="000000" w:themeColor="text1"/>
          <w:sz w:val="32"/>
          <w:szCs w:val="32"/>
          <w14:textFill>
            <w14:solidFill>
              <w14:schemeClr w14:val="tx1"/>
            </w14:solidFill>
          </w14:textFill>
        </w:rPr>
        <w:t>（四）饮用水产业。</w:t>
      </w:r>
      <w:r>
        <w:rPr>
          <w:rFonts w:hint="eastAsia" w:ascii="Times New Roman" w:hAnsi="Times New Roman" w:eastAsia="仿宋_GB2312" w:cs="仿宋_GB2312"/>
          <w:bCs/>
          <w:color w:val="000000" w:themeColor="text1"/>
          <w:sz w:val="32"/>
          <w:szCs w:val="32"/>
          <w14:textFill>
            <w14:solidFill>
              <w14:schemeClr w14:val="tx1"/>
            </w14:solidFill>
          </w14:textFill>
        </w:rPr>
        <w:t>龙胜境内有丰富的天然山泉水，泉水永流不息并无污染，具有含晒低钠、低矿化度及天然弱碱等特点，是优质养生山泉水。着力引进国内知名饮用水生产加工企业，培育2家饮用水企业进入规模工业企业统计序列，实现饮用水年销售额2亿元以上。</w:t>
      </w:r>
    </w:p>
    <w:p>
      <w:pPr>
        <w:spacing w:line="560" w:lineRule="exact"/>
        <w:ind w:firstLine="640" w:firstLineChars="200"/>
        <w:rPr>
          <w:rFonts w:ascii="Times New Roman" w:hAnsi="Times New Roman" w:eastAsia="仿宋_GB2312" w:cs="仿宋_GB2312"/>
          <w:color w:val="000000" w:themeColor="text1"/>
          <w:sz w:val="32"/>
          <w:szCs w:val="32"/>
          <w14:textFill>
            <w14:solidFill>
              <w14:schemeClr w14:val="tx1"/>
            </w14:solidFill>
          </w14:textFill>
        </w:rPr>
      </w:pPr>
      <w:r>
        <w:rPr>
          <w:rFonts w:hint="eastAsia" w:ascii="楷体_GB2312" w:hAnsi="Times New Roman" w:eastAsia="楷体_GB2312" w:cs="仿宋_GB2312"/>
          <w:bCs/>
          <w:color w:val="000000" w:themeColor="text1"/>
          <w:sz w:val="32"/>
          <w:szCs w:val="32"/>
          <w14:textFill>
            <w14:solidFill>
              <w14:schemeClr w14:val="tx1"/>
            </w14:solidFill>
          </w14:textFill>
        </w:rPr>
        <w:t>（五）竹木加工产业。</w:t>
      </w:r>
      <w:r>
        <w:rPr>
          <w:rFonts w:hint="eastAsia" w:ascii="Times New Roman" w:hAnsi="Times New Roman" w:eastAsia="仿宋_GB2312" w:cs="仿宋_GB2312"/>
          <w:color w:val="000000" w:themeColor="text1"/>
          <w:sz w:val="32"/>
          <w:szCs w:val="32"/>
          <w14:textFill>
            <w14:solidFill>
              <w14:schemeClr w14:val="tx1"/>
            </w14:solidFill>
          </w14:textFill>
        </w:rPr>
        <w:t>利用全县竹木资源丰富的优势，</w:t>
      </w:r>
      <w:bookmarkStart w:id="104" w:name="OLE_LINK22"/>
      <w:r>
        <w:rPr>
          <w:rFonts w:hint="eastAsia" w:ascii="Times New Roman" w:hAnsi="Times New Roman" w:eastAsia="仿宋_GB2312" w:cs="仿宋_GB2312"/>
          <w:color w:val="000000" w:themeColor="text1"/>
          <w:sz w:val="32"/>
          <w:szCs w:val="32"/>
          <w14:textFill>
            <w14:solidFill>
              <w14:schemeClr w14:val="tx1"/>
            </w14:solidFill>
          </w14:textFill>
        </w:rPr>
        <w:t>发展实木家具等高端消费品，开发实木板、实木复合板和竹制品、细木工板、指接板等竹木和多功能人造板产品。</w:t>
      </w:r>
      <w:bookmarkEnd w:id="104"/>
      <w:r>
        <w:rPr>
          <w:rFonts w:hint="eastAsia" w:ascii="Times New Roman" w:hAnsi="Times New Roman" w:eastAsia="仿宋_GB2312" w:cs="仿宋_GB2312"/>
          <w:color w:val="000000" w:themeColor="text1"/>
          <w:sz w:val="32"/>
          <w:szCs w:val="32"/>
          <w14:textFill>
            <w14:solidFill>
              <w14:schemeClr w14:val="tx1"/>
            </w14:solidFill>
          </w14:textFill>
        </w:rPr>
        <w:t>到2025年，在原有的基础上，再培育入库规模以上竹木加工企业2家，竹木加工产业总产值达1亿元以上。</w:t>
      </w:r>
    </w:p>
    <w:p>
      <w:pPr>
        <w:spacing w:line="560" w:lineRule="exact"/>
        <w:ind w:firstLine="640" w:firstLineChars="200"/>
        <w:rPr>
          <w:rFonts w:ascii="Times New Roman" w:hAnsi="Times New Roman" w:eastAsia="仿宋_GB2312"/>
          <w:color w:val="000000" w:themeColor="text1"/>
          <w:sz w:val="32"/>
          <w:szCs w:val="32"/>
          <w14:textFill>
            <w14:solidFill>
              <w14:schemeClr w14:val="tx1"/>
            </w14:solidFill>
          </w14:textFill>
        </w:rPr>
      </w:pPr>
      <w:r>
        <w:rPr>
          <w:rFonts w:hint="eastAsia" w:ascii="楷体_GB2312" w:hAnsi="Times New Roman" w:eastAsia="楷体_GB2312" w:cs="仿宋_GB2312"/>
          <w:bCs/>
          <w:color w:val="000000" w:themeColor="text1"/>
          <w:sz w:val="32"/>
          <w:szCs w:val="32"/>
          <w14:textFill>
            <w14:solidFill>
              <w14:schemeClr w14:val="tx1"/>
            </w14:solidFill>
          </w14:textFill>
        </w:rPr>
        <w:t>（六）绿色能源产业。</w:t>
      </w:r>
      <w:r>
        <w:rPr>
          <w:rFonts w:hint="eastAsia" w:ascii="Times New Roman" w:hAnsi="Times New Roman" w:eastAsia="仿宋_GB2312" w:cs="仿宋_GB2312"/>
          <w:color w:val="000000" w:themeColor="text1"/>
          <w:sz w:val="32"/>
          <w:szCs w:val="32"/>
          <w14:textFill>
            <w14:solidFill>
              <w14:schemeClr w14:val="tx1"/>
            </w14:solidFill>
          </w14:textFill>
        </w:rPr>
        <w:t>大力发展风电、水电等绿色能源，打造广西绿色能源产业基地。全力推进平等风电场、崇楼风电场、劳山风电场、花界山风电场等项目建设。在严守生态红线的前提下，合理开发利用产值达到规模以上的水力资源，并通过扩容增效和技术改造，提高原水电行业的效益和整体竞争实力。到2025年，全县绿色能源（风电、水电）产业总产值达4亿元以上。</w:t>
      </w:r>
    </w:p>
    <w:p>
      <w:pPr>
        <w:spacing w:line="560" w:lineRule="exact"/>
        <w:ind w:firstLine="640" w:firstLineChars="200"/>
        <w:rPr>
          <w:rFonts w:ascii="Times New Roman" w:hAnsi="Times New Roman" w:eastAsia="仿宋_GB2312"/>
          <w:color w:val="000000" w:themeColor="text1"/>
          <w:sz w:val="32"/>
          <w:szCs w:val="32"/>
          <w14:textFill>
            <w14:solidFill>
              <w14:schemeClr w14:val="tx1"/>
            </w14:solidFill>
          </w14:textFill>
        </w:rPr>
      </w:pPr>
      <w:r>
        <w:rPr>
          <w:rFonts w:hint="eastAsia" w:ascii="楷体_GB2312" w:hAnsi="Times New Roman" w:eastAsia="楷体_GB2312" w:cs="仿宋_GB2312"/>
          <w:bCs/>
          <w:color w:val="000000" w:themeColor="text1"/>
          <w:sz w:val="32"/>
          <w:szCs w:val="32"/>
          <w14:textFill>
            <w14:solidFill>
              <w14:schemeClr w14:val="tx1"/>
            </w14:solidFill>
          </w14:textFill>
        </w:rPr>
        <w:t>（七）生态食品产业。</w:t>
      </w:r>
      <w:r>
        <w:rPr>
          <w:rFonts w:hint="eastAsia" w:ascii="Times New Roman" w:hAnsi="Times New Roman" w:eastAsia="仿宋_GB2312" w:cs="仿宋_GB2312"/>
          <w:bCs/>
          <w:color w:val="000000" w:themeColor="text1"/>
          <w:sz w:val="32"/>
          <w:szCs w:val="32"/>
          <w14:textFill>
            <w14:solidFill>
              <w14:schemeClr w14:val="tx1"/>
            </w14:solidFill>
          </w14:textFill>
        </w:rPr>
        <w:t>突出“绿色食品”“有机食品”理念，利用资源优势，发展“拳头”优势产品，形成集聚效应，提升食品质量品牌。以罗汉果、龙脊辣椒、茶油、黑木耳、龙脊茶叶、皇金菊、龙胜红糯、龙脊大米等为依托，开发有机速食食品、旅游土特产品、大健康产品。扶持特色农产品企业的发展，培育具有龙胜特色农产品生态食品、老龄化大健康产品品牌。培育以茶油、茶叶等有机农产品为依托的“小、特、专、精”的新型电商快消品小微企业，引入国内知名食品生产加工企业，开发绿色食品和天然果汁类饮品，发展新型功能性食品和保健食品。到2025年，培育1家规模以上生态食品加工业。</w:t>
      </w:r>
    </w:p>
    <w:p>
      <w:pPr>
        <w:pStyle w:val="4"/>
        <w:keepNext w:val="0"/>
        <w:keepLines w:val="0"/>
        <w:spacing w:before="0" w:after="0" w:line="560" w:lineRule="exact"/>
        <w:jc w:val="center"/>
        <w:rPr>
          <w:rFonts w:ascii="Times New Roman" w:hAnsi="Times New Roman" w:eastAsia="黑体" w:cs="黑体"/>
          <w:bCs w:val="0"/>
          <w:color w:val="000000" w:themeColor="text1"/>
          <w14:textFill>
            <w14:solidFill>
              <w14:schemeClr w14:val="tx1"/>
            </w14:solidFill>
          </w14:textFill>
        </w:rPr>
      </w:pPr>
      <w:bookmarkStart w:id="105" w:name="_Toc21690"/>
      <w:bookmarkStart w:id="106" w:name="_Toc61110779"/>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第三节  壮大龙头骨干企业</w:t>
      </w:r>
      <w:bookmarkEnd w:id="105"/>
      <w:bookmarkEnd w:id="106"/>
    </w:p>
    <w:p>
      <w:pPr>
        <w:pStyle w:val="31"/>
        <w:autoSpaceDE/>
        <w:autoSpaceDN/>
        <w:adjustRightInd/>
        <w:spacing w:line="560" w:lineRule="exact"/>
        <w:jc w:val="both"/>
        <w:rPr>
          <w:rFonts w:ascii="Times New Roman" w:hAnsi="Times New Roman" w:eastAsia="仿宋_GB2312" w:cs="仿宋_GB2312"/>
          <w:color w:val="000000" w:themeColor="text1"/>
          <w:sz w:val="32"/>
          <w:szCs w:val="32"/>
          <w14:textFill>
            <w14:solidFill>
              <w14:schemeClr w14:val="tx1"/>
            </w14:solidFill>
          </w14:textFill>
        </w:rPr>
      </w:pPr>
    </w:p>
    <w:p>
      <w:pPr>
        <w:pStyle w:val="31"/>
        <w:autoSpaceDE/>
        <w:autoSpaceDN/>
        <w:adjustRightInd/>
        <w:spacing w:line="560" w:lineRule="exact"/>
        <w:ind w:firstLine="640" w:firstLineChars="200"/>
        <w:jc w:val="both"/>
        <w:rPr>
          <w:rFonts w:ascii="Times New Roman" w:hAnsi="Times New Roman" w:eastAsia="黑体" w:cs="黑体"/>
          <w:color w:val="000000" w:themeColor="text1"/>
          <w:sz w:val="32"/>
          <w:szCs w:val="32"/>
          <w14:textFill>
            <w14:solidFill>
              <w14:schemeClr w14:val="tx1"/>
            </w14:solidFill>
          </w14:textFill>
        </w:rPr>
      </w:pPr>
      <w:r>
        <w:rPr>
          <w:rFonts w:hint="eastAsia" w:ascii="Times New Roman" w:hAnsi="Times New Roman" w:eastAsia="仿宋_GB2312" w:cs="仿宋_GB2312"/>
          <w:color w:val="000000" w:themeColor="text1"/>
          <w:sz w:val="32"/>
          <w:szCs w:val="32"/>
          <w14:textFill>
            <w14:solidFill>
              <w14:schemeClr w14:val="tx1"/>
            </w14:solidFill>
          </w14:textFill>
        </w:rPr>
        <w:t>实施龙头企业培育计划，</w:t>
      </w:r>
      <w:r>
        <w:rPr>
          <w:rFonts w:hint="eastAsia" w:ascii="Times New Roman" w:hAnsi="Times New Roman" w:eastAsia="仿宋_GB2312" w:cs="仿宋_GB2312"/>
          <w:color w:val="000000" w:themeColor="text1"/>
          <w:sz w:val="32"/>
          <w:szCs w:val="32"/>
          <w:lang w:bidi="ar"/>
          <w14:textFill>
            <w14:solidFill>
              <w14:schemeClr w14:val="tx1"/>
            </w14:solidFill>
          </w14:textFill>
        </w:rPr>
        <w:t>依托滑石、风电、水电等资源优势，</w:t>
      </w:r>
      <w:r>
        <w:rPr>
          <w:rFonts w:hint="eastAsia" w:ascii="Times New Roman" w:hAnsi="Times New Roman" w:eastAsia="仿宋_GB2312" w:cs="仿宋_GB2312"/>
          <w:color w:val="000000" w:themeColor="text1"/>
          <w:sz w:val="32"/>
          <w:szCs w:val="32"/>
          <w14:textFill>
            <w14:solidFill>
              <w14:schemeClr w14:val="tx1"/>
            </w14:solidFill>
          </w14:textFill>
        </w:rPr>
        <w:t>重点培育桂广滑石开发有限公司、龙广滑石开发股份有限公司、龙胜华美滑石开发有限公司、大唐桂林新能源有限公司等一批龙头企业，支持完善产业链配套，通过完善服务机制、强化要素保障和政策支持，扩大规模，提高档次，力争在工业发展上实现新突破，推动企业成为区域性知名龙头企业或行业领军企业。</w:t>
      </w:r>
      <w:bookmarkStart w:id="107" w:name="_Toc61110780"/>
      <w:bookmarkStart w:id="108" w:name="_Toc9650"/>
    </w:p>
    <w:p>
      <w:pPr>
        <w:pStyle w:val="4"/>
        <w:keepNext w:val="0"/>
        <w:keepLines w:val="0"/>
        <w:spacing w:before="0" w:after="0" w:line="560" w:lineRule="exact"/>
        <w:jc w:val="center"/>
        <w:rPr>
          <w:rFonts w:ascii="Times New Roman" w:hAnsi="Times New Roman" w:eastAsia="黑体" w:cs="黑体"/>
          <w:b w:val="0"/>
          <w:color w:val="000000" w:themeColor="text1"/>
          <w14:textFill>
            <w14:solidFill>
              <w14:schemeClr w14:val="tx1"/>
            </w14:solidFill>
          </w14:textFill>
        </w:rPr>
      </w:pPr>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第四节  信息数字设施建设</w:t>
      </w:r>
      <w:bookmarkEnd w:id="107"/>
      <w:bookmarkEnd w:id="108"/>
    </w:p>
    <w:p>
      <w:pPr>
        <w:spacing w:line="560" w:lineRule="exact"/>
        <w:ind w:firstLine="640" w:firstLineChars="200"/>
        <w:rPr>
          <w:rFonts w:ascii="Times New Roman" w:hAnsi="Times New Roman" w:eastAsia="仿宋_GB2312" w:cs="仿宋_GB2312"/>
          <w:color w:val="000000" w:themeColor="text1"/>
          <w:sz w:val="32"/>
          <w:szCs w:val="32"/>
          <w14:textFill>
            <w14:solidFill>
              <w14:schemeClr w14:val="tx1"/>
            </w14:solidFill>
          </w14:textFill>
        </w:rPr>
      </w:pPr>
    </w:p>
    <w:p>
      <w:pPr>
        <w:spacing w:line="560" w:lineRule="exact"/>
        <w:ind w:firstLine="640" w:firstLineChars="200"/>
        <w:rPr>
          <w:rFonts w:ascii="Times New Roman" w:hAnsi="Times New Roman" w:eastAsia="仿宋_GB2312" w:cs="仿宋_GB2312"/>
          <w:color w:val="000000" w:themeColor="text1"/>
          <w:sz w:val="32"/>
          <w:szCs w:val="32"/>
          <w14:textFill>
            <w14:solidFill>
              <w14:schemeClr w14:val="tx1"/>
            </w14:solidFill>
          </w14:textFill>
        </w:rPr>
      </w:pPr>
      <w:r>
        <w:rPr>
          <w:rFonts w:hint="eastAsia" w:ascii="Times New Roman" w:hAnsi="Times New Roman" w:eastAsia="仿宋_GB2312" w:cs="仿宋_GB2312"/>
          <w:color w:val="000000" w:themeColor="text1"/>
          <w:sz w:val="32"/>
          <w:szCs w:val="32"/>
          <w14:textFill>
            <w14:solidFill>
              <w14:schemeClr w14:val="tx1"/>
            </w14:solidFill>
          </w14:textFill>
        </w:rPr>
        <w:t>推动信息基础设施与城市公共设施同步建设，促进全县信息管线、铁塔基站室内分布系统等基础设施资源的开放和共享，提升宽带用户接入速率和普及水平。发展数字经济，布局5G、物联网、北斗导航、语音图像识别等数字产业，开展5G网络组网及应用示范、融入“中国-东盟信息港”建设，促进大数据、人工智能、物联网等前沿信息技术与实体经济深度融合，推动产业数字化、数字产业化。保护各类数字化资产，营造有利于数字技术产业化的良好环境。到2025年,全县119个行政村庄实现5G网络全覆盖。</w:t>
      </w:r>
    </w:p>
    <w:p>
      <w:pPr>
        <w:pStyle w:val="4"/>
        <w:keepNext w:val="0"/>
        <w:keepLines w:val="0"/>
        <w:spacing w:before="0" w:after="0" w:line="560" w:lineRule="exact"/>
        <w:jc w:val="center"/>
        <w:rPr>
          <w:rFonts w:ascii="Times New Roman" w:hAnsi="Times New Roman" w:eastAsia="黑体" w:cs="黑体"/>
          <w:bCs w:val="0"/>
          <w:color w:val="000000" w:themeColor="text1"/>
          <w14:textFill>
            <w14:solidFill>
              <w14:schemeClr w14:val="tx1"/>
            </w14:solidFill>
          </w14:textFill>
        </w:rPr>
      </w:pPr>
      <w:bookmarkStart w:id="109" w:name="_Toc61110781"/>
      <w:bookmarkStart w:id="110" w:name="_Toc8877"/>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第五节  要素和机制保障</w:t>
      </w:r>
      <w:bookmarkEnd w:id="109"/>
      <w:bookmarkEnd w:id="110"/>
    </w:p>
    <w:p>
      <w:pPr>
        <w:spacing w:line="560" w:lineRule="exact"/>
        <w:ind w:firstLine="640" w:firstLineChars="200"/>
        <w:jc w:val="left"/>
        <w:rPr>
          <w:rFonts w:ascii="Times New Roman" w:hAnsi="Times New Roman" w:eastAsia="仿宋_GB2312" w:cs="仿宋_GB2312"/>
          <w:color w:val="000000" w:themeColor="text1"/>
          <w:sz w:val="32"/>
          <w:szCs w:val="32"/>
          <w14:textFill>
            <w14:solidFill>
              <w14:schemeClr w14:val="tx1"/>
            </w14:solidFill>
          </w14:textFill>
        </w:rPr>
      </w:pPr>
    </w:p>
    <w:p>
      <w:pPr>
        <w:spacing w:line="560" w:lineRule="exact"/>
        <w:ind w:firstLine="640" w:firstLineChars="200"/>
        <w:jc w:val="left"/>
        <w:rPr>
          <w:rFonts w:ascii="Times New Roman" w:hAnsi="Times New Roman" w:eastAsia="仿宋_GB2312" w:cs="仿宋_GB2312"/>
          <w:color w:val="000000" w:themeColor="text1"/>
          <w:sz w:val="32"/>
          <w:szCs w:val="32"/>
          <w14:textFill>
            <w14:solidFill>
              <w14:schemeClr w14:val="tx1"/>
            </w14:solidFill>
          </w14:textFill>
        </w:rPr>
      </w:pPr>
      <w:r>
        <w:rPr>
          <w:rFonts w:hint="eastAsia" w:ascii="Times New Roman" w:hAnsi="Times New Roman" w:eastAsia="仿宋_GB2312" w:cs="仿宋_GB2312"/>
          <w:color w:val="000000" w:themeColor="text1"/>
          <w:sz w:val="32"/>
          <w:szCs w:val="32"/>
          <w14:textFill>
            <w14:solidFill>
              <w14:schemeClr w14:val="tx1"/>
            </w14:solidFill>
          </w14:textFill>
        </w:rPr>
        <w:t>确保关键要素资源向工业倾斜。</w:t>
      </w:r>
      <w:r>
        <w:rPr>
          <w:rFonts w:hint="eastAsia" w:ascii="Times New Roman" w:hAnsi="Times New Roman" w:eastAsia="仿宋_GB2312"/>
          <w:color w:val="000000" w:themeColor="text1"/>
          <w:sz w:val="32"/>
          <w:szCs w:val="32"/>
          <w14:textFill>
            <w14:solidFill>
              <w14:schemeClr w14:val="tx1"/>
            </w14:solidFill>
          </w14:textFill>
        </w:rPr>
        <w:t>做好土地储备，</w:t>
      </w:r>
      <w:r>
        <w:rPr>
          <w:rFonts w:hint="eastAsia" w:ascii="Times New Roman" w:hAnsi="Times New Roman" w:eastAsia="仿宋_GB2312" w:cs="仿宋_GB2312"/>
          <w:color w:val="000000" w:themeColor="text1"/>
          <w:sz w:val="32"/>
          <w:szCs w:val="32"/>
          <w14:textFill>
            <w14:solidFill>
              <w14:schemeClr w14:val="tx1"/>
            </w14:solidFill>
          </w14:textFill>
        </w:rPr>
        <w:t>充分利用龙城高速公路临时用地和沿线的矿产（石材）资源，调整土地利用规划和矿产资源规划，做好土地储备用地的规划和利用工作，为龙胜县今后的经济可持续发展储蓄后备资源。同时，要像保护基本农田一样保护工业发展空间，新增建设用地指标优先保障工业用地需求，探索实施多元工业用地供给方式；加大财政资金对工业支持力度，建立县级工业投融资平台，推动工业发展专项资金、产业投资基金、融资担保资金、直接股权投资向重点企业和项目集中；降低工业企业水、电、气、交通、通信等成本。</w:t>
      </w:r>
    </w:p>
    <w:p>
      <w:pPr>
        <w:pStyle w:val="2"/>
        <w:spacing w:before="156" w:beforeLines="50" w:after="156" w:afterLines="50"/>
        <w:ind w:left="0" w:leftChars="0"/>
        <w:jc w:val="center"/>
      </w:pPr>
      <w:r>
        <w:rPr>
          <w:rFonts w:hint="eastAsia" w:ascii="Times New Roman" w:hAnsi="Times New Roman" w:eastAsia="仿宋"/>
          <w:b/>
          <w:color w:val="000000" w:themeColor="text1"/>
          <w:sz w:val="28"/>
          <w:szCs w:val="28"/>
          <w14:textFill>
            <w14:solidFill>
              <w14:schemeClr w14:val="tx1"/>
            </w14:solidFill>
          </w14:textFill>
        </w:rPr>
        <w:t>专栏1     工业产业重大项目工程</w:t>
      </w:r>
    </w:p>
    <w:tbl>
      <w:tblPr>
        <w:tblStyle w:val="22"/>
        <w:tblW w:w="878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8" w:hRule="atLeast"/>
          <w:jc w:val="center"/>
        </w:trPr>
        <w:tc>
          <w:tcPr>
            <w:tcW w:w="9071" w:type="dxa"/>
          </w:tcPr>
          <w:p>
            <w:pPr>
              <w:adjustRightInd w:val="0"/>
              <w:snapToGrid w:val="0"/>
              <w:spacing w:line="276" w:lineRule="auto"/>
              <w:rPr>
                <w:rFonts w:ascii="Times New Roman" w:hAnsi="Times New Roman" w:eastAsia="仿宋_GB2312" w:cs="仿宋"/>
                <w:color w:val="000000" w:themeColor="text1"/>
                <w:sz w:val="24"/>
                <w14:textFill>
                  <w14:solidFill>
                    <w14:schemeClr w14:val="tx1"/>
                  </w14:solidFill>
                </w14:textFill>
              </w:rPr>
            </w:pPr>
            <w:r>
              <w:rPr>
                <w:rFonts w:hint="eastAsia" w:ascii="Times New Roman" w:hAnsi="Times New Roman" w:eastAsia="仿宋" w:cs="仿宋"/>
                <w:b/>
                <w:bCs/>
                <w:color w:val="000000" w:themeColor="text1"/>
                <w:sz w:val="24"/>
                <w14:textFill>
                  <w14:solidFill>
                    <w14:schemeClr w14:val="tx1"/>
                  </w14:solidFill>
                </w14:textFill>
              </w:rPr>
              <w:t>1.滑石矿山技改项目：</w:t>
            </w:r>
            <w:r>
              <w:rPr>
                <w:rFonts w:hint="eastAsia" w:ascii="Times New Roman" w:hAnsi="Times New Roman" w:eastAsia="仿宋" w:cs="仿宋"/>
                <w:color w:val="000000" w:themeColor="text1"/>
                <w:sz w:val="24"/>
                <w14:textFill>
                  <w14:solidFill>
                    <w14:schemeClr w14:val="tx1"/>
                  </w14:solidFill>
                </w14:textFill>
              </w:rPr>
              <w:t>桂广滑石开发有限公司二期技改项目、龙广滑石股份有限公司技改项目、华美滑石开发有限公司上朗矿区露天开采二期技改项目、瓢里镇滑石工业集中区老基地改造项目、龙胜鑫辉石业有限责任公司技改项目。</w:t>
            </w:r>
          </w:p>
          <w:p>
            <w:pPr>
              <w:adjustRightInd w:val="0"/>
              <w:snapToGrid w:val="0"/>
              <w:spacing w:line="276" w:lineRule="auto"/>
              <w:rPr>
                <w:rFonts w:ascii="Times New Roman" w:hAnsi="Times New Roman" w:eastAsia="仿宋" w:cs="仿宋"/>
                <w:color w:val="000000" w:themeColor="text1"/>
                <w:sz w:val="24"/>
                <w14:textFill>
                  <w14:solidFill>
                    <w14:schemeClr w14:val="tx1"/>
                  </w14:solidFill>
                </w14:textFill>
              </w:rPr>
            </w:pPr>
            <w:r>
              <w:rPr>
                <w:rFonts w:hint="eastAsia" w:ascii="Times New Roman" w:hAnsi="Times New Roman" w:eastAsia="仿宋" w:cs="仿宋"/>
                <w:b/>
                <w:bCs/>
                <w:color w:val="000000" w:themeColor="text1"/>
                <w:sz w:val="24"/>
                <w14:textFill>
                  <w14:solidFill>
                    <w14:schemeClr w14:val="tx1"/>
                  </w14:solidFill>
                </w14:textFill>
              </w:rPr>
              <w:t>2.产业园建设项目：</w:t>
            </w:r>
            <w:r>
              <w:rPr>
                <w:rFonts w:hint="eastAsia" w:ascii="Times New Roman" w:hAnsi="Times New Roman" w:eastAsia="仿宋" w:cs="仿宋"/>
                <w:color w:val="000000" w:themeColor="text1"/>
                <w:sz w:val="24"/>
                <w14:textFill>
                  <w14:solidFill>
                    <w14:schemeClr w14:val="tx1"/>
                  </w14:solidFill>
                </w14:textFill>
              </w:rPr>
              <w:t>龙胜县滑石深加工产业园、龙胜县拉麻扶贫产业园项目、龙胜县乐江镇磨坊湾园区项目、龙胜县鸡血玉加工及鸡血玉博物馆项目、龙胜县上塘扶贫产业园项目、龙胜县瓢里人造大理石产业园项目。</w:t>
            </w:r>
          </w:p>
          <w:p>
            <w:pPr>
              <w:adjustRightInd w:val="0"/>
              <w:snapToGrid w:val="0"/>
              <w:spacing w:line="276" w:lineRule="auto"/>
              <w:rPr>
                <w:rFonts w:ascii="Times New Roman" w:hAnsi="Times New Roman" w:eastAsia="仿宋" w:cs="仿宋"/>
                <w:color w:val="000000" w:themeColor="text1"/>
                <w:sz w:val="24"/>
                <w14:textFill>
                  <w14:solidFill>
                    <w14:schemeClr w14:val="tx1"/>
                  </w14:solidFill>
                </w14:textFill>
              </w:rPr>
            </w:pPr>
            <w:r>
              <w:rPr>
                <w:rFonts w:hint="eastAsia" w:ascii="Times New Roman" w:hAnsi="Times New Roman" w:eastAsia="仿宋" w:cs="仿宋"/>
                <w:b/>
                <w:bCs/>
                <w:color w:val="000000" w:themeColor="text1"/>
                <w:sz w:val="24"/>
                <w14:textFill>
                  <w14:solidFill>
                    <w14:schemeClr w14:val="tx1"/>
                  </w14:solidFill>
                </w14:textFill>
              </w:rPr>
              <w:t>3.农产品精深加工产业项目：</w:t>
            </w:r>
            <w:r>
              <w:rPr>
                <w:rFonts w:hint="eastAsia" w:ascii="Times New Roman" w:hAnsi="Times New Roman" w:eastAsia="仿宋" w:cs="仿宋"/>
                <w:color w:val="000000" w:themeColor="text1"/>
                <w:sz w:val="24"/>
                <w14:textFill>
                  <w14:solidFill>
                    <w14:schemeClr w14:val="tx1"/>
                  </w14:solidFill>
                </w14:textFill>
              </w:rPr>
              <w:t>龙胜县农产品加工贮藏项目、龙胜县伟江乡有机农产品加工产业园、龙胜县瓢里上塘罗汉果深加工项目。</w:t>
            </w:r>
          </w:p>
          <w:p>
            <w:pPr>
              <w:adjustRightInd w:val="0"/>
              <w:snapToGrid w:val="0"/>
              <w:spacing w:line="276" w:lineRule="auto"/>
              <w:rPr>
                <w:rFonts w:ascii="Times New Roman" w:hAnsi="Times New Roman" w:eastAsia="仿宋" w:cs="仿宋"/>
                <w:color w:val="000000" w:themeColor="text1"/>
                <w:sz w:val="24"/>
                <w14:textFill>
                  <w14:solidFill>
                    <w14:schemeClr w14:val="tx1"/>
                  </w14:solidFill>
                </w14:textFill>
              </w:rPr>
            </w:pPr>
            <w:r>
              <w:rPr>
                <w:rFonts w:hint="eastAsia" w:ascii="Times New Roman" w:hAnsi="Times New Roman" w:eastAsia="仿宋" w:cs="仿宋"/>
                <w:b/>
                <w:bCs/>
                <w:color w:val="000000" w:themeColor="text1"/>
                <w:sz w:val="24"/>
                <w14:textFill>
                  <w14:solidFill>
                    <w14:schemeClr w14:val="tx1"/>
                  </w14:solidFill>
                </w14:textFill>
              </w:rPr>
              <w:t>4.矿泉水项目</w:t>
            </w:r>
            <w:r>
              <w:rPr>
                <w:rFonts w:hint="eastAsia" w:ascii="Times New Roman" w:hAnsi="Times New Roman" w:eastAsia="仿宋" w:cs="仿宋"/>
                <w:color w:val="000000" w:themeColor="text1"/>
                <w:sz w:val="24"/>
                <w14:textFill>
                  <w14:solidFill>
                    <w14:schemeClr w14:val="tx1"/>
                  </w14:solidFill>
                </w14:textFill>
              </w:rPr>
              <w:t>：龙胜县九九天霖甘泉水业生态旅游基地、那秀矿泉水扩建项目。</w:t>
            </w:r>
          </w:p>
          <w:p>
            <w:pPr>
              <w:adjustRightInd w:val="0"/>
              <w:snapToGrid w:val="0"/>
              <w:spacing w:line="276" w:lineRule="auto"/>
              <w:rPr>
                <w:rFonts w:ascii="Times New Roman" w:hAnsi="Times New Roman" w:eastAsia="仿宋" w:cs="仿宋"/>
                <w:color w:val="000000" w:themeColor="text1"/>
                <w:sz w:val="24"/>
                <w14:textFill>
                  <w14:solidFill>
                    <w14:schemeClr w14:val="tx1"/>
                  </w14:solidFill>
                </w14:textFill>
              </w:rPr>
            </w:pPr>
            <w:r>
              <w:rPr>
                <w:rFonts w:hint="eastAsia" w:ascii="Times New Roman" w:hAnsi="Times New Roman" w:eastAsia="仿宋" w:cs="仿宋"/>
                <w:b/>
                <w:bCs/>
                <w:color w:val="000000" w:themeColor="text1"/>
                <w:sz w:val="24"/>
                <w14:textFill>
                  <w14:solidFill>
                    <w14:schemeClr w14:val="tx1"/>
                  </w14:solidFill>
                </w14:textFill>
              </w:rPr>
              <w:t>5.竹木加工项目：</w:t>
            </w:r>
            <w:r>
              <w:rPr>
                <w:rFonts w:hint="eastAsia" w:ascii="Times New Roman" w:hAnsi="Times New Roman" w:eastAsia="仿宋" w:cs="仿宋"/>
                <w:color w:val="000000" w:themeColor="text1"/>
                <w:sz w:val="24"/>
                <w14:textFill>
                  <w14:solidFill>
                    <w14:schemeClr w14:val="tx1"/>
                  </w14:solidFill>
                </w14:textFill>
              </w:rPr>
              <w:t>龙胜县江底乡竹子加工基地项目、瓢里镇竹子加工基地项目。</w:t>
            </w:r>
          </w:p>
          <w:p>
            <w:pPr>
              <w:adjustRightInd w:val="0"/>
              <w:snapToGrid w:val="0"/>
              <w:spacing w:line="276" w:lineRule="auto"/>
              <w:rPr>
                <w:rFonts w:ascii="Times New Roman" w:hAnsi="Times New Roman" w:eastAsia="仿宋" w:cs="仿宋"/>
                <w:color w:val="000000" w:themeColor="text1"/>
                <w:sz w:val="24"/>
                <w14:textFill>
                  <w14:solidFill>
                    <w14:schemeClr w14:val="tx1"/>
                  </w14:solidFill>
                </w14:textFill>
              </w:rPr>
            </w:pPr>
            <w:r>
              <w:rPr>
                <w:rFonts w:hint="eastAsia" w:ascii="Times New Roman" w:hAnsi="Times New Roman" w:eastAsia="仿宋" w:cs="仿宋"/>
                <w:b/>
                <w:bCs/>
                <w:color w:val="000000" w:themeColor="text1"/>
                <w:sz w:val="24"/>
                <w14:textFill>
                  <w14:solidFill>
                    <w14:schemeClr w14:val="tx1"/>
                  </w14:solidFill>
                </w14:textFill>
              </w:rPr>
              <w:t>6.清洁能源风能发电基地建设项目：</w:t>
            </w:r>
            <w:r>
              <w:rPr>
                <w:rFonts w:hint="eastAsia" w:ascii="Times New Roman" w:hAnsi="Times New Roman" w:eastAsia="仿宋" w:cs="仿宋"/>
                <w:color w:val="000000" w:themeColor="text1"/>
                <w:sz w:val="24"/>
                <w14:textFill>
                  <w14:solidFill>
                    <w14:schemeClr w14:val="tx1"/>
                  </w14:solidFill>
                </w14:textFill>
              </w:rPr>
              <w:t>龙胜县南山风电场二期、龙胜县平等风电场项目、龙胜县花界山风电场项目、龙胜县劳山风电场项目、龙胜县崇楼风电场项目。</w:t>
            </w:r>
          </w:p>
          <w:p>
            <w:pPr>
              <w:adjustRightInd w:val="0"/>
              <w:snapToGrid w:val="0"/>
              <w:spacing w:line="276" w:lineRule="auto"/>
              <w:rPr>
                <w:rFonts w:ascii="Times New Roman" w:hAnsi="Times New Roman" w:eastAsia="仿宋_GB2312"/>
                <w:color w:val="000000" w:themeColor="text1"/>
                <w:sz w:val="28"/>
                <w:szCs w:val="28"/>
                <w14:textFill>
                  <w14:solidFill>
                    <w14:schemeClr w14:val="tx1"/>
                  </w14:solidFill>
                </w14:textFill>
              </w:rPr>
            </w:pPr>
            <w:r>
              <w:rPr>
                <w:rFonts w:hint="eastAsia" w:ascii="Times New Roman" w:hAnsi="Times New Roman" w:eastAsia="仿宋" w:cs="仿宋"/>
                <w:b/>
                <w:bCs/>
                <w:color w:val="000000" w:themeColor="text1"/>
                <w:sz w:val="24"/>
                <w14:textFill>
                  <w14:solidFill>
                    <w14:schemeClr w14:val="tx1"/>
                  </w14:solidFill>
                </w14:textFill>
              </w:rPr>
              <w:t>7.战略性新兴产业重大建设项目</w:t>
            </w:r>
            <w:r>
              <w:rPr>
                <w:rFonts w:hint="eastAsia" w:ascii="Times New Roman" w:hAnsi="Times New Roman" w:eastAsia="仿宋" w:cs="仿宋"/>
                <w:color w:val="000000" w:themeColor="text1"/>
                <w:sz w:val="24"/>
                <w14:textFill>
                  <w14:solidFill>
                    <w14:schemeClr w14:val="tx1"/>
                  </w14:solidFill>
                </w14:textFill>
              </w:rPr>
              <w:t>：龙胜县瓢里中心粮库整体搬迁项目。</w:t>
            </w:r>
          </w:p>
        </w:tc>
      </w:tr>
    </w:tbl>
    <w:p>
      <w:pPr>
        <w:adjustRightInd w:val="0"/>
        <w:snapToGrid w:val="0"/>
        <w:spacing w:before="156" w:beforeLines="50" w:line="300" w:lineRule="auto"/>
        <w:jc w:val="center"/>
        <w:rPr>
          <w:rFonts w:ascii="Times New Roman" w:hAnsi="Times New Roman" w:eastAsia="仿宋"/>
          <w:b/>
          <w:color w:val="000000" w:themeColor="text1"/>
          <w:sz w:val="28"/>
          <w:szCs w:val="28"/>
          <w14:textFill>
            <w14:solidFill>
              <w14:schemeClr w14:val="tx1"/>
            </w14:solidFill>
          </w14:textFill>
        </w:rPr>
      </w:pPr>
    </w:p>
    <w:p>
      <w:pPr>
        <w:pStyle w:val="2"/>
        <w:spacing w:line="560" w:lineRule="exact"/>
        <w:ind w:left="0" w:leftChars="0" w:firstLine="420" w:firstLineChars="200"/>
      </w:pPr>
    </w:p>
    <w:p>
      <w:pPr>
        <w:pStyle w:val="4"/>
        <w:keepNext w:val="0"/>
        <w:keepLines w:val="0"/>
        <w:spacing w:before="0" w:after="0" w:line="560" w:lineRule="exact"/>
        <w:ind w:firstLine="640" w:firstLineChars="200"/>
        <w:jc w:val="center"/>
        <w:rPr>
          <w:rFonts w:ascii="Times New Roman" w:hAnsi="Times New Roman" w:eastAsia="黑体" w:cs="黑体"/>
          <w:b w:val="0"/>
          <w:color w:val="000000" w:themeColor="text1"/>
          <w14:textFill>
            <w14:solidFill>
              <w14:schemeClr w14:val="tx1"/>
            </w14:solidFill>
          </w14:textFill>
        </w:rPr>
      </w:pPr>
      <w:bookmarkStart w:id="111" w:name="_Toc17605"/>
      <w:bookmarkStart w:id="112" w:name="_Toc61110782"/>
    </w:p>
    <w:p>
      <w:pPr>
        <w:pStyle w:val="4"/>
        <w:keepNext w:val="0"/>
        <w:keepLines w:val="0"/>
        <w:spacing w:before="0" w:after="0" w:line="560" w:lineRule="exact"/>
        <w:ind w:firstLine="640" w:firstLineChars="200"/>
        <w:jc w:val="center"/>
        <w:rPr>
          <w:rFonts w:ascii="Times New Roman" w:hAnsi="Times New Roman" w:eastAsia="黑体" w:cs="黑体"/>
          <w:b w:val="0"/>
          <w:color w:val="000000" w:themeColor="text1"/>
          <w14:textFill>
            <w14:solidFill>
              <w14:schemeClr w14:val="tx1"/>
            </w14:solidFill>
          </w14:textFill>
        </w:rPr>
      </w:pPr>
    </w:p>
    <w:p>
      <w:pPr>
        <w:pStyle w:val="4"/>
        <w:keepNext w:val="0"/>
        <w:keepLines w:val="0"/>
        <w:spacing w:before="0" w:after="0" w:line="560" w:lineRule="exact"/>
        <w:ind w:firstLine="640" w:firstLineChars="200"/>
        <w:jc w:val="center"/>
        <w:rPr>
          <w:rFonts w:ascii="Times New Roman" w:hAnsi="Times New Roman" w:eastAsia="黑体" w:cs="黑体"/>
          <w:b w:val="0"/>
          <w:color w:val="000000" w:themeColor="text1"/>
          <w14:textFill>
            <w14:solidFill>
              <w14:schemeClr w14:val="tx1"/>
            </w14:solidFill>
          </w14:textFill>
        </w:rPr>
      </w:pPr>
    </w:p>
    <w:p>
      <w:pPr>
        <w:pStyle w:val="4"/>
        <w:keepNext w:val="0"/>
        <w:keepLines w:val="0"/>
        <w:spacing w:before="0" w:after="0" w:line="560" w:lineRule="exact"/>
        <w:ind w:firstLine="640" w:firstLineChars="200"/>
        <w:jc w:val="center"/>
        <w:rPr>
          <w:rFonts w:ascii="Times New Roman" w:hAnsi="Times New Roman" w:eastAsia="黑体" w:cs="黑体"/>
          <w:b w:val="0"/>
          <w:color w:val="000000" w:themeColor="text1"/>
          <w14:textFill>
            <w14:solidFill>
              <w14:schemeClr w14:val="tx1"/>
            </w14:solidFill>
          </w14:textFill>
        </w:rPr>
      </w:pPr>
    </w:p>
    <w:p>
      <w:pPr>
        <w:pStyle w:val="4"/>
        <w:keepNext w:val="0"/>
        <w:keepLines w:val="0"/>
        <w:spacing w:before="0" w:after="0" w:line="560" w:lineRule="exact"/>
        <w:ind w:firstLine="640" w:firstLineChars="200"/>
        <w:jc w:val="center"/>
        <w:rPr>
          <w:rFonts w:ascii="Times New Roman" w:hAnsi="Times New Roman" w:eastAsia="黑体" w:cs="黑体"/>
          <w:b w:val="0"/>
          <w:color w:val="000000" w:themeColor="text1"/>
          <w14:textFill>
            <w14:solidFill>
              <w14:schemeClr w14:val="tx1"/>
            </w14:solidFill>
          </w14:textFill>
        </w:rPr>
      </w:pPr>
    </w:p>
    <w:p>
      <w:pPr>
        <w:pStyle w:val="4"/>
        <w:keepNext w:val="0"/>
        <w:keepLines w:val="0"/>
        <w:spacing w:before="0" w:after="0" w:line="560" w:lineRule="exact"/>
        <w:ind w:firstLine="640" w:firstLineChars="200"/>
        <w:jc w:val="center"/>
        <w:rPr>
          <w:rFonts w:ascii="Times New Roman" w:hAnsi="Times New Roman" w:eastAsia="黑体" w:cs="黑体"/>
          <w:b w:val="0"/>
          <w:color w:val="000000" w:themeColor="text1"/>
          <w14:textFill>
            <w14:solidFill>
              <w14:schemeClr w14:val="tx1"/>
            </w14:solidFill>
          </w14:textFill>
        </w:rPr>
      </w:pPr>
    </w:p>
    <w:p>
      <w:pPr>
        <w:pStyle w:val="4"/>
        <w:keepNext w:val="0"/>
        <w:keepLines w:val="0"/>
        <w:spacing w:before="0" w:after="0" w:line="560" w:lineRule="exact"/>
        <w:ind w:firstLine="640" w:firstLineChars="200"/>
        <w:jc w:val="center"/>
        <w:rPr>
          <w:rFonts w:ascii="Times New Roman" w:hAnsi="Times New Roman" w:eastAsia="黑体" w:cs="黑体"/>
          <w:b w:val="0"/>
          <w:color w:val="000000" w:themeColor="text1"/>
          <w14:textFill>
            <w14:solidFill>
              <w14:schemeClr w14:val="tx1"/>
            </w14:solidFill>
          </w14:textFill>
        </w:rPr>
      </w:pPr>
    </w:p>
    <w:p>
      <w:pPr>
        <w:pStyle w:val="4"/>
        <w:keepNext w:val="0"/>
        <w:keepLines w:val="0"/>
        <w:spacing w:before="0" w:after="0" w:line="560" w:lineRule="exact"/>
        <w:ind w:firstLine="640" w:firstLineChars="200"/>
        <w:jc w:val="center"/>
        <w:rPr>
          <w:rFonts w:ascii="Times New Roman" w:hAnsi="Times New Roman" w:eastAsia="黑体" w:cs="黑体"/>
          <w:b w:val="0"/>
          <w:color w:val="000000" w:themeColor="text1"/>
          <w14:textFill>
            <w14:solidFill>
              <w14:schemeClr w14:val="tx1"/>
            </w14:solidFill>
          </w14:textFill>
        </w:rPr>
      </w:pPr>
    </w:p>
    <w:p>
      <w:pPr>
        <w:pStyle w:val="4"/>
        <w:keepNext w:val="0"/>
        <w:keepLines w:val="0"/>
        <w:spacing w:before="0" w:after="0" w:line="560" w:lineRule="exact"/>
        <w:ind w:firstLine="640" w:firstLineChars="200"/>
        <w:jc w:val="center"/>
        <w:rPr>
          <w:rFonts w:ascii="Times New Roman" w:hAnsi="Times New Roman" w:eastAsia="黑体" w:cs="黑体"/>
          <w:b w:val="0"/>
          <w:color w:val="000000" w:themeColor="text1"/>
          <w14:textFill>
            <w14:solidFill>
              <w14:schemeClr w14:val="tx1"/>
            </w14:solidFill>
          </w14:textFill>
        </w:rPr>
      </w:pPr>
      <w:r>
        <w:rPr>
          <w:rFonts w:hint="eastAsia" w:ascii="Times New Roman" w:hAnsi="Times New Roman" w:eastAsia="黑体" w:cs="黑体"/>
          <w:b w:val="0"/>
          <w:color w:val="000000" w:themeColor="text1"/>
          <w14:textFill>
            <w14:solidFill>
              <w14:schemeClr w14:val="tx1"/>
            </w14:solidFill>
          </w14:textFill>
        </w:rPr>
        <w:t>第五章  实施乡村振兴，巩固拓展脱贫攻坚成果</w:t>
      </w:r>
      <w:bookmarkEnd w:id="89"/>
      <w:bookmarkEnd w:id="90"/>
      <w:bookmarkEnd w:id="111"/>
      <w:bookmarkEnd w:id="112"/>
    </w:p>
    <w:p>
      <w:pPr>
        <w:pStyle w:val="41"/>
        <w:keepNext w:val="0"/>
        <w:keepLines w:val="0"/>
        <w:adjustRightInd/>
        <w:snapToGrid/>
        <w:spacing w:before="0" w:beforeLines="0" w:line="560" w:lineRule="exact"/>
        <w:ind w:left="0" w:leftChars="0" w:firstLine="643" w:firstLineChars="200"/>
        <w:jc w:val="center"/>
        <w:outlineLvl w:val="0"/>
        <w:rPr>
          <w:rFonts w:ascii="Times New Roman" w:hAnsi="Times New Roman" w:cs="黑体"/>
          <w:b/>
          <w:bCs w:val="0"/>
          <w:color w:val="000000" w:themeColor="text1"/>
          <w14:textFill>
            <w14:solidFill>
              <w14:schemeClr w14:val="tx1"/>
            </w14:solidFill>
          </w14:textFill>
        </w:rPr>
      </w:pPr>
    </w:p>
    <w:bookmarkEnd w:id="91"/>
    <w:bookmarkEnd w:id="92"/>
    <w:p>
      <w:pPr>
        <w:spacing w:line="560" w:lineRule="exact"/>
        <w:ind w:firstLine="640" w:firstLineChars="200"/>
        <w:rPr>
          <w:rFonts w:ascii="Times New Roman" w:hAnsi="Times New Roman" w:eastAsia="仿宋_GB2312"/>
          <w:color w:val="000000" w:themeColor="text1"/>
          <w:sz w:val="32"/>
          <w:szCs w:val="32"/>
          <w14:textFill>
            <w14:solidFill>
              <w14:schemeClr w14:val="tx1"/>
            </w14:solidFill>
          </w14:textFill>
        </w:rPr>
      </w:pPr>
      <w:bookmarkStart w:id="113" w:name="_Toc61110788"/>
      <w:bookmarkStart w:id="114" w:name="_Toc3031"/>
      <w:r>
        <w:rPr>
          <w:rFonts w:hint="eastAsia" w:ascii="Times New Roman" w:hAnsi="Times New Roman" w:eastAsia="仿宋_GB2312"/>
          <w:color w:val="000000" w:themeColor="text1"/>
          <w:sz w:val="32"/>
          <w:szCs w:val="32"/>
          <w14:textFill>
            <w14:solidFill>
              <w14:schemeClr w14:val="tx1"/>
            </w14:solidFill>
          </w14:textFill>
        </w:rPr>
        <w:t>坚持把解决好“三农”问题作为全县工作的重中之重，抓好“五年过渡期”</w:t>
      </w:r>
      <w:r>
        <w:rPr>
          <w:rFonts w:hint="eastAsia" w:ascii="Times New Roman" w:hAnsi="Times New Roman" w:eastAsia="仿宋_GB2312"/>
          <w:color w:val="000000" w:themeColor="text1"/>
          <w:sz w:val="32"/>
          <w:szCs w:val="32"/>
          <w14:textFill>
            <w14:solidFill>
              <w14:schemeClr w14:val="tx1"/>
            </w14:solidFill>
          </w14:textFill>
        </w:rPr>
        <w:footnoteReference w:id="5"/>
      </w:r>
      <w:r>
        <w:rPr>
          <w:rFonts w:hint="eastAsia" w:ascii="Times New Roman" w:hAnsi="Times New Roman" w:eastAsia="仿宋_GB2312"/>
          <w:color w:val="000000" w:themeColor="text1"/>
          <w:sz w:val="32"/>
          <w:szCs w:val="32"/>
          <w14:textFill>
            <w14:solidFill>
              <w14:schemeClr w14:val="tx1"/>
            </w14:solidFill>
          </w14:textFill>
        </w:rPr>
        <w:t>，实现</w:t>
      </w:r>
      <w:r>
        <w:rPr>
          <w:rFonts w:hint="eastAsia" w:ascii="Times New Roman" w:hAnsi="Times New Roman" w:eastAsia="仿宋_GB2312"/>
          <w:color w:val="000000" w:themeColor="text1"/>
          <w:sz w:val="32"/>
          <w:szCs w:val="32"/>
          <w:lang w:eastAsia="zh-CN"/>
          <w14:textFill>
            <w14:solidFill>
              <w14:schemeClr w14:val="tx1"/>
            </w14:solidFill>
          </w14:textFill>
        </w:rPr>
        <w:t>巩固拓展脱贫攻坚成果同乡村振兴有效衔接</w:t>
      </w:r>
      <w:r>
        <w:rPr>
          <w:rFonts w:hint="eastAsia" w:ascii="Times New Roman" w:hAnsi="Times New Roman" w:eastAsia="仿宋_GB2312"/>
          <w:color w:val="000000" w:themeColor="text1"/>
          <w:sz w:val="32"/>
          <w:szCs w:val="32"/>
          <w14:textFill>
            <w14:solidFill>
              <w14:schemeClr w14:val="tx1"/>
            </w14:solidFill>
          </w14:textFill>
        </w:rPr>
        <w:t>，按照乡村振兴“产业兴旺、生态宜居、乡风文明、治理有效、生活富裕”总要求，全面实施乡村振兴战略，推进乡村建设行动，提高特色农业质量效益和竞争力，加快新型城镇化示范乡镇和田园综合体建设，着力构建现代农业产业、生产、经营体系建设，提高农业质量效益和竞争力，推动农林牧渔结合、种养加一体、一二三产业融合发展，走产出高效、产品安全、资源节约、环境友好的现代特色农业农村发展道路。强化以工补农、以城带乡、形成工农互促、城乡互补、协调发展、共同繁荣的新型工农城乡关系。到2025年，全县粮食作物播种面积稳定在16.9万亩以上，粮食总产量年均增长2%左右。</w:t>
      </w:r>
    </w:p>
    <w:p>
      <w:pPr>
        <w:pStyle w:val="4"/>
        <w:keepNext w:val="0"/>
        <w:keepLines w:val="0"/>
        <w:spacing w:before="0" w:after="0" w:line="540" w:lineRule="exact"/>
        <w:ind w:firstLine="643" w:firstLineChars="200"/>
        <w:jc w:val="center"/>
        <w:rPr>
          <w:rFonts w:ascii="仿宋_GB2312" w:hAnsi="仿宋_GB2312" w:eastAsia="仿宋_GB2312" w:cs="仿宋_GB2312"/>
          <w:bCs w:val="0"/>
          <w:color w:val="000000" w:themeColor="text1"/>
          <w14:textFill>
            <w14:solidFill>
              <w14:schemeClr w14:val="tx1"/>
            </w14:solidFill>
          </w14:textFill>
        </w:rPr>
      </w:pPr>
    </w:p>
    <w:p>
      <w:pPr>
        <w:pStyle w:val="4"/>
        <w:keepNext w:val="0"/>
        <w:keepLines w:val="0"/>
        <w:spacing w:before="0" w:after="0" w:line="540" w:lineRule="exact"/>
        <w:ind w:firstLine="640" w:firstLineChars="200"/>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第一节  提高特色农业发展质量效益和竞争力</w:t>
      </w:r>
    </w:p>
    <w:p>
      <w:pPr>
        <w:pStyle w:val="63"/>
        <w:spacing w:line="540" w:lineRule="exact"/>
        <w:ind w:firstLine="640"/>
        <w:rPr>
          <w:rFonts w:ascii="仿宋_GB2312" w:hAnsi="仿宋_GB2312" w:eastAsia="仿宋_GB2312" w:cs="仿宋_GB2312"/>
          <w:bCs/>
          <w:color w:val="000000" w:themeColor="text1"/>
          <w:sz w:val="32"/>
          <w:szCs w:val="32"/>
          <w14:textFill>
            <w14:solidFill>
              <w14:schemeClr w14:val="tx1"/>
            </w14:solidFill>
          </w14:textFill>
        </w:rPr>
      </w:pPr>
    </w:p>
    <w:p>
      <w:pPr>
        <w:pStyle w:val="63"/>
        <w:spacing w:line="540" w:lineRule="exact"/>
        <w:ind w:firstLine="643"/>
        <w:rPr>
          <w:rFonts w:ascii="仿宋_GB2312" w:hAnsi="仿宋_GB2312" w:eastAsia="仿宋_GB2312" w:cs="仿宋_GB2312"/>
          <w:b/>
          <w:color w:val="000000" w:themeColor="text1"/>
          <w:sz w:val="32"/>
          <w:szCs w:val="32"/>
          <w14:textFill>
            <w14:solidFill>
              <w14:schemeClr w14:val="tx1"/>
            </w14:solidFill>
          </w14:textFill>
        </w:rPr>
      </w:pPr>
      <w:r>
        <w:rPr>
          <w:rFonts w:hint="eastAsia" w:ascii="仿宋_GB2312" w:hAnsi="仿宋_GB2312" w:eastAsia="仿宋_GB2312" w:cs="仿宋_GB2312"/>
          <w:b/>
          <w:color w:val="000000" w:themeColor="text1"/>
          <w:sz w:val="32"/>
          <w:szCs w:val="32"/>
          <w14:textFill>
            <w14:solidFill>
              <w14:schemeClr w14:val="tx1"/>
            </w14:solidFill>
          </w14:textFill>
        </w:rPr>
        <w:t>一、围绕主导产业，调优现代农业结构</w:t>
      </w:r>
    </w:p>
    <w:p>
      <w:pPr>
        <w:spacing w:line="54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加快特色农业产业发展，提高现代农业综合效益和竞争力。坚持最严格的耕地保护制度，确保种子安全。着力打造粮食、柑橘、蔬菜、中草药、优质畜禽、水产、高山特色种养等地方特色产业品牌。积极发展生态农业、循环农业、绿色有机农业，开展田园综合体、特色小镇+现代农业等新型农业发展载体建设。支持企业创建“三品一标”</w:t>
      </w:r>
      <w:r>
        <w:rPr>
          <w:rFonts w:hint="eastAsia" w:ascii="仿宋_GB2312" w:hAnsi="仿宋_GB2312" w:eastAsia="仿宋_GB2312" w:cs="仿宋_GB2312"/>
          <w:color w:val="000000" w:themeColor="text1"/>
          <w:sz w:val="32"/>
          <w:szCs w:val="32"/>
          <w14:textFill>
            <w14:solidFill>
              <w14:schemeClr w14:val="tx1"/>
            </w14:solidFill>
          </w14:textFill>
        </w:rPr>
        <w:footnoteReference w:id="6"/>
      </w:r>
      <w:r>
        <w:rPr>
          <w:rFonts w:hint="eastAsia" w:ascii="仿宋_GB2312" w:hAnsi="仿宋_GB2312" w:eastAsia="仿宋_GB2312" w:cs="仿宋_GB2312"/>
          <w:color w:val="000000" w:themeColor="text1"/>
          <w:sz w:val="32"/>
          <w:szCs w:val="32"/>
          <w14:textFill>
            <w14:solidFill>
              <w14:schemeClr w14:val="tx1"/>
            </w14:solidFill>
          </w14:textFill>
        </w:rPr>
        <w:t>农产品品牌，打造粤港澳大湾区重点“菜篮子”基地和健康食品供应基地。重点创建三大核心载体：</w:t>
      </w:r>
    </w:p>
    <w:p>
      <w:pPr>
        <w:spacing w:line="54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Cs/>
          <w:color w:val="000000" w:themeColor="text1"/>
          <w:sz w:val="32"/>
          <w:szCs w:val="32"/>
          <w14:textFill>
            <w14:solidFill>
              <w14:schemeClr w14:val="tx1"/>
            </w14:solidFill>
          </w14:textFill>
        </w:rPr>
        <w:t>（一）挖掘粮食生产潜能，确保粮食安全。</w:t>
      </w:r>
      <w:r>
        <w:rPr>
          <w:rFonts w:hint="eastAsia" w:ascii="仿宋_GB2312" w:hAnsi="仿宋_GB2312" w:eastAsia="仿宋_GB2312" w:cs="仿宋_GB2312"/>
          <w:color w:val="000000" w:themeColor="text1"/>
          <w:sz w:val="32"/>
          <w:szCs w:val="32"/>
          <w14:textFill>
            <w14:solidFill>
              <w14:schemeClr w14:val="tx1"/>
            </w14:solidFill>
          </w14:textFill>
        </w:rPr>
        <w:t>坚决执行基本农田保护和用地补偿（土地增减挂钩）政策，确保农用地面积不减；加大农业基础设施投入，集中连片推进农田水利基础设施建设和高标准农田建设，大幅提高农田高产稳产比重；大力推广间作套种技术、提高复种指数，开发和扩大旱粮、杂粮种植，增加粮食作物播种面积，确保粮食安全。到2025年，全县粮食作物播种总产量稳定在6.24万吨以上，年均增长2%左右。</w:t>
      </w:r>
    </w:p>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Cs/>
          <w:color w:val="000000" w:themeColor="text1"/>
          <w:sz w:val="32"/>
          <w:szCs w:val="32"/>
          <w14:textFill>
            <w14:solidFill>
              <w14:schemeClr w14:val="tx1"/>
            </w14:solidFill>
          </w14:textFill>
        </w:rPr>
        <w:t>（二）加快特色农产品生产基地建设。</w:t>
      </w:r>
      <w:r>
        <w:rPr>
          <w:rFonts w:hint="eastAsia" w:ascii="仿宋_GB2312" w:hAnsi="仿宋_GB2312" w:eastAsia="仿宋_GB2312" w:cs="仿宋_GB2312"/>
          <w:color w:val="000000" w:themeColor="text1"/>
          <w:sz w:val="32"/>
          <w:szCs w:val="32"/>
          <w14:textFill>
            <w14:solidFill>
              <w14:schemeClr w14:val="tx1"/>
            </w14:solidFill>
          </w14:textFill>
        </w:rPr>
        <w:t>大力发展优质特色果业，做优做强柑橘、罗汉果、猕猴桃、百香果、茶叶、高山蔬菜等特色果蔬产业，加大龙胜红糯、龙胜大糯等特色优质水稻开发力度。重点打造生态健康种养示范区，提升现代特色农业(核心)示范区质量，打造一批标准化程度高、规模适度、特色鲜明的农产品生产基地。加快“三避”</w:t>
      </w:r>
      <w:r>
        <w:rPr>
          <w:rFonts w:hint="eastAsia" w:ascii="仿宋_GB2312" w:hAnsi="仿宋_GB2312" w:eastAsia="仿宋_GB2312" w:cs="仿宋_GB2312"/>
          <w:color w:val="000000" w:themeColor="text1"/>
          <w:sz w:val="32"/>
          <w:szCs w:val="32"/>
          <w14:textFill>
            <w14:solidFill>
              <w14:schemeClr w14:val="tx1"/>
            </w14:solidFill>
          </w14:textFill>
        </w:rPr>
        <w:footnoteReference w:id="7"/>
      </w:r>
      <w:r>
        <w:rPr>
          <w:rFonts w:hint="eastAsia" w:ascii="仿宋_GB2312" w:hAnsi="仿宋_GB2312" w:eastAsia="仿宋_GB2312" w:cs="仿宋_GB2312"/>
          <w:color w:val="000000" w:themeColor="text1"/>
          <w:sz w:val="32"/>
          <w:szCs w:val="32"/>
          <w14:textFill>
            <w14:solidFill>
              <w14:schemeClr w14:val="tx1"/>
            </w14:solidFill>
          </w14:textFill>
        </w:rPr>
        <w:t>、水肥一体化等先进技术在蔬菜水果生产中的推广应用。到2025年，水果面积保持10万亩以上，年均增长6.0%；罗汉果种植面积达到6万亩。通过增加复种指数和提高单产，蔬菜种植面积达到13.5万亩，茶叶面积发展到3万亩，中药材产业创新发展有所突破。</w:t>
      </w:r>
    </w:p>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Cs/>
          <w:color w:val="000000" w:themeColor="text1"/>
          <w:sz w:val="32"/>
          <w:szCs w:val="32"/>
          <w14:textFill>
            <w14:solidFill>
              <w14:schemeClr w14:val="tx1"/>
            </w14:solidFill>
          </w14:textFill>
        </w:rPr>
        <w:t>（三）拓展特色生态种养殖产业。</w:t>
      </w:r>
      <w:r>
        <w:rPr>
          <w:rFonts w:hint="eastAsia" w:ascii="仿宋_GB2312" w:hAnsi="仿宋_GB2312" w:eastAsia="仿宋_GB2312" w:cs="仿宋_GB2312"/>
          <w:color w:val="000000" w:themeColor="text1"/>
          <w:sz w:val="32"/>
          <w:szCs w:val="32"/>
          <w14:textFill>
            <w14:solidFill>
              <w14:schemeClr w14:val="tx1"/>
            </w14:solidFill>
          </w14:textFill>
        </w:rPr>
        <w:t>推进“微生物+”“稻渔综合种养”等生态种养模式。标准化建设生猪生产、肉牛肉羊和凤鸡翠鸭等特色养殖业绿色高效可持续发展的现代牧养业体系；充分利用高山冷水资源，发展亚冷水鱼生态养殖。到2025年，生猪饲养量达85万头、牛饲养量13万头、羊饲养量16万只、凤鸡饲养量1000万羽、翠鸭饲养量100万羽，肉类总产量达到5万吨以上，亚冷水鱼养殖规模场30个以上、年总产量达1000吨。</w:t>
      </w:r>
    </w:p>
    <w:p>
      <w:pPr>
        <w:spacing w:line="560" w:lineRule="exact"/>
        <w:ind w:firstLine="643" w:firstLineChars="200"/>
        <w:rPr>
          <w:rFonts w:ascii="仿宋_GB2312" w:hAnsi="仿宋_GB2312" w:eastAsia="仿宋_GB2312" w:cs="仿宋_GB2312"/>
          <w:b/>
          <w:color w:val="000000" w:themeColor="text1"/>
          <w:sz w:val="32"/>
          <w:szCs w:val="32"/>
          <w14:textFill>
            <w14:solidFill>
              <w14:schemeClr w14:val="tx1"/>
            </w14:solidFill>
          </w14:textFill>
        </w:rPr>
      </w:pPr>
      <w:r>
        <w:rPr>
          <w:rFonts w:hint="eastAsia" w:ascii="仿宋_GB2312" w:hAnsi="仿宋_GB2312" w:eastAsia="仿宋_GB2312" w:cs="仿宋_GB2312"/>
          <w:b/>
          <w:color w:val="000000" w:themeColor="text1"/>
          <w:sz w:val="32"/>
          <w:szCs w:val="32"/>
          <w14:textFill>
            <w14:solidFill>
              <w14:schemeClr w14:val="tx1"/>
            </w14:solidFill>
          </w14:textFill>
        </w:rPr>
        <w:t>二、优化产业布局，提升特色农业发展水平</w:t>
      </w:r>
    </w:p>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持续巩固“十三五”产业扶贫发展成果和农业发展成就，为提升特色农业发展水平布局“两带一区”发展格局。</w:t>
      </w:r>
    </w:p>
    <w:p>
      <w:pPr>
        <w:spacing w:line="600" w:lineRule="exact"/>
        <w:ind w:firstLine="640" w:firstLineChars="200"/>
        <w:rPr>
          <w:rFonts w:ascii="仿宋_GB2312" w:hAnsi="仿宋_GB2312" w:eastAsia="仿宋_GB2312" w:cs="仿宋_GB2312"/>
          <w:bCs/>
          <w:color w:val="000000" w:themeColor="text1"/>
          <w:sz w:val="32"/>
          <w:szCs w:val="32"/>
          <w14:textFill>
            <w14:solidFill>
              <w14:schemeClr w14:val="tx1"/>
            </w14:solidFill>
          </w14:textFill>
        </w:rPr>
      </w:pPr>
      <w:r>
        <w:rPr>
          <w:rFonts w:hint="eastAsia" w:ascii="仿宋_GB2312" w:hAnsi="仿宋_GB2312" w:eastAsia="仿宋_GB2312" w:cs="仿宋_GB2312"/>
          <w:bCs/>
          <w:color w:val="000000" w:themeColor="text1"/>
          <w:sz w:val="32"/>
          <w:szCs w:val="32"/>
          <w14:textFill>
            <w14:solidFill>
              <w14:schemeClr w14:val="tx1"/>
            </w14:solidFill>
          </w14:textFill>
        </w:rPr>
        <w:t>（一）休闲观光农业带。</w:t>
      </w:r>
      <w:r>
        <w:rPr>
          <w:rFonts w:hint="eastAsia" w:ascii="仿宋_GB2312" w:hAnsi="仿宋_GB2312" w:eastAsia="仿宋_GB2312" w:cs="仿宋_GB2312"/>
          <w:color w:val="000000" w:themeColor="text1"/>
          <w:sz w:val="32"/>
          <w:szCs w:val="32"/>
          <w14:textFill>
            <w14:solidFill>
              <w14:schemeClr w14:val="tx1"/>
            </w14:solidFill>
          </w14:textFill>
        </w:rPr>
        <w:t>主要分布于龙脊镇、龙胜镇、泗水乡、马堤乡、江底乡、</w:t>
      </w:r>
      <w:r>
        <w:rPr>
          <w:rFonts w:hint="eastAsia" w:ascii="仿宋_GB2312" w:hAnsi="仿宋_GB2312" w:eastAsia="仿宋_GB2312" w:cs="仿宋_GB2312"/>
          <w:color w:val="0000FF"/>
          <w:sz w:val="32"/>
          <w:szCs w:val="32"/>
        </w:rPr>
        <w:t>伟江乡</w:t>
      </w:r>
      <w:r>
        <w:rPr>
          <w:rFonts w:hint="eastAsia" w:ascii="仿宋_GB2312" w:hAnsi="仿宋_GB2312" w:eastAsia="仿宋_GB2312" w:cs="仿宋_GB2312"/>
          <w:color w:val="000000" w:themeColor="text1"/>
          <w:sz w:val="32"/>
          <w:szCs w:val="32"/>
          <w14:textFill>
            <w14:solidFill>
              <w14:schemeClr w14:val="tx1"/>
            </w14:solidFill>
          </w14:textFill>
        </w:rPr>
        <w:t>等乡镇，龙脊梯田景区、G321国道和平至县城段、龙资公路龙胜段以及景区循环公路沿线及其辐射面。在保持梯田水稻生产基本功能之上大力发展稻作文化，衍生和拓展梯田景观；因地制宜发展罗汉果、茶叶、龙脊辣椒、四季时令水果、特色养殖</w:t>
      </w:r>
      <w:r>
        <w:rPr>
          <w:rFonts w:hint="eastAsia" w:ascii="仿宋_GB2312" w:hAnsi="仿宋_GB2312" w:eastAsia="仿宋_GB2312" w:cs="仿宋_GB2312"/>
          <w:color w:val="000000" w:themeColor="text1"/>
          <w:sz w:val="32"/>
          <w:szCs w:val="32"/>
          <w14:textFill>
            <w14:solidFill>
              <w14:schemeClr w14:val="tx1"/>
            </w14:solidFill>
          </w14:textFill>
        </w:rPr>
        <w:footnoteReference w:id="8"/>
      </w:r>
      <w:r>
        <w:rPr>
          <w:rFonts w:hint="eastAsia" w:ascii="仿宋_GB2312" w:hAnsi="仿宋_GB2312" w:eastAsia="仿宋_GB2312" w:cs="仿宋_GB2312"/>
          <w:color w:val="000000" w:themeColor="text1"/>
          <w:sz w:val="32"/>
          <w:szCs w:val="32"/>
          <w14:textFill>
            <w14:solidFill>
              <w14:schemeClr w14:val="tx1"/>
            </w14:solidFill>
          </w14:textFill>
        </w:rPr>
        <w:t>等产业。依托龙脊梯田及民族村寨资源，做足龙胜“全球重要农业文化遗产”文章，突出梯田观光、农耕体验、温泉疗养，挖掘梯田和温泉文化；拓展桑江沿线的民族村寨农家乐休闲旅游，串联区域内重点村寨农家乐、农庄，丰富休闲农业的内容，辐射带动全县休闲农业与乡村旅游产业发展，提高农业农村发展质量。</w:t>
      </w:r>
    </w:p>
    <w:p>
      <w:pPr>
        <w:spacing w:line="600" w:lineRule="exact"/>
        <w:ind w:firstLine="640" w:firstLineChars="200"/>
        <w:rPr>
          <w:rFonts w:ascii="仿宋_GB2312" w:hAnsi="仿宋_GB2312" w:eastAsia="仿宋_GB2312" w:cs="仿宋_GB2312"/>
          <w:bCs/>
          <w:color w:val="000000" w:themeColor="text1"/>
          <w:sz w:val="32"/>
          <w:szCs w:val="32"/>
          <w14:textFill>
            <w14:solidFill>
              <w14:schemeClr w14:val="tx1"/>
            </w14:solidFill>
          </w14:textFill>
        </w:rPr>
      </w:pPr>
      <w:r>
        <w:rPr>
          <w:rFonts w:hint="eastAsia" w:ascii="仿宋_GB2312" w:hAnsi="仿宋_GB2312" w:eastAsia="仿宋_GB2312" w:cs="仿宋_GB2312"/>
          <w:bCs/>
          <w:color w:val="000000" w:themeColor="text1"/>
          <w:sz w:val="32"/>
          <w:szCs w:val="32"/>
          <w14:textFill>
            <w14:solidFill>
              <w14:schemeClr w14:val="tx1"/>
            </w14:solidFill>
          </w14:textFill>
        </w:rPr>
        <w:t>（二）“两茶两果+特色养殖”产业带。</w:t>
      </w:r>
      <w:r>
        <w:rPr>
          <w:rFonts w:hint="eastAsia" w:ascii="仿宋_GB2312" w:hAnsi="仿宋_GB2312" w:eastAsia="仿宋_GB2312" w:cs="仿宋_GB2312"/>
          <w:color w:val="000000" w:themeColor="text1"/>
          <w:sz w:val="32"/>
          <w:szCs w:val="32"/>
          <w14:textFill>
            <w14:solidFill>
              <w14:schemeClr w14:val="tx1"/>
            </w14:solidFill>
          </w14:textFill>
        </w:rPr>
        <w:t>主要分布于龙胜镇、马堤乡、</w:t>
      </w:r>
      <w:r>
        <w:rPr>
          <w:rFonts w:hint="eastAsia" w:ascii="仿宋_GB2312" w:hAnsi="仿宋_GB2312" w:eastAsia="仿宋_GB2312" w:cs="仿宋_GB2312"/>
          <w:color w:val="0000FF"/>
          <w:sz w:val="32"/>
          <w:szCs w:val="32"/>
        </w:rPr>
        <w:t>伟江乡、</w:t>
      </w:r>
      <w:r>
        <w:rPr>
          <w:rFonts w:hint="eastAsia" w:ascii="仿宋_GB2312" w:hAnsi="仿宋_GB2312" w:eastAsia="仿宋_GB2312" w:cs="仿宋_GB2312"/>
          <w:color w:val="000000" w:themeColor="text1"/>
          <w:sz w:val="32"/>
          <w:szCs w:val="32"/>
          <w14:textFill>
            <w14:solidFill>
              <w14:schemeClr w14:val="tx1"/>
            </w14:solidFill>
          </w14:textFill>
        </w:rPr>
        <w:t>乐江镇、平等镇、瓢里镇、三门镇等乡镇。本区域产业带发展基础良好、类型多样、产业链条较长、农民基本掌握现代农业生产技术基础、市场意识较强，以发展柑橘、罗汉果、茶叶、油茶、凤鸡、翠鸭、亚冷水鱼等特色种养业为重点，融入生态循环农业发展理念，以提高农产品质量、延伸农业产业链、农业综合效益为目的，大力开展现代农业提质增效先行示范区建设，推动全县乡村振兴。</w:t>
      </w:r>
    </w:p>
    <w:p>
      <w:pPr>
        <w:pStyle w:val="31"/>
        <w:autoSpaceDE/>
        <w:autoSpaceDN/>
        <w:adjustRightInd/>
        <w:spacing w:line="600" w:lineRule="exact"/>
        <w:ind w:firstLine="640" w:firstLineChars="200"/>
        <w:rPr>
          <w:rFonts w:ascii="仿宋_GB2312" w:hAnsi="仿宋_GB2312" w:eastAsia="仿宋_GB2312" w:cs="仿宋_GB2312"/>
          <w:color w:val="000000" w:themeColor="text1"/>
          <w:kern w:val="2"/>
          <w:sz w:val="32"/>
          <w:szCs w:val="32"/>
          <w14:textFill>
            <w14:solidFill>
              <w14:schemeClr w14:val="tx1"/>
            </w14:solidFill>
          </w14:textFill>
        </w:rPr>
      </w:pPr>
      <w:r>
        <w:rPr>
          <w:rFonts w:hint="eastAsia" w:ascii="仿宋_GB2312" w:hAnsi="仿宋_GB2312" w:eastAsia="仿宋_GB2312" w:cs="仿宋_GB2312"/>
          <w:bCs/>
          <w:color w:val="000000" w:themeColor="text1"/>
          <w:sz w:val="32"/>
          <w:szCs w:val="32"/>
          <w14:textFill>
            <w14:solidFill>
              <w14:schemeClr w14:val="tx1"/>
            </w14:solidFill>
          </w14:textFill>
        </w:rPr>
        <w:t>（三）高山生态农业区。</w:t>
      </w:r>
      <w:r>
        <w:rPr>
          <w:rFonts w:hint="eastAsia" w:ascii="仿宋_GB2312" w:hAnsi="仿宋_GB2312" w:eastAsia="仿宋_GB2312" w:cs="仿宋_GB2312"/>
          <w:color w:val="000000" w:themeColor="text1"/>
          <w:kern w:val="2"/>
          <w:sz w:val="32"/>
          <w:szCs w:val="32"/>
          <w14:textFill>
            <w14:solidFill>
              <w14:schemeClr w14:val="tx1"/>
            </w14:solidFill>
          </w14:textFill>
        </w:rPr>
        <w:t>我县高寒山区点多面广，主要有南山、彭祖坪、福平包等高山片区，分布于龙脊镇、马堤乡、伟江乡、平等镇，拓展至江底乡、泗水乡等乡镇。该区域农业方面重点发展高山蔬菜（夏秋西红柿、夏秋萝卜、笋、厥、芭蕉芋等）、落叶果树（优质梨、甜柿、樱桃、猕猴桃等）、中药材、龙脊茶、本地牛羊家禽等优势产业。</w:t>
      </w:r>
    </w:p>
    <w:p>
      <w:pPr>
        <w:spacing w:line="560" w:lineRule="exact"/>
        <w:ind w:firstLine="643" w:firstLineChars="200"/>
        <w:rPr>
          <w:rFonts w:ascii="仿宋_GB2312" w:hAnsi="仿宋_GB2312" w:eastAsia="仿宋_GB2312" w:cs="仿宋_GB2312"/>
          <w:b/>
          <w:color w:val="000000" w:themeColor="text1"/>
          <w:sz w:val="32"/>
          <w:szCs w:val="32"/>
          <w14:textFill>
            <w14:solidFill>
              <w14:schemeClr w14:val="tx1"/>
            </w14:solidFill>
          </w14:textFill>
        </w:rPr>
      </w:pPr>
      <w:r>
        <w:rPr>
          <w:rFonts w:hint="eastAsia" w:ascii="仿宋_GB2312" w:hAnsi="仿宋_GB2312" w:eastAsia="仿宋_GB2312" w:cs="仿宋_GB2312"/>
          <w:b/>
          <w:color w:val="000000" w:themeColor="text1"/>
          <w:sz w:val="32"/>
          <w:szCs w:val="32"/>
          <w14:textFill>
            <w14:solidFill>
              <w14:schemeClr w14:val="tx1"/>
            </w14:solidFill>
          </w14:textFill>
        </w:rPr>
        <w:t>三、推动产业融合，拓宽产业增收渠道</w:t>
      </w:r>
    </w:p>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推进农业产业链和价值链建设，培育融合主体、创新融合方式。通过拓展农业功能，大力创建田园综合体和现代特色农业核心示范区，发展观光农业、体验农业、创意农业等新业态，形成现代农业与乡村旅游、田园社区融合发展新模式。</w:t>
      </w:r>
    </w:p>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Cs/>
          <w:color w:val="000000" w:themeColor="text1"/>
          <w:kern w:val="0"/>
          <w:sz w:val="32"/>
          <w:szCs w:val="32"/>
          <w14:textFill>
            <w14:solidFill>
              <w14:schemeClr w14:val="tx1"/>
            </w14:solidFill>
          </w14:textFill>
        </w:rPr>
        <w:t>（一）创建田园综合体和现代特色农业核心示范区。</w:t>
      </w:r>
      <w:r>
        <w:rPr>
          <w:rFonts w:hint="eastAsia" w:ascii="仿宋_GB2312" w:hAnsi="仿宋_GB2312" w:eastAsia="仿宋_GB2312" w:cs="仿宋_GB2312"/>
          <w:color w:val="000000" w:themeColor="text1"/>
          <w:sz w:val="32"/>
          <w:szCs w:val="32"/>
          <w14:textFill>
            <w14:solidFill>
              <w14:schemeClr w14:val="tx1"/>
            </w14:solidFill>
          </w14:textFill>
        </w:rPr>
        <w:t>坚持田园综合体与文化教育、精神文明、社会治理等工作融合，推进农业与旅游休闲、教育文化、健康养生等深度融合。发展观光农业、体验农业、创意农业等新业态。完成龙胜镇、泗水乡、马堤乡、乐江镇、瓢里镇等田园综合体创建，打造乡村振兴载体，实现农旅结合、农村资源变资产，带动餐饮民宿发展，形成现代农业与乡村旅游、田园社区融合发展模式。</w:t>
      </w:r>
    </w:p>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Cs/>
          <w:color w:val="000000" w:themeColor="text1"/>
          <w:kern w:val="0"/>
          <w:sz w:val="32"/>
          <w:szCs w:val="32"/>
          <w14:textFill>
            <w14:solidFill>
              <w14:schemeClr w14:val="tx1"/>
            </w14:solidFill>
          </w14:textFill>
        </w:rPr>
        <w:t>（二）加强高标准现代农业核心示范区创建。</w:t>
      </w:r>
      <w:r>
        <w:rPr>
          <w:rFonts w:hint="eastAsia" w:ascii="仿宋_GB2312" w:hAnsi="仿宋_GB2312" w:eastAsia="仿宋_GB2312" w:cs="仿宋_GB2312"/>
          <w:b/>
          <w:color w:val="000000" w:themeColor="text1"/>
          <w:sz w:val="32"/>
          <w:szCs w:val="32"/>
          <w14:textFill>
            <w14:solidFill>
              <w14:schemeClr w14:val="tx1"/>
            </w14:solidFill>
          </w14:textFill>
        </w:rPr>
        <w:t>一是</w:t>
      </w:r>
      <w:r>
        <w:rPr>
          <w:rFonts w:hint="eastAsia" w:ascii="仿宋_GB2312" w:hAnsi="仿宋_GB2312" w:eastAsia="仿宋_GB2312" w:cs="仿宋_GB2312"/>
          <w:color w:val="000000" w:themeColor="text1"/>
          <w:sz w:val="32"/>
          <w:szCs w:val="32"/>
          <w14:textFill>
            <w14:solidFill>
              <w14:schemeClr w14:val="tx1"/>
            </w14:solidFill>
          </w14:textFill>
        </w:rPr>
        <w:t>拓展“龙脊休闲农业旅游示范区”建设，持续开发以龙脊金坑梯田、平安梯田、古壮寨梯田、泗水潘内梯田、马堤牛头梯田为核心的稻耕文化，把“龙脊大米”与梯田景观紧密融合，增强休闲农业功能，使全球重要农业文化遗产地的品牌发挥出更显著的经济效益。</w:t>
      </w:r>
      <w:r>
        <w:rPr>
          <w:rFonts w:hint="eastAsia" w:ascii="仿宋_GB2312" w:hAnsi="仿宋_GB2312" w:eastAsia="仿宋_GB2312" w:cs="仿宋_GB2312"/>
          <w:b/>
          <w:color w:val="000000" w:themeColor="text1"/>
          <w:sz w:val="32"/>
          <w:szCs w:val="32"/>
          <w14:textFill>
            <w14:solidFill>
              <w14:schemeClr w14:val="tx1"/>
            </w14:solidFill>
          </w14:textFill>
        </w:rPr>
        <w:t>二是</w:t>
      </w:r>
      <w:r>
        <w:rPr>
          <w:rFonts w:hint="eastAsia" w:ascii="仿宋_GB2312" w:hAnsi="仿宋_GB2312" w:eastAsia="仿宋_GB2312" w:cs="仿宋_GB2312"/>
          <w:color w:val="000000" w:themeColor="text1"/>
          <w:sz w:val="32"/>
          <w:szCs w:val="32"/>
          <w14:textFill>
            <w14:solidFill>
              <w14:schemeClr w14:val="tx1"/>
            </w14:solidFill>
          </w14:textFill>
        </w:rPr>
        <w:t>巩固扩建“高山绿园生态农业核心示范区”建设，通过优化品种、提升栽培技术、树立高山蔬菜、高山茶叶生态品牌等途径做强龙胜高山蔬菜、高山茶叶产业。</w:t>
      </w:r>
      <w:r>
        <w:rPr>
          <w:rFonts w:hint="eastAsia" w:ascii="仿宋_GB2312" w:hAnsi="仿宋_GB2312" w:eastAsia="仿宋_GB2312" w:cs="仿宋_GB2312"/>
          <w:b/>
          <w:color w:val="000000" w:themeColor="text1"/>
          <w:sz w:val="32"/>
          <w:szCs w:val="32"/>
          <w14:textFill>
            <w14:solidFill>
              <w14:schemeClr w14:val="tx1"/>
            </w14:solidFill>
          </w14:textFill>
        </w:rPr>
        <w:t>三是</w:t>
      </w:r>
      <w:r>
        <w:rPr>
          <w:rFonts w:hint="eastAsia" w:ascii="仿宋_GB2312" w:hAnsi="仿宋_GB2312" w:eastAsia="仿宋_GB2312" w:cs="仿宋_GB2312"/>
          <w:color w:val="000000" w:themeColor="text1"/>
          <w:sz w:val="32"/>
          <w:szCs w:val="32"/>
          <w14:textFill>
            <w14:solidFill>
              <w14:schemeClr w14:val="tx1"/>
            </w14:solidFill>
          </w14:textFill>
        </w:rPr>
        <w:t>创建“中国特优罗汉果核心示范区”，全力打造集罗汉果种植、加工、交易、展示、体验、一二三产相融合的大园区。</w:t>
      </w:r>
    </w:p>
    <w:p>
      <w:pPr>
        <w:spacing w:line="560" w:lineRule="exact"/>
        <w:ind w:firstLine="643" w:firstLineChars="200"/>
        <w:rPr>
          <w:rFonts w:ascii="仿宋_GB2312" w:hAnsi="仿宋_GB2312" w:eastAsia="仿宋_GB2312" w:cs="仿宋_GB2312"/>
          <w:b/>
          <w:color w:val="000000" w:themeColor="text1"/>
          <w:sz w:val="32"/>
          <w:szCs w:val="32"/>
          <w14:textFill>
            <w14:solidFill>
              <w14:schemeClr w14:val="tx1"/>
            </w14:solidFill>
          </w14:textFill>
        </w:rPr>
      </w:pPr>
      <w:r>
        <w:rPr>
          <w:rFonts w:hint="eastAsia" w:ascii="仿宋_GB2312" w:hAnsi="仿宋_GB2312" w:eastAsia="仿宋_GB2312" w:cs="仿宋_GB2312"/>
          <w:b/>
          <w:color w:val="000000" w:themeColor="text1"/>
          <w:sz w:val="32"/>
          <w:szCs w:val="32"/>
          <w14:textFill>
            <w14:solidFill>
              <w14:schemeClr w14:val="tx1"/>
            </w14:solidFill>
          </w14:textFill>
        </w:rPr>
        <w:t>四、推动绿色兴农品牌建设</w:t>
      </w:r>
    </w:p>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充分发挥龙胜生态优势，开展“全国有机农业示范县”创建工作，推进“三品一标”农产品基地认证和农产品品牌目录建设，健全农产品质量安全检测体系。倾斜支持农业科技创新，对企业开展农业科技研发的引导扶持，以配方施肥、农机农艺融合、病虫害统防统治和农业物联网信息化为重点，加快适应高产、优质、高效农业发展要求的技术体系建设。开展秸秆、畜禽粪便资源化利用，落实畜禽规模养殖场环境影响评价制度，推动农业循环经济发展。创建优质农产品品牌，支持品牌化营销。</w:t>
      </w:r>
    </w:p>
    <w:p>
      <w:pPr>
        <w:pStyle w:val="63"/>
        <w:spacing w:line="580" w:lineRule="exact"/>
        <w:ind w:firstLine="643"/>
        <w:rPr>
          <w:rFonts w:ascii="仿宋_GB2312" w:hAnsi="仿宋_GB2312" w:eastAsia="仿宋_GB2312" w:cs="仿宋_GB2312"/>
          <w:b/>
          <w:color w:val="000000" w:themeColor="text1"/>
          <w:sz w:val="32"/>
          <w:szCs w:val="32"/>
          <w14:textFill>
            <w14:solidFill>
              <w14:schemeClr w14:val="tx1"/>
            </w14:solidFill>
          </w14:textFill>
        </w:rPr>
      </w:pPr>
      <w:r>
        <w:rPr>
          <w:rFonts w:hint="eastAsia" w:ascii="仿宋_GB2312" w:hAnsi="仿宋_GB2312" w:eastAsia="仿宋_GB2312" w:cs="仿宋_GB2312"/>
          <w:b/>
          <w:color w:val="000000" w:themeColor="text1"/>
          <w:sz w:val="32"/>
          <w:szCs w:val="32"/>
          <w14:textFill>
            <w14:solidFill>
              <w14:schemeClr w14:val="tx1"/>
            </w14:solidFill>
          </w14:textFill>
        </w:rPr>
        <w:t>五、加强新型农业经营体系建设，提升产业链现代化水平</w:t>
      </w:r>
    </w:p>
    <w:p>
      <w:pPr>
        <w:spacing w:line="58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Cs/>
          <w:color w:val="000000" w:themeColor="text1"/>
          <w:sz w:val="32"/>
          <w:szCs w:val="32"/>
          <w14:textFill>
            <w14:solidFill>
              <w14:schemeClr w14:val="tx1"/>
            </w14:solidFill>
          </w14:textFill>
        </w:rPr>
        <w:t>（一）加大招商引资力度，引进产业化龙头企业。</w:t>
      </w:r>
      <w:r>
        <w:rPr>
          <w:rFonts w:hint="eastAsia" w:ascii="仿宋_GB2312" w:hAnsi="仿宋_GB2312" w:eastAsia="仿宋_GB2312" w:cs="仿宋_GB2312"/>
          <w:color w:val="000000" w:themeColor="text1"/>
          <w:sz w:val="32"/>
          <w:szCs w:val="32"/>
          <w14:textFill>
            <w14:solidFill>
              <w14:schemeClr w14:val="tx1"/>
            </w14:solidFill>
          </w14:textFill>
        </w:rPr>
        <w:t>引进和服务好龙头企业，通过龙头企业的带动，积极推行订单农业，大力推广“公司+基地+农户”“公司+合作社+基地+农户”“公司+致富带头人+农户”等发展模式，调动各类市场主体参与现代农业建设、服务农村发展的积极性。</w:t>
      </w:r>
    </w:p>
    <w:p>
      <w:pPr>
        <w:spacing w:line="58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Cs/>
          <w:color w:val="000000" w:themeColor="text1"/>
          <w:sz w:val="32"/>
          <w:szCs w:val="32"/>
          <w14:textFill>
            <w14:solidFill>
              <w14:schemeClr w14:val="tx1"/>
            </w14:solidFill>
          </w14:textFill>
        </w:rPr>
        <w:t>（二）培育壮大本土新型农业经营主体。</w:t>
      </w:r>
      <w:r>
        <w:rPr>
          <w:rFonts w:hint="eastAsia" w:ascii="仿宋_GB2312" w:hAnsi="仿宋_GB2312" w:eastAsia="仿宋_GB2312" w:cs="仿宋_GB2312"/>
          <w:b/>
          <w:bCs/>
          <w:color w:val="000000" w:themeColor="text1"/>
          <w:sz w:val="32"/>
          <w:szCs w:val="32"/>
          <w14:textFill>
            <w14:solidFill>
              <w14:schemeClr w14:val="tx1"/>
            </w14:solidFill>
          </w14:textFill>
        </w:rPr>
        <w:t>一是</w:t>
      </w:r>
      <w:r>
        <w:rPr>
          <w:rFonts w:hint="eastAsia" w:ascii="仿宋_GB2312" w:hAnsi="仿宋_GB2312" w:eastAsia="仿宋_GB2312" w:cs="仿宋_GB2312"/>
          <w:color w:val="000000" w:themeColor="text1"/>
          <w:sz w:val="32"/>
          <w:szCs w:val="32"/>
          <w14:textFill>
            <w14:solidFill>
              <w14:schemeClr w14:val="tx1"/>
            </w14:solidFill>
          </w14:textFill>
        </w:rPr>
        <w:t>加快培养致富带头人和发展规模适度的家庭农场，培育各类新型农业经营主体，解决好现代农业组织化问题。构建以农户家庭经营为基础、合作与联合为纽带、社会化服务为支撑的现代农业经营体系，提高农业综合效益。</w:t>
      </w:r>
      <w:r>
        <w:rPr>
          <w:rFonts w:hint="eastAsia" w:ascii="仿宋_GB2312" w:hAnsi="仿宋_GB2312" w:eastAsia="仿宋_GB2312" w:cs="仿宋_GB2312"/>
          <w:b/>
          <w:color w:val="000000" w:themeColor="text1"/>
          <w:sz w:val="32"/>
          <w:szCs w:val="32"/>
          <w14:textFill>
            <w14:solidFill>
              <w14:schemeClr w14:val="tx1"/>
            </w14:solidFill>
          </w14:textFill>
        </w:rPr>
        <w:t>二是</w:t>
      </w:r>
      <w:r>
        <w:rPr>
          <w:rFonts w:hint="eastAsia" w:ascii="仿宋_GB2312" w:hAnsi="仿宋_GB2312" w:eastAsia="仿宋_GB2312" w:cs="仿宋_GB2312"/>
          <w:color w:val="000000" w:themeColor="text1"/>
          <w:sz w:val="32"/>
          <w:szCs w:val="32"/>
          <w14:textFill>
            <w14:solidFill>
              <w14:schemeClr w14:val="tx1"/>
            </w14:solidFill>
          </w14:textFill>
        </w:rPr>
        <w:t>鼓励和支持工商资本投资现代农业，促进农商联盟等新型经营模式发展。深化农业服务综合改革，创新农业社会化服务机制。</w:t>
      </w:r>
      <w:r>
        <w:rPr>
          <w:rFonts w:hint="eastAsia" w:ascii="仿宋_GB2312" w:hAnsi="仿宋_GB2312" w:eastAsia="仿宋_GB2312" w:cs="仿宋_GB2312"/>
          <w:b/>
          <w:color w:val="000000" w:themeColor="text1"/>
          <w:sz w:val="32"/>
          <w:szCs w:val="32"/>
          <w14:textFill>
            <w14:solidFill>
              <w14:schemeClr w14:val="tx1"/>
            </w14:solidFill>
          </w14:textFill>
        </w:rPr>
        <w:t>三是</w:t>
      </w:r>
      <w:r>
        <w:rPr>
          <w:rFonts w:hint="eastAsia" w:ascii="仿宋_GB2312" w:hAnsi="仿宋_GB2312" w:eastAsia="仿宋_GB2312" w:cs="仿宋_GB2312"/>
          <w:color w:val="000000" w:themeColor="text1"/>
          <w:sz w:val="32"/>
          <w:szCs w:val="32"/>
          <w14:textFill>
            <w14:solidFill>
              <w14:schemeClr w14:val="tx1"/>
            </w14:solidFill>
          </w14:textFill>
        </w:rPr>
        <w:t>实施农业社会化服务支撑工程，培育壮大经营性服务组织。支持科研机构、行业协会、龙头企业和具有资质的经营性服务组织从事农业公益性服务，支持多种类型的新型农业服务主体开展专业化、规模化服务。推进农业生产全程社会化服务创新试点，积极推广合作式、托管式、订单式等服务形式。</w:t>
      </w:r>
      <w:r>
        <w:rPr>
          <w:rFonts w:hint="eastAsia" w:ascii="仿宋_GB2312" w:hAnsi="仿宋_GB2312" w:eastAsia="仿宋_GB2312" w:cs="仿宋_GB2312"/>
          <w:b/>
          <w:color w:val="000000" w:themeColor="text1"/>
          <w:sz w:val="32"/>
          <w:szCs w:val="32"/>
          <w14:textFill>
            <w14:solidFill>
              <w14:schemeClr w14:val="tx1"/>
            </w14:solidFill>
          </w14:textFill>
        </w:rPr>
        <w:t>四是</w:t>
      </w:r>
      <w:r>
        <w:rPr>
          <w:rFonts w:hint="eastAsia" w:ascii="仿宋_GB2312" w:hAnsi="仿宋_GB2312" w:eastAsia="仿宋_GB2312" w:cs="仿宋_GB2312"/>
          <w:color w:val="000000" w:themeColor="text1"/>
          <w:sz w:val="32"/>
          <w:szCs w:val="32"/>
          <w14:textFill>
            <w14:solidFill>
              <w14:schemeClr w14:val="tx1"/>
            </w14:solidFill>
          </w14:textFill>
        </w:rPr>
        <w:t>加强农产品流通设施和市场建设，促进生产对接市场。利用消费扶贫、电商扶贫、农产品展销会、订单农业等平台和渠道，发挥“互联网+扶贫”作用，多方解决农产品“入市难”和“流通难”问题，建立“农工商一体化、产加销一条龙”的农业产业化体系。完善农村配送和综合服务网络，支持发展农村电商，实施特色农产品产区预冷工程和“快递下乡”工程。</w:t>
      </w:r>
    </w:p>
    <w:p>
      <w:pPr>
        <w:spacing w:line="60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Cs/>
          <w:color w:val="000000" w:themeColor="text1"/>
          <w:sz w:val="32"/>
          <w:szCs w:val="32"/>
          <w14:textFill>
            <w14:solidFill>
              <w14:schemeClr w14:val="tx1"/>
            </w14:solidFill>
          </w14:textFill>
        </w:rPr>
        <w:t>（三）提高装备和信息化水平。</w:t>
      </w:r>
      <w:r>
        <w:rPr>
          <w:rFonts w:hint="eastAsia" w:ascii="仿宋_GB2312" w:hAnsi="仿宋_GB2312" w:eastAsia="仿宋_GB2312" w:cs="仿宋_GB2312"/>
          <w:color w:val="000000" w:themeColor="text1"/>
          <w:sz w:val="32"/>
          <w:szCs w:val="32"/>
          <w14:textFill>
            <w14:solidFill>
              <w14:schemeClr w14:val="tx1"/>
            </w14:solidFill>
          </w14:textFill>
        </w:rPr>
        <w:t>激活现代农业科技创新推广体系，健全基层农业技术推广网络，加快推进农业机械化，推进农业信息化建设，加强农业与信息技术融合，发展智慧农业，提高农业生产力。实施农业物联网区域试验工程，推进农业物联网应用，提高农业智能化和精准化水平。推动信息技术与农业生产管理、经营管理、市场流通、资源环境等要素融合。推进农业大数据应用，增强农业综合信息服务能力。鼓励互联网企业建立产销衔接的农业服务平台，加快发展涉农电子商务。</w:t>
      </w:r>
    </w:p>
    <w:p>
      <w:pPr>
        <w:spacing w:line="54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Cs/>
          <w:color w:val="000000" w:themeColor="text1"/>
          <w:sz w:val="32"/>
          <w:szCs w:val="32"/>
          <w14:textFill>
            <w14:solidFill>
              <w14:schemeClr w14:val="tx1"/>
            </w14:solidFill>
          </w14:textFill>
        </w:rPr>
        <w:t>（四）确保农产品质量安全。</w:t>
      </w:r>
      <w:r>
        <w:rPr>
          <w:rFonts w:hint="eastAsia" w:ascii="仿宋_GB2312" w:hAnsi="仿宋_GB2312" w:eastAsia="仿宋_GB2312" w:cs="仿宋_GB2312"/>
          <w:color w:val="000000" w:themeColor="text1"/>
          <w:sz w:val="32"/>
          <w:szCs w:val="32"/>
          <w14:textFill>
            <w14:solidFill>
              <w14:schemeClr w14:val="tx1"/>
            </w14:solidFill>
          </w14:textFill>
        </w:rPr>
        <w:t>加快完善农业标准，全面推行农业标准化生产。加强农产品质量安全和农业投入品监管，强化农药和兽药残留超标治理，强化产地安全管理，实行产地准出和市场准入制度，建立全程可追溯、互联共享的农产品质量安全信息平台，建立从农田到餐桌的农产品质量安全全过程监管体系，实行严格的农产品质量安全可追溯制度、召回制度、市场准入和退出制度。严格食用农产品添加剂控制标准。开展国家农产品质量安全县创建行动。加强动植物疫病防控能力建设，强化进口农产品质量安全监管。</w:t>
      </w:r>
    </w:p>
    <w:p>
      <w:pPr>
        <w:spacing w:line="540" w:lineRule="exact"/>
        <w:ind w:firstLine="643" w:firstLineChars="200"/>
        <w:rPr>
          <w:rFonts w:ascii="仿宋_GB2312" w:hAnsi="仿宋_GB2312" w:eastAsia="仿宋_GB2312" w:cs="仿宋_GB2312"/>
          <w:b/>
          <w:bCs/>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六、完善承包土地管理体系</w:t>
      </w:r>
    </w:p>
    <w:p>
      <w:pPr>
        <w:spacing w:line="54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稳定农村土地承包关系，完善土地所有权、承包权、经营权分置办法，依法推进农村土地经营有序流转，通过代耕代种、联耕联种、土地托管、股份合作等方式，推动实现多种形式的农业适度规模经营；培育新型农业经营主体。健全有利于新型农业经营主体成长的政策体系，扶持发展种养大户和家庭农场，引导和促进农民合作社规范发展，培育壮大农业产业化龙头企业，大力培养新型职业农民，打造高素质现代农业生产经营者队伍。进一步完善土地确权登记数据库建设，建立健全承包合同管理制度，推进农村土地确权信息平台规范管理。推动承包地确权登记颁证信息平台互联互通，鼓励在土地经营权融资担保、农业保险、农业补贴、耕地轮作休耕、乡村产业规划编制等多领域应用承包地确权成果。深化农村土地制度改革，有序规范农村承包土地经营权流转。通过多种土地流转方式，将经营权有序向种植大户、家庭农场、农村合作社等新型经营主体集中流转，发展适度规模经营。探索更多有效的放活经营权的途径，以村集体经济组织为主导，推进整村整组连片集中长期流转方式；支持承包农户将土地经营权入股发展农业产业化经营，倡导推行租金保底和利润分红结合的收益分配机制。加强土地承包经营纠纷调解仲裁能力建设，有效化解农村土地纠纷。</w:t>
      </w:r>
    </w:p>
    <w:p>
      <w:pPr>
        <w:spacing w:line="540" w:lineRule="exact"/>
        <w:ind w:firstLine="643" w:firstLineChars="200"/>
        <w:rPr>
          <w:rFonts w:ascii="仿宋_GB2312" w:hAnsi="仿宋_GB2312" w:eastAsia="仿宋_GB2312" w:cs="仿宋_GB2312"/>
          <w:b/>
          <w:bCs/>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七、推进农村集体产权制度改革</w:t>
      </w:r>
    </w:p>
    <w:p>
      <w:pPr>
        <w:spacing w:line="54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加强农村集体资产管理，推进农村集体资产监督管理平台建设。围绕</w:t>
      </w:r>
      <w:r>
        <w:rPr>
          <w:rFonts w:hint="eastAsia" w:ascii="仿宋_GB2312" w:hAnsi="仿宋_GB2312" w:eastAsia="仿宋_GB2312" w:cs="仿宋_GB2312"/>
          <w:color w:val="000000" w:themeColor="text1"/>
          <w:sz w:val="32"/>
          <w:szCs w:val="32"/>
          <w:lang w:eastAsia="zh-CN"/>
          <w14:textFill>
            <w14:solidFill>
              <w14:schemeClr w14:val="tx1"/>
            </w14:solidFill>
          </w14:textFill>
        </w:rPr>
        <w:t>巩固拓展脱贫攻坚成果</w:t>
      </w:r>
      <w:r>
        <w:rPr>
          <w:rFonts w:hint="eastAsia" w:ascii="仿宋_GB2312" w:hAnsi="仿宋_GB2312" w:eastAsia="仿宋_GB2312" w:cs="仿宋_GB2312"/>
          <w:color w:val="000000" w:themeColor="text1"/>
          <w:sz w:val="32"/>
          <w:szCs w:val="32"/>
          <w14:textFill>
            <w14:solidFill>
              <w14:schemeClr w14:val="tx1"/>
            </w14:solidFill>
          </w14:textFill>
        </w:rPr>
        <w:t>和加快补齐“三农”领域短板两大重点任务，探索新型集体经济发展路径。以保障和维护农民合法权益为出发点和落脚点，以节约集约用地导向，严格规范农村宅基地管理，通过规划引导，因地制宜规范农村住房建设管理，全面改善农村居民的居住环境，鼓励盘活利用闲置宅基地和闲置住宅发展农村集体经济，为促进乡村振兴提供有力支撑。</w:t>
      </w:r>
    </w:p>
    <w:p>
      <w:pPr>
        <w:spacing w:before="156" w:beforeLines="50" w:after="156" w:afterLines="50" w:line="400" w:lineRule="exact"/>
        <w:jc w:val="center"/>
        <w:rPr>
          <w:rFonts w:ascii="Times New Roman" w:hAnsi="Times New Roman" w:eastAsia="仿宋" w:cs="仿宋"/>
          <w:b/>
          <w:color w:val="000000" w:themeColor="text1"/>
          <w:sz w:val="28"/>
          <w:szCs w:val="28"/>
          <w14:textFill>
            <w14:solidFill>
              <w14:schemeClr w14:val="tx1"/>
            </w14:solidFill>
          </w14:textFill>
        </w:rPr>
      </w:pPr>
      <w:r>
        <w:rPr>
          <w:rFonts w:hint="eastAsia" w:ascii="Times New Roman" w:hAnsi="Times New Roman" w:eastAsia="仿宋" w:cs="仿宋"/>
          <w:b/>
          <w:color w:val="000000" w:themeColor="text1"/>
          <w:sz w:val="28"/>
          <w:szCs w:val="28"/>
          <w14:textFill>
            <w14:solidFill>
              <w14:schemeClr w14:val="tx1"/>
            </w14:solidFill>
          </w14:textFill>
        </w:rPr>
        <w:t>专栏2  特色农业产业建设工程</w:t>
      </w:r>
    </w:p>
    <w:tbl>
      <w:tblPr>
        <w:tblStyle w:val="22"/>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8" w:hRule="atLeast"/>
          <w:jc w:val="center"/>
        </w:trPr>
        <w:tc>
          <w:tcPr>
            <w:tcW w:w="8520" w:type="dxa"/>
          </w:tcPr>
          <w:p>
            <w:pPr>
              <w:adjustRightInd w:val="0"/>
              <w:snapToGrid w:val="0"/>
              <w:spacing w:line="300" w:lineRule="auto"/>
              <w:rPr>
                <w:rFonts w:ascii="Times New Roman" w:hAnsi="Times New Roman" w:eastAsia="仿宋" w:cs="仿宋"/>
                <w:color w:val="000000" w:themeColor="text1"/>
                <w:sz w:val="24"/>
                <w14:textFill>
                  <w14:solidFill>
                    <w14:schemeClr w14:val="tx1"/>
                  </w14:solidFill>
                </w14:textFill>
              </w:rPr>
            </w:pPr>
            <w:r>
              <w:rPr>
                <w:rFonts w:hint="eastAsia" w:ascii="Times New Roman" w:hAnsi="Times New Roman" w:eastAsia="仿宋" w:cs="仿宋"/>
                <w:b/>
                <w:bCs/>
                <w:color w:val="000000" w:themeColor="text1"/>
                <w:sz w:val="24"/>
                <w14:textFill>
                  <w14:solidFill>
                    <w14:schemeClr w14:val="tx1"/>
                  </w14:solidFill>
                </w14:textFill>
              </w:rPr>
              <w:t>1.优质粮食产业：</w:t>
            </w:r>
            <w:r>
              <w:rPr>
                <w:rFonts w:hint="eastAsia" w:ascii="Times New Roman" w:hAnsi="Times New Roman" w:eastAsia="仿宋" w:cs="仿宋"/>
                <w:color w:val="000000" w:themeColor="text1"/>
                <w:sz w:val="24"/>
                <w14:textFill>
                  <w14:solidFill>
                    <w14:schemeClr w14:val="tx1"/>
                  </w14:solidFill>
                </w14:textFill>
              </w:rPr>
              <w:t>龙胜县地力恢复培育与高标准农田建设项目、龙胜县梯田系统保护工程项目、龙胜县耕地质量提升建设、公共植保项目。</w:t>
            </w:r>
          </w:p>
          <w:p>
            <w:pPr>
              <w:adjustRightInd w:val="0"/>
              <w:snapToGrid w:val="0"/>
              <w:spacing w:line="300" w:lineRule="auto"/>
              <w:rPr>
                <w:rFonts w:ascii="Times New Roman" w:hAnsi="Times New Roman" w:eastAsia="仿宋" w:cs="仿宋"/>
                <w:color w:val="000000" w:themeColor="text1"/>
                <w:sz w:val="24"/>
                <w14:textFill>
                  <w14:solidFill>
                    <w14:schemeClr w14:val="tx1"/>
                  </w14:solidFill>
                </w14:textFill>
              </w:rPr>
            </w:pPr>
            <w:r>
              <w:rPr>
                <w:rFonts w:hint="eastAsia" w:ascii="Times New Roman" w:hAnsi="Times New Roman" w:eastAsia="仿宋" w:cs="仿宋"/>
                <w:b/>
                <w:bCs/>
                <w:color w:val="000000" w:themeColor="text1"/>
                <w:sz w:val="24"/>
                <w14:textFill>
                  <w14:solidFill>
                    <w14:schemeClr w14:val="tx1"/>
                  </w14:solidFill>
                </w14:textFill>
              </w:rPr>
              <w:t>2.高山蔬菜产业：</w:t>
            </w:r>
            <w:r>
              <w:rPr>
                <w:rFonts w:hint="eastAsia" w:ascii="Times New Roman" w:hAnsi="Times New Roman" w:eastAsia="仿宋" w:cs="仿宋"/>
                <w:color w:val="000000" w:themeColor="text1"/>
                <w:sz w:val="24"/>
                <w14:textFill>
                  <w14:solidFill>
                    <w14:schemeClr w14:val="tx1"/>
                  </w14:solidFill>
                </w14:textFill>
              </w:rPr>
              <w:t>龙胜县伟江乡优质芭蕉芋产业发展（扩种与加工）项目，伟江高山蔬菜示范基地，平等镇、马堤乡等乡镇高山蔬菜种植推广项目。</w:t>
            </w:r>
          </w:p>
          <w:p>
            <w:pPr>
              <w:adjustRightInd w:val="0"/>
              <w:snapToGrid w:val="0"/>
              <w:spacing w:line="300" w:lineRule="auto"/>
              <w:rPr>
                <w:rFonts w:ascii="Times New Roman" w:hAnsi="Times New Roman" w:eastAsia="仿宋" w:cs="仿宋"/>
                <w:color w:val="000000" w:themeColor="text1"/>
                <w:sz w:val="24"/>
                <w14:textFill>
                  <w14:solidFill>
                    <w14:schemeClr w14:val="tx1"/>
                  </w14:solidFill>
                </w14:textFill>
              </w:rPr>
            </w:pPr>
            <w:r>
              <w:rPr>
                <w:rFonts w:hint="eastAsia" w:ascii="Times New Roman" w:hAnsi="Times New Roman" w:eastAsia="仿宋" w:cs="仿宋"/>
                <w:b/>
                <w:bCs/>
                <w:color w:val="000000" w:themeColor="text1"/>
                <w:sz w:val="24"/>
                <w14:textFill>
                  <w14:solidFill>
                    <w14:schemeClr w14:val="tx1"/>
                  </w14:solidFill>
                </w14:textFill>
              </w:rPr>
              <w:t>3.龙脊茶产业</w:t>
            </w:r>
            <w:r>
              <w:rPr>
                <w:rFonts w:hint="eastAsia" w:ascii="Times New Roman" w:hAnsi="Times New Roman" w:eastAsia="仿宋" w:cs="仿宋"/>
                <w:color w:val="000000" w:themeColor="text1"/>
                <w:sz w:val="24"/>
                <w14:textFill>
                  <w14:solidFill>
                    <w14:schemeClr w14:val="tx1"/>
                  </w14:solidFill>
                </w14:textFill>
              </w:rPr>
              <w:t>：龙胜县龙脊茶文化体验中心，龙脊镇高杆茶示范场建设，平等镇、乐江镇、马堤乡茶叶基地建设。</w:t>
            </w:r>
          </w:p>
          <w:p>
            <w:pPr>
              <w:adjustRightInd w:val="0"/>
              <w:snapToGrid w:val="0"/>
              <w:spacing w:line="300" w:lineRule="auto"/>
              <w:rPr>
                <w:rFonts w:ascii="Times New Roman" w:hAnsi="Times New Roman" w:eastAsia="仿宋" w:cs="仿宋"/>
                <w:color w:val="000000" w:themeColor="text1"/>
                <w:sz w:val="24"/>
                <w14:textFill>
                  <w14:solidFill>
                    <w14:schemeClr w14:val="tx1"/>
                  </w14:solidFill>
                </w14:textFill>
              </w:rPr>
            </w:pPr>
            <w:r>
              <w:rPr>
                <w:rFonts w:hint="eastAsia" w:ascii="Times New Roman" w:hAnsi="Times New Roman" w:eastAsia="仿宋" w:cs="仿宋"/>
                <w:b/>
                <w:bCs/>
                <w:color w:val="000000" w:themeColor="text1"/>
                <w:sz w:val="24"/>
                <w14:textFill>
                  <w14:solidFill>
                    <w14:schemeClr w14:val="tx1"/>
                  </w14:solidFill>
                </w14:textFill>
              </w:rPr>
              <w:t>4.现代智慧农业产业园区：</w:t>
            </w:r>
            <w:r>
              <w:rPr>
                <w:rFonts w:hint="eastAsia" w:ascii="Times New Roman" w:hAnsi="Times New Roman" w:eastAsia="仿宋" w:cs="仿宋"/>
                <w:color w:val="000000" w:themeColor="text1"/>
                <w:sz w:val="24"/>
                <w14:textFill>
                  <w14:solidFill>
                    <w14:schemeClr w14:val="tx1"/>
                  </w14:solidFill>
                </w14:textFill>
              </w:rPr>
              <w:t>龙胜县智慧农业示范工程、龙胜县上塘村现代农业示范区、龙胜县瓢里镇生态农业核心示范带、龙胜县产业扶贫示范基地全产业链提升工程项目、龙胜县特色优势产业项目、龙胜县马堤乡休闲农业示范建设项目、龙胜县农业生产力提升工程。</w:t>
            </w:r>
          </w:p>
          <w:p>
            <w:pPr>
              <w:adjustRightInd w:val="0"/>
              <w:snapToGrid w:val="0"/>
              <w:spacing w:line="300" w:lineRule="auto"/>
              <w:rPr>
                <w:rFonts w:ascii="Times New Roman" w:hAnsi="Times New Roman" w:eastAsia="仿宋" w:cs="仿宋"/>
                <w:color w:val="000000" w:themeColor="text1"/>
                <w:sz w:val="24"/>
                <w14:textFill>
                  <w14:solidFill>
                    <w14:schemeClr w14:val="tx1"/>
                  </w14:solidFill>
                </w14:textFill>
              </w:rPr>
            </w:pPr>
            <w:r>
              <w:rPr>
                <w:rFonts w:hint="eastAsia" w:ascii="Times New Roman" w:hAnsi="Times New Roman" w:eastAsia="仿宋" w:cs="仿宋"/>
                <w:b/>
                <w:bCs/>
                <w:color w:val="000000" w:themeColor="text1"/>
                <w:sz w:val="24"/>
                <w14:textFill>
                  <w14:solidFill>
                    <w14:schemeClr w14:val="tx1"/>
                  </w14:solidFill>
                </w14:textFill>
              </w:rPr>
              <w:t>5.田园综合体建设</w:t>
            </w:r>
            <w:r>
              <w:rPr>
                <w:rFonts w:hint="eastAsia" w:ascii="Times New Roman" w:hAnsi="Times New Roman" w:eastAsia="仿宋" w:cs="仿宋"/>
                <w:color w:val="000000" w:themeColor="text1"/>
                <w:sz w:val="24"/>
                <w14:textFill>
                  <w14:solidFill>
                    <w14:schemeClr w14:val="tx1"/>
                  </w14:solidFill>
                </w14:textFill>
              </w:rPr>
              <w:t>：龙胜县“寿比南山”田园综合体建设项目、龙胜县“花语泗水”田园综合体建设项目龙胜镇、江底乡、马堤乡、伟江乡、平等镇、乐江镇、瓢里镇、三门镇等乡镇田园综合体。</w:t>
            </w:r>
          </w:p>
          <w:p>
            <w:pPr>
              <w:adjustRightInd w:val="0"/>
              <w:snapToGrid w:val="0"/>
              <w:spacing w:line="300" w:lineRule="auto"/>
              <w:rPr>
                <w:rFonts w:ascii="Times New Roman" w:hAnsi="Times New Roman"/>
                <w:color w:val="000000" w:themeColor="text1"/>
                <w14:textFill>
                  <w14:solidFill>
                    <w14:schemeClr w14:val="tx1"/>
                  </w14:solidFill>
                </w14:textFill>
              </w:rPr>
            </w:pPr>
            <w:r>
              <w:rPr>
                <w:rFonts w:hint="eastAsia" w:ascii="Times New Roman" w:hAnsi="Times New Roman" w:eastAsia="仿宋" w:cs="仿宋"/>
                <w:b/>
                <w:bCs/>
                <w:color w:val="000000" w:themeColor="text1"/>
                <w:sz w:val="24"/>
                <w14:textFill>
                  <w14:solidFill>
                    <w14:schemeClr w14:val="tx1"/>
                  </w14:solidFill>
                </w14:textFill>
              </w:rPr>
              <w:t>6.农特产品及其它项目：</w:t>
            </w:r>
            <w:r>
              <w:rPr>
                <w:rFonts w:hint="eastAsia" w:ascii="Times New Roman" w:hAnsi="Times New Roman" w:eastAsia="仿宋" w:cs="仿宋"/>
                <w:color w:val="000000" w:themeColor="text1"/>
                <w:sz w:val="24"/>
                <w14:textFill>
                  <w14:solidFill>
                    <w14:schemeClr w14:val="tx1"/>
                  </w14:solidFill>
                </w14:textFill>
              </w:rPr>
              <w:t>龙胜县民族名优农特产品展销街区提升项目、龙胜县农产品品牌建设、龙胜县特色优势产业项目、龙胜县农产品质量安全监管建设项目、龙胜县新型经营主体培育工程、龙胜县高素质农民培训与科技示范项目、龙胜县农村事务服务能力提升项目、龙胜县罗汉果深加工项目。</w:t>
            </w:r>
          </w:p>
        </w:tc>
      </w:tr>
    </w:tbl>
    <w:p>
      <w:pPr>
        <w:pStyle w:val="4"/>
        <w:keepNext w:val="0"/>
        <w:keepLines w:val="0"/>
        <w:spacing w:before="0" w:after="0" w:line="54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第二节  实施乡村建设行动</w:t>
      </w:r>
    </w:p>
    <w:p>
      <w:pPr>
        <w:spacing w:line="540" w:lineRule="exact"/>
        <w:ind w:firstLine="640" w:firstLineChars="200"/>
        <w:rPr>
          <w:rFonts w:ascii="Times New Roman" w:hAnsi="Times New Roman" w:eastAsia="楷体_GB2312"/>
          <w:bCs/>
          <w:color w:val="000000" w:themeColor="text1"/>
          <w:sz w:val="32"/>
          <w:szCs w:val="32"/>
          <w14:textFill>
            <w14:solidFill>
              <w14:schemeClr w14:val="tx1"/>
            </w14:solidFill>
          </w14:textFill>
        </w:rPr>
      </w:pPr>
    </w:p>
    <w:p>
      <w:pPr>
        <w:spacing w:line="540" w:lineRule="exact"/>
        <w:ind w:firstLine="643" w:firstLineChars="200"/>
        <w:rPr>
          <w:rFonts w:ascii="Times New Roman" w:hAnsi="Times New Roman" w:eastAsia="仿宋_GB2312"/>
          <w:color w:val="000000" w:themeColor="text1"/>
          <w:sz w:val="32"/>
          <w:szCs w:val="32"/>
          <w14:textFill>
            <w14:solidFill>
              <w14:schemeClr w14:val="tx1"/>
            </w14:solidFill>
          </w14:textFill>
        </w:rPr>
      </w:pPr>
      <w:r>
        <w:rPr>
          <w:rFonts w:hint="eastAsia" w:ascii="Times New Roman" w:hAnsi="Times New Roman" w:eastAsia="楷体_GB2312"/>
          <w:b/>
          <w:color w:val="000000" w:themeColor="text1"/>
          <w:sz w:val="32"/>
          <w:szCs w:val="32"/>
          <w14:textFill>
            <w14:solidFill>
              <w14:schemeClr w14:val="tx1"/>
            </w14:solidFill>
          </w14:textFill>
        </w:rPr>
        <w:t>（一）改善农村人居环境，建设生态宜居乡村。</w:t>
      </w:r>
      <w:r>
        <w:rPr>
          <w:rFonts w:hint="eastAsia" w:ascii="Times New Roman" w:hAnsi="Times New Roman" w:eastAsia="仿宋_GB2312"/>
          <w:color w:val="000000" w:themeColor="text1"/>
          <w:sz w:val="32"/>
          <w:szCs w:val="32"/>
          <w14:textFill>
            <w14:solidFill>
              <w14:schemeClr w14:val="tx1"/>
            </w14:solidFill>
          </w14:textFill>
        </w:rPr>
        <w:t>加强农村人居环境整治，扭转农村脏乱差局面，把原有的农村生活垃圾进行彻底清理，实施厕所革命，实现100%的家庭有卫生厕所；全面推进农村生活垃圾治理，开展就地分类、源头减量试点；梯次推进农村生活污水治理，优先解决乡镇所在地和中心村生活污水问题。开展农村黑臭水体治理，支持农民群众开展村庄清洁和绿化行动，推进“美丽家园”建设，全面提升乡村人居环境质量水平。</w:t>
      </w:r>
    </w:p>
    <w:p>
      <w:pPr>
        <w:pStyle w:val="31"/>
        <w:autoSpaceDE/>
        <w:autoSpaceDN/>
        <w:adjustRightInd/>
        <w:spacing w:line="540" w:lineRule="exact"/>
        <w:ind w:firstLine="643" w:firstLineChars="200"/>
        <w:rPr>
          <w:rFonts w:ascii="Times New Roman" w:hAnsi="Times New Roman" w:eastAsia="仿宋_GB2312"/>
          <w:color w:val="000000" w:themeColor="text1"/>
          <w:sz w:val="32"/>
          <w:szCs w:val="32"/>
          <w14:textFill>
            <w14:solidFill>
              <w14:schemeClr w14:val="tx1"/>
            </w14:solidFill>
          </w14:textFill>
        </w:rPr>
      </w:pPr>
      <w:r>
        <w:rPr>
          <w:rFonts w:hint="eastAsia" w:ascii="Times New Roman" w:hAnsi="Times New Roman" w:eastAsia="楷体_GB2312"/>
          <w:b/>
          <w:color w:val="000000" w:themeColor="text1"/>
          <w:kern w:val="2"/>
          <w:sz w:val="32"/>
          <w:szCs w:val="32"/>
          <w14:textFill>
            <w14:solidFill>
              <w14:schemeClr w14:val="tx1"/>
            </w14:solidFill>
          </w14:textFill>
        </w:rPr>
        <w:t>（二）利用及保护传统村落，在传承保护中发展。</w:t>
      </w:r>
      <w:r>
        <w:rPr>
          <w:rFonts w:hint="eastAsia" w:ascii="Times New Roman" w:hAnsi="Times New Roman" w:eastAsia="仿宋_GB2312"/>
          <w:color w:val="000000" w:themeColor="text1"/>
          <w:sz w:val="32"/>
          <w:szCs w:val="32"/>
          <w14:textFill>
            <w14:solidFill>
              <w14:schemeClr w14:val="tx1"/>
            </w14:solidFill>
          </w14:textFill>
        </w:rPr>
        <w:t>以“百村示范、千屯整治”工程为重要抓手，加大利用和保护传统村落，使旧村古寨焕发新活力。以“保护为主、抢救为先、传承为本、利用为要”的总体思路，积极探索传统村落保护路径，发动广大群众，抢救历史物件、口述资料、传统民俗，保留传统民房、民居建筑风貌，保护古宅、古井、古桥、古树、古迹；鼓励返乡创业人员返回古村发展电商、盆景、特色民俗表演等新业态，带动村民就业，在保护和传承中发展。</w:t>
      </w:r>
    </w:p>
    <w:p>
      <w:pPr>
        <w:pStyle w:val="31"/>
        <w:autoSpaceDE/>
        <w:autoSpaceDN/>
        <w:adjustRightInd/>
        <w:spacing w:line="540" w:lineRule="exact"/>
        <w:ind w:firstLine="643" w:firstLineChars="200"/>
        <w:rPr>
          <w:rFonts w:ascii="Times New Roman" w:hAnsi="Times New Roman" w:eastAsia="仿宋_GB2312"/>
          <w:color w:val="000000" w:themeColor="text1"/>
          <w:sz w:val="32"/>
          <w:szCs w:val="32"/>
          <w14:textFill>
            <w14:solidFill>
              <w14:schemeClr w14:val="tx1"/>
            </w14:solidFill>
          </w14:textFill>
        </w:rPr>
      </w:pPr>
      <w:r>
        <w:rPr>
          <w:rFonts w:hint="eastAsia" w:ascii="Times New Roman" w:hAnsi="Times New Roman" w:eastAsia="楷体_GB2312"/>
          <w:b/>
          <w:color w:val="000000" w:themeColor="text1"/>
          <w:kern w:val="2"/>
          <w:sz w:val="32"/>
          <w:szCs w:val="32"/>
          <w14:textFill>
            <w14:solidFill>
              <w14:schemeClr w14:val="tx1"/>
            </w14:solidFill>
          </w14:textFill>
        </w:rPr>
        <w:t>（三）加强村庄规划编制，管控好农房。</w:t>
      </w:r>
      <w:r>
        <w:rPr>
          <w:rFonts w:hint="eastAsia" w:ascii="Times New Roman" w:hAnsi="Times New Roman" w:eastAsia="仿宋_GB2312"/>
          <w:color w:val="000000" w:themeColor="text1"/>
          <w:sz w:val="32"/>
          <w:szCs w:val="32"/>
          <w14:textFill>
            <w14:solidFill>
              <w14:schemeClr w14:val="tx1"/>
            </w14:solidFill>
          </w14:textFill>
        </w:rPr>
        <w:t>加强农村村民建住宅的规划设计管控、宅基地管理、建设管控、监管执法等工作，推进乡村振兴战略实施和“美丽广西”乡村建设。落实党中央、国务院关于开展农村乱占耕地建房问题整治的决策部署，进一步厘清各部门职责分工，压紧压实工作责任，切实加强农房管控，严格实施乡村建房许可制度。</w:t>
      </w:r>
    </w:p>
    <w:p>
      <w:pPr>
        <w:pStyle w:val="31"/>
        <w:autoSpaceDE/>
        <w:autoSpaceDN/>
        <w:adjustRightInd/>
        <w:spacing w:line="540" w:lineRule="exact"/>
        <w:ind w:firstLine="643" w:firstLineChars="200"/>
        <w:rPr>
          <w:rFonts w:ascii="Times New Roman" w:hAnsi="Times New Roman" w:eastAsia="仿宋_GB2312"/>
          <w:color w:val="000000" w:themeColor="text1"/>
          <w:sz w:val="32"/>
          <w:szCs w:val="32"/>
          <w14:textFill>
            <w14:solidFill>
              <w14:schemeClr w14:val="tx1"/>
            </w14:solidFill>
          </w14:textFill>
        </w:rPr>
      </w:pPr>
      <w:r>
        <w:rPr>
          <w:rFonts w:hint="eastAsia" w:ascii="Times New Roman" w:hAnsi="Times New Roman" w:eastAsia="楷体_GB2312"/>
          <w:b/>
          <w:color w:val="000000" w:themeColor="text1"/>
          <w:kern w:val="2"/>
          <w:sz w:val="32"/>
          <w:szCs w:val="32"/>
          <w14:textFill>
            <w14:solidFill>
              <w14:schemeClr w14:val="tx1"/>
            </w14:solidFill>
          </w14:textFill>
        </w:rPr>
        <w:t>（四）提升农村基础设施。</w:t>
      </w:r>
      <w:r>
        <w:rPr>
          <w:rFonts w:hint="eastAsia" w:ascii="Times New Roman" w:hAnsi="Times New Roman" w:eastAsia="仿宋_GB2312"/>
          <w:color w:val="000000" w:themeColor="text1"/>
          <w:sz w:val="32"/>
          <w:szCs w:val="32"/>
          <w14:textFill>
            <w14:solidFill>
              <w14:schemeClr w14:val="tx1"/>
            </w14:solidFill>
          </w14:textFill>
        </w:rPr>
        <w:t>在全面巩固住房安全和饮水安全的基础上，加强农村通村路、通屯路升级改造，基本实现村村通、屯屯通水泥硬化路；加强农村公共服务基础设施建设，基本实现20户以上的聚居屯有停车场、有路灯等；加强农村通讯网络建设，实现20户以上聚居屯通宽带，5G网络全覆盖。</w:t>
      </w:r>
    </w:p>
    <w:p>
      <w:pPr>
        <w:pStyle w:val="31"/>
        <w:autoSpaceDE/>
        <w:autoSpaceDN/>
        <w:adjustRightInd/>
        <w:spacing w:line="540" w:lineRule="exact"/>
        <w:ind w:firstLine="643" w:firstLineChars="200"/>
        <w:rPr>
          <w:rFonts w:ascii="Times New Roman" w:hAnsi="Times New Roman" w:eastAsia="仿宋_GB2312"/>
          <w:color w:val="000000" w:themeColor="text1"/>
          <w:sz w:val="32"/>
          <w:szCs w:val="32"/>
          <w14:textFill>
            <w14:solidFill>
              <w14:schemeClr w14:val="tx1"/>
            </w14:solidFill>
          </w14:textFill>
        </w:rPr>
      </w:pPr>
      <w:r>
        <w:rPr>
          <w:rFonts w:hint="eastAsia" w:ascii="Times New Roman" w:hAnsi="Times New Roman" w:eastAsia="楷体_GB2312"/>
          <w:b/>
          <w:color w:val="000000" w:themeColor="text1"/>
          <w:kern w:val="2"/>
          <w:sz w:val="32"/>
          <w:szCs w:val="32"/>
          <w14:textFill>
            <w14:solidFill>
              <w14:schemeClr w14:val="tx1"/>
            </w14:solidFill>
          </w14:textFill>
        </w:rPr>
        <w:t>（五）统筹县域城镇带动乡村协调发展。</w:t>
      </w:r>
      <w:r>
        <w:rPr>
          <w:rFonts w:hint="eastAsia" w:ascii="Times New Roman" w:hAnsi="Times New Roman" w:eastAsia="仿宋_GB2312"/>
          <w:color w:val="000000" w:themeColor="text1"/>
          <w:sz w:val="32"/>
          <w:szCs w:val="32"/>
          <w14:textFill>
            <w14:solidFill>
              <w14:schemeClr w14:val="tx1"/>
            </w14:solidFill>
          </w14:textFill>
        </w:rPr>
        <w:t>强化县城和乡镇中心城镇的综合服务能力，把县城和乡镇建成服务农村和农民的区域中心。</w:t>
      </w:r>
    </w:p>
    <w:p>
      <w:pPr>
        <w:pStyle w:val="4"/>
        <w:keepNext w:val="0"/>
        <w:keepLines w:val="0"/>
        <w:spacing w:before="0" w:after="0" w:line="240" w:lineRule="auto"/>
        <w:jc w:val="center"/>
        <w:rPr>
          <w:rFonts w:ascii="楷体_GB2312" w:hAnsi="楷体_GB2312" w:eastAsia="楷体_GB2312" w:cs="楷体_GB2312"/>
          <w:b w:val="0"/>
          <w:color w:val="000000" w:themeColor="text1"/>
          <w14:textFill>
            <w14:solidFill>
              <w14:schemeClr w14:val="tx1"/>
            </w14:solidFill>
          </w14:textFill>
        </w:rPr>
      </w:pPr>
    </w:p>
    <w:p>
      <w:pPr>
        <w:pStyle w:val="4"/>
        <w:keepNext w:val="0"/>
        <w:keepLines w:val="0"/>
        <w:spacing w:before="0" w:after="0" w:line="240" w:lineRule="auto"/>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第三节  健全乡村治理体系</w:t>
      </w:r>
    </w:p>
    <w:p>
      <w:pPr>
        <w:rPr>
          <w:rFonts w:ascii="仿宋_GB2312" w:hAnsi="仿宋_GB2312" w:eastAsia="仿宋_GB2312" w:cs="仿宋_GB2312"/>
          <w:color w:val="000000" w:themeColor="text1"/>
          <w:sz w:val="32"/>
          <w:szCs w:val="32"/>
          <w14:textFill>
            <w14:solidFill>
              <w14:schemeClr w14:val="tx1"/>
            </w14:solidFill>
          </w14:textFill>
        </w:rPr>
      </w:pPr>
    </w:p>
    <w:p>
      <w:pPr>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践行社会主义核心价值观，加强农村精神文明建设、公共文化建设等内容。健全自治、法治、德治相结合的乡村治理体系。充分发挥党组织领导核心作用，加强乡风文明建设，加快形成自治为基、法治为本、德治为先的“三治”结合的乡村治理格局，为实施乡村振兴战略提供有力支撑。</w:t>
      </w:r>
    </w:p>
    <w:p>
      <w:pPr>
        <w:ind w:firstLine="643"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color w:val="000000" w:themeColor="text1"/>
          <w:sz w:val="32"/>
          <w:szCs w:val="32"/>
          <w14:textFill>
            <w14:solidFill>
              <w14:schemeClr w14:val="tx1"/>
            </w14:solidFill>
          </w14:textFill>
        </w:rPr>
        <w:t>（一）发挥基层党组织作用。</w:t>
      </w:r>
      <w:r>
        <w:rPr>
          <w:rFonts w:hint="eastAsia" w:ascii="仿宋_GB2312" w:hAnsi="仿宋_GB2312" w:eastAsia="仿宋_GB2312" w:cs="仿宋_GB2312"/>
          <w:color w:val="000000" w:themeColor="text1"/>
          <w:sz w:val="32"/>
          <w:szCs w:val="32"/>
          <w14:textFill>
            <w14:solidFill>
              <w14:schemeClr w14:val="tx1"/>
            </w14:solidFill>
          </w14:textFill>
        </w:rPr>
        <w:t>抓好村“两委”换届工作，选优配强村党组织书记，全面推行村党组织书记兼任村委会主任，整顿软弱涣散村党组织。开展“争百强、创示范、村村达标”活动，确保基层组织、工作、管理、活动、保障“五规范”。</w:t>
      </w:r>
    </w:p>
    <w:p>
      <w:pPr>
        <w:ind w:firstLine="643"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color w:val="000000" w:themeColor="text1"/>
          <w:sz w:val="32"/>
          <w:szCs w:val="32"/>
          <w14:textFill>
            <w14:solidFill>
              <w14:schemeClr w14:val="tx1"/>
            </w14:solidFill>
          </w14:textFill>
        </w:rPr>
        <w:t>（二）促进自治法治德治结合。</w:t>
      </w:r>
      <w:r>
        <w:rPr>
          <w:rFonts w:hint="eastAsia" w:ascii="仿宋_GB2312" w:hAnsi="仿宋_GB2312" w:eastAsia="仿宋_GB2312" w:cs="仿宋_GB2312"/>
          <w:color w:val="000000" w:themeColor="text1"/>
          <w:sz w:val="32"/>
          <w:szCs w:val="32"/>
          <w14:textFill>
            <w14:solidFill>
              <w14:schemeClr w14:val="tx1"/>
            </w14:solidFill>
          </w14:textFill>
        </w:rPr>
        <w:t>加强村民委员会、村务监督委员会等村民自治组织建设，推行“四议两公开”和全民参与构建“合力治”格局，以提升村民自治水平。加大抓党建促村级集体经济发展工作力度，以乡镇为单位逐村分析研究，制定切实可行发展村级集体经济的实施方案。鼓励村党支部领办合作社，统筹整合资金重点扶持集体经济薄弱村。加强农村基层自治组织的科学化、规范化管理，加强村级组织活动场所建设，推动各类资源向农村倾斜、重心向农村下移，确保农村基层组织活动有经费、有场地，为村民办好事、实事打下坚实的经济基础。</w:t>
      </w:r>
    </w:p>
    <w:p>
      <w:pPr>
        <w:ind w:firstLine="643"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color w:val="000000" w:themeColor="text1"/>
          <w:sz w:val="32"/>
          <w:szCs w:val="32"/>
          <w14:textFill>
            <w14:solidFill>
              <w14:schemeClr w14:val="tx1"/>
            </w14:solidFill>
          </w14:textFill>
        </w:rPr>
        <w:t>（三）推进乡风文明建设。</w:t>
      </w:r>
      <w:r>
        <w:rPr>
          <w:rFonts w:hint="eastAsia" w:ascii="仿宋_GB2312" w:hAnsi="仿宋_GB2312" w:eastAsia="仿宋_GB2312" w:cs="仿宋_GB2312"/>
          <w:color w:val="000000" w:themeColor="text1"/>
          <w:sz w:val="32"/>
          <w:szCs w:val="32"/>
          <w14:textFill>
            <w14:solidFill>
              <w14:schemeClr w14:val="tx1"/>
            </w14:solidFill>
          </w14:textFill>
        </w:rPr>
        <w:t>以乡风文明建设为主线，加强精神文明建设，加快推进移风易俗，加大公共文化供给，培育文明乡风、良好家风、淳朴民风，推进文化振兴，让乡村“活”起来。</w:t>
      </w:r>
    </w:p>
    <w:p>
      <w:pPr>
        <w:ind w:firstLine="643"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color w:val="000000" w:themeColor="text1"/>
          <w:sz w:val="32"/>
          <w:szCs w:val="32"/>
          <w14:textFill>
            <w14:solidFill>
              <w14:schemeClr w14:val="tx1"/>
            </w14:solidFill>
          </w14:textFill>
        </w:rPr>
        <w:t>（四）实现生活富裕。</w:t>
      </w:r>
      <w:r>
        <w:rPr>
          <w:rFonts w:hint="eastAsia" w:ascii="仿宋_GB2312" w:hAnsi="仿宋_GB2312" w:eastAsia="仿宋_GB2312" w:cs="仿宋_GB2312"/>
          <w:color w:val="000000" w:themeColor="text1"/>
          <w:sz w:val="32"/>
          <w:szCs w:val="32"/>
          <w14:textFill>
            <w14:solidFill>
              <w14:schemeClr w14:val="tx1"/>
            </w14:solidFill>
          </w14:textFill>
        </w:rPr>
        <w:t>构建长效政策机制，保持“以工哺农”、“财政奖补”等惠农政策稳定，通过发展“一乡一业”、“一村一品”特色产业增加农民收入。通过发展集体经济、组织农民外出务工经商、增加农民财产性收入等多种渠道，不断缩小城乡居民收入差距，让广大农民尽快富裕起来。</w:t>
      </w:r>
    </w:p>
    <w:p>
      <w:pPr>
        <w:adjustRightInd w:val="0"/>
        <w:snapToGrid w:val="0"/>
        <w:spacing w:line="300" w:lineRule="auto"/>
        <w:jc w:val="center"/>
        <w:rPr>
          <w:rFonts w:ascii="Times New Roman" w:hAnsi="Times New Roman" w:eastAsia="仿宋" w:cs="仿宋"/>
          <w:b/>
          <w:color w:val="000000" w:themeColor="text1"/>
          <w:sz w:val="28"/>
          <w:szCs w:val="28"/>
          <w14:textFill>
            <w14:solidFill>
              <w14:schemeClr w14:val="tx1"/>
            </w14:solidFill>
          </w14:textFill>
        </w:rPr>
      </w:pPr>
    </w:p>
    <w:p>
      <w:pPr>
        <w:adjustRightInd w:val="0"/>
        <w:snapToGrid w:val="0"/>
        <w:spacing w:line="300" w:lineRule="auto"/>
        <w:jc w:val="center"/>
        <w:rPr>
          <w:rFonts w:ascii="Times New Roman" w:hAnsi="Times New Roman" w:eastAsia="仿宋" w:cs="仿宋"/>
          <w:b/>
          <w:color w:val="000000" w:themeColor="text1"/>
          <w:sz w:val="28"/>
          <w:szCs w:val="28"/>
          <w14:textFill>
            <w14:solidFill>
              <w14:schemeClr w14:val="tx1"/>
            </w14:solidFill>
          </w14:textFill>
        </w:rPr>
      </w:pPr>
      <w:r>
        <w:rPr>
          <w:rFonts w:hint="eastAsia" w:ascii="Times New Roman" w:hAnsi="Times New Roman" w:eastAsia="仿宋" w:cs="仿宋"/>
          <w:b/>
          <w:color w:val="000000" w:themeColor="text1"/>
          <w:sz w:val="28"/>
          <w:szCs w:val="28"/>
          <w14:textFill>
            <w14:solidFill>
              <w14:schemeClr w14:val="tx1"/>
            </w14:solidFill>
          </w14:textFill>
        </w:rPr>
        <w:t>专栏</w:t>
      </w:r>
      <w:r>
        <w:rPr>
          <w:rFonts w:ascii="Times New Roman" w:hAnsi="Times New Roman" w:eastAsia="仿宋" w:cs="仿宋"/>
          <w:b/>
          <w:color w:val="000000" w:themeColor="text1"/>
          <w:sz w:val="28"/>
          <w:szCs w:val="28"/>
          <w14:textFill>
            <w14:solidFill>
              <w14:schemeClr w14:val="tx1"/>
            </w14:solidFill>
          </w14:textFill>
        </w:rPr>
        <w:t>3</w:t>
      </w:r>
      <w:r>
        <w:rPr>
          <w:rFonts w:hint="eastAsia" w:ascii="Times New Roman" w:hAnsi="Times New Roman" w:eastAsia="仿宋" w:cs="仿宋"/>
          <w:b/>
          <w:color w:val="000000" w:themeColor="text1"/>
          <w:sz w:val="28"/>
          <w:szCs w:val="28"/>
          <w14:textFill>
            <w14:solidFill>
              <w14:schemeClr w14:val="tx1"/>
            </w14:solidFill>
          </w14:textFill>
        </w:rPr>
        <w:t xml:space="preserve">  生态宜居乡村建设工程</w:t>
      </w:r>
    </w:p>
    <w:tbl>
      <w:tblPr>
        <w:tblStyle w:val="22"/>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6" w:hRule="atLeast"/>
          <w:jc w:val="center"/>
        </w:trPr>
        <w:tc>
          <w:tcPr>
            <w:tcW w:w="9071" w:type="dxa"/>
          </w:tcPr>
          <w:p>
            <w:pPr>
              <w:spacing w:line="300" w:lineRule="auto"/>
              <w:jc w:val="left"/>
              <w:rPr>
                <w:rFonts w:ascii="Times New Roman" w:hAnsi="Times New Roman" w:eastAsia="仿宋" w:cs="仿宋"/>
                <w:bCs/>
                <w:color w:val="000000" w:themeColor="text1"/>
                <w:sz w:val="24"/>
                <w14:textFill>
                  <w14:solidFill>
                    <w14:schemeClr w14:val="tx1"/>
                  </w14:solidFill>
                </w14:textFill>
              </w:rPr>
            </w:pPr>
            <w:r>
              <w:rPr>
                <w:rFonts w:hint="eastAsia" w:ascii="Times New Roman" w:hAnsi="Times New Roman" w:eastAsia="仿宋" w:cs="仿宋"/>
                <w:b/>
                <w:color w:val="000000" w:themeColor="text1"/>
                <w:sz w:val="24"/>
                <w14:textFill>
                  <w14:solidFill>
                    <w14:schemeClr w14:val="tx1"/>
                  </w14:solidFill>
                </w14:textFill>
              </w:rPr>
              <w:t>1.新型城镇化示范：</w:t>
            </w:r>
            <w:r>
              <w:rPr>
                <w:rFonts w:hint="eastAsia" w:ascii="Times New Roman" w:hAnsi="Times New Roman" w:eastAsia="仿宋" w:cs="仿宋"/>
                <w:bCs/>
                <w:color w:val="000000" w:themeColor="text1"/>
                <w:sz w:val="24"/>
                <w14:textFill>
                  <w14:solidFill>
                    <w14:schemeClr w14:val="tx1"/>
                  </w14:solidFill>
                </w14:textFill>
              </w:rPr>
              <w:t>伟江乡、马堤乡、江底乡、泗水乡。</w:t>
            </w:r>
          </w:p>
          <w:p>
            <w:pPr>
              <w:spacing w:line="300" w:lineRule="auto"/>
              <w:jc w:val="left"/>
              <w:rPr>
                <w:rFonts w:ascii="Times New Roman" w:hAnsi="Times New Roman" w:eastAsia="仿宋" w:cs="仿宋"/>
                <w:bCs/>
                <w:color w:val="000000" w:themeColor="text1"/>
                <w:sz w:val="24"/>
                <w14:textFill>
                  <w14:solidFill>
                    <w14:schemeClr w14:val="tx1"/>
                  </w14:solidFill>
                </w14:textFill>
              </w:rPr>
            </w:pPr>
            <w:r>
              <w:rPr>
                <w:rFonts w:hint="eastAsia" w:ascii="Times New Roman" w:hAnsi="Times New Roman" w:eastAsia="仿宋" w:cs="仿宋"/>
                <w:b/>
                <w:color w:val="000000" w:themeColor="text1"/>
                <w:sz w:val="24"/>
                <w14:textFill>
                  <w14:solidFill>
                    <w14:schemeClr w14:val="tx1"/>
                  </w14:solidFill>
                </w14:textFill>
              </w:rPr>
              <w:t>2.农村污拉收集处理：</w:t>
            </w:r>
            <w:r>
              <w:rPr>
                <w:rFonts w:hint="eastAsia" w:ascii="Times New Roman" w:hAnsi="Times New Roman" w:eastAsia="仿宋" w:cs="仿宋"/>
                <w:bCs/>
                <w:color w:val="000000" w:themeColor="text1"/>
                <w:sz w:val="24"/>
                <w14:textFill>
                  <w14:solidFill>
                    <w14:schemeClr w14:val="tx1"/>
                  </w14:solidFill>
                </w14:textFill>
              </w:rPr>
              <w:t>龙胜镇、龙脊镇、泗水乡、江底乡、马堤乡、伟江乡、平等镇、乐江镇、瓢里镇、三门镇。</w:t>
            </w:r>
          </w:p>
          <w:p>
            <w:pPr>
              <w:spacing w:line="300" w:lineRule="auto"/>
              <w:jc w:val="left"/>
              <w:rPr>
                <w:rFonts w:ascii="Times New Roman" w:hAnsi="Times New Roman" w:eastAsia="仿宋" w:cs="仿宋"/>
                <w:color w:val="000000" w:themeColor="text1"/>
                <w:sz w:val="24"/>
                <w14:textFill>
                  <w14:solidFill>
                    <w14:schemeClr w14:val="tx1"/>
                  </w14:solidFill>
                </w14:textFill>
              </w:rPr>
            </w:pPr>
            <w:r>
              <w:rPr>
                <w:rFonts w:hint="eastAsia" w:ascii="Times New Roman" w:hAnsi="Times New Roman" w:eastAsia="仿宋" w:cs="仿宋"/>
                <w:b/>
                <w:color w:val="000000" w:themeColor="text1"/>
                <w:sz w:val="24"/>
                <w14:textFill>
                  <w14:solidFill>
                    <w14:schemeClr w14:val="tx1"/>
                  </w14:solidFill>
                </w14:textFill>
              </w:rPr>
              <w:t>3.人居环境及乡村风貌提升：</w:t>
            </w:r>
            <w:r>
              <w:rPr>
                <w:rFonts w:hint="eastAsia" w:ascii="Times New Roman" w:hAnsi="Times New Roman" w:eastAsia="仿宋" w:cs="仿宋"/>
                <w:bCs/>
                <w:color w:val="000000" w:themeColor="text1"/>
                <w:sz w:val="24"/>
                <w14:textFill>
                  <w14:solidFill>
                    <w14:schemeClr w14:val="tx1"/>
                  </w14:solidFill>
                </w14:textFill>
              </w:rPr>
              <w:t>龙胜镇、龙脊镇、泗水乡、江底乡、马堤乡、伟江乡、平等镇、乐江镇、瓢里镇、三门镇等10个乡镇的人居环境改善，同时以“两高两道(即高铁高速、国道省道)”为重点提升乡村风貌。</w:t>
            </w:r>
          </w:p>
        </w:tc>
      </w:tr>
    </w:tbl>
    <w:p>
      <w:pPr>
        <w:pStyle w:val="4"/>
        <w:keepNext w:val="0"/>
        <w:keepLines w:val="0"/>
        <w:spacing w:before="0" w:after="0" w:line="240" w:lineRule="auto"/>
        <w:jc w:val="center"/>
        <w:rPr>
          <w:rFonts w:ascii="Times New Roman" w:hAnsi="Times New Roman" w:eastAsia="黑体" w:cs="黑体"/>
          <w:b w:val="0"/>
          <w:color w:val="000000" w:themeColor="text1"/>
          <w14:textFill>
            <w14:solidFill>
              <w14:schemeClr w14:val="tx1"/>
            </w14:solidFill>
          </w14:textFill>
        </w:rPr>
      </w:pPr>
    </w:p>
    <w:p>
      <w:pPr>
        <w:pStyle w:val="4"/>
        <w:keepNext w:val="0"/>
        <w:keepLines w:val="0"/>
        <w:spacing w:before="0" w:after="0" w:line="240" w:lineRule="auto"/>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第四节  巩固拓展脱贫攻坚成果</w:t>
      </w:r>
    </w:p>
    <w:p>
      <w:pPr>
        <w:rPr>
          <w:rFonts w:ascii="Times New Roman" w:hAnsi="Times New Roman" w:eastAsia="仿宋_GB2312"/>
          <w:color w:val="000000" w:themeColor="text1"/>
          <w:sz w:val="32"/>
          <w:szCs w:val="32"/>
          <w14:textFill>
            <w14:solidFill>
              <w14:schemeClr w14:val="tx1"/>
            </w14:solidFill>
          </w14:textFill>
        </w:rPr>
      </w:pPr>
    </w:p>
    <w:p>
      <w:pPr>
        <w:spacing w:line="560" w:lineRule="exact"/>
        <w:ind w:firstLine="640" w:firstLineChars="200"/>
        <w:rPr>
          <w:rFonts w:ascii="Times New Roman" w:hAnsi="Times New Roman" w:eastAsia="仿宋_GB2312"/>
          <w:color w:val="000000" w:themeColor="text1"/>
          <w:sz w:val="32"/>
          <w:szCs w:val="32"/>
          <w14:textFill>
            <w14:solidFill>
              <w14:schemeClr w14:val="tx1"/>
            </w14:solidFill>
          </w14:textFill>
        </w:rPr>
      </w:pPr>
      <w:r>
        <w:rPr>
          <w:rFonts w:hint="eastAsia" w:ascii="Times New Roman" w:hAnsi="Times New Roman" w:eastAsia="仿宋_GB2312"/>
          <w:color w:val="000000" w:themeColor="text1"/>
          <w:sz w:val="32"/>
          <w:szCs w:val="32"/>
          <w14:textFill>
            <w14:solidFill>
              <w14:schemeClr w14:val="tx1"/>
            </w14:solidFill>
          </w14:textFill>
        </w:rPr>
        <w:t>抓好五年过渡期，实现</w:t>
      </w:r>
      <w:r>
        <w:rPr>
          <w:rFonts w:hint="eastAsia" w:ascii="Times New Roman" w:hAnsi="Times New Roman" w:eastAsia="仿宋_GB2312"/>
          <w:color w:val="000000" w:themeColor="text1"/>
          <w:sz w:val="32"/>
          <w:szCs w:val="32"/>
          <w:lang w:eastAsia="zh-CN"/>
          <w14:textFill>
            <w14:solidFill>
              <w14:schemeClr w14:val="tx1"/>
            </w14:solidFill>
          </w14:textFill>
        </w:rPr>
        <w:t>巩固拓展脱贫攻坚成果同乡村振兴有效衔接</w:t>
      </w:r>
      <w:r>
        <w:rPr>
          <w:rFonts w:hint="eastAsia" w:ascii="Times New Roman" w:hAnsi="Times New Roman" w:eastAsia="仿宋_GB2312"/>
          <w:color w:val="000000" w:themeColor="text1"/>
          <w:sz w:val="32"/>
          <w:szCs w:val="32"/>
          <w14:textFill>
            <w14:solidFill>
              <w14:schemeClr w14:val="tx1"/>
            </w14:solidFill>
          </w14:textFill>
        </w:rPr>
        <w:t>，确保过渡期内主要帮扶政策保持总体稳定，以及集中资源由支持脱贫攻坚向全面推进乡村振兴转变。贯彻落实桂林市提出的“一巩固两结合”要求，推进巩固拓展脱贫攻坚成果与乡村振兴、国际旅游胜地建设升级发展相结合，以实施乡村振兴战略持续巩固和扩大脱贫攻坚成果。严格落实脱贫攻坚“四个不摘”要求，保持现有帮扶政策、资金支持、帮扶力量总体稳定。做好政策的有效衔接，对县内相关扶贫政策按照乡村振兴的总体要求进行优化完善。健全防止返贫监测帮扶机制，对脱贫村、脱贫人口开展监测，对易返贫致贫户做好及时监测和帮扶。持续发展产业，拓宽脱贫人口致富途径，促进稳岗就业；持续抓好农村基础设施建设，改善村屯道路、水利、通讯等生产生活条件和村容村貌。建立农村危房安全动态管理机制，强化易地搬迁后续帮扶工作。建立农村低收入人口帮扶衔接机制，健全农村社会保障和救助制度。</w:t>
      </w:r>
    </w:p>
    <w:p>
      <w:pPr>
        <w:rPr>
          <w:rFonts w:ascii="Times New Roman" w:hAnsi="Times New Roman" w:eastAsia="黑体" w:cs="黑体"/>
          <w:bCs/>
          <w:color w:val="000000" w:themeColor="text1"/>
          <w:sz w:val="32"/>
          <w:szCs w:val="32"/>
          <w14:textFill>
            <w14:solidFill>
              <w14:schemeClr w14:val="tx1"/>
            </w14:solidFill>
          </w14:textFill>
        </w:rPr>
      </w:pPr>
      <w:r>
        <w:rPr>
          <w:rFonts w:hint="eastAsia" w:ascii="Times New Roman" w:hAnsi="Times New Roman" w:eastAsia="黑体" w:cs="黑体"/>
          <w:bCs/>
          <w:color w:val="000000" w:themeColor="text1"/>
          <w:sz w:val="32"/>
          <w:szCs w:val="32"/>
          <w14:textFill>
            <w14:solidFill>
              <w14:schemeClr w14:val="tx1"/>
            </w14:solidFill>
          </w14:textFill>
        </w:rPr>
        <w:br w:type="page"/>
      </w:r>
    </w:p>
    <w:p>
      <w:pPr>
        <w:pStyle w:val="4"/>
        <w:keepNext w:val="0"/>
        <w:keepLines w:val="0"/>
        <w:spacing w:before="0" w:after="0" w:line="560" w:lineRule="exact"/>
        <w:jc w:val="center"/>
        <w:rPr>
          <w:rFonts w:ascii="Times New Roman" w:hAnsi="Times New Roman" w:eastAsia="黑体" w:cs="黑体"/>
          <w:b w:val="0"/>
          <w:color w:val="000000" w:themeColor="text1"/>
          <w14:textFill>
            <w14:solidFill>
              <w14:schemeClr w14:val="tx1"/>
            </w14:solidFill>
          </w14:textFill>
        </w:rPr>
      </w:pPr>
      <w:r>
        <w:rPr>
          <w:rFonts w:hint="eastAsia" w:ascii="Times New Roman" w:hAnsi="Times New Roman" w:eastAsia="黑体" w:cs="黑体"/>
          <w:b w:val="0"/>
          <w:color w:val="000000" w:themeColor="text1"/>
          <w14:textFill>
            <w14:solidFill>
              <w14:schemeClr w14:val="tx1"/>
            </w14:solidFill>
          </w14:textFill>
        </w:rPr>
        <w:t>第六章  促进文旅振兴，铸就国际品牌</w:t>
      </w:r>
      <w:bookmarkEnd w:id="113"/>
      <w:bookmarkEnd w:id="114"/>
    </w:p>
    <w:p>
      <w:pPr>
        <w:pStyle w:val="41"/>
        <w:keepNext w:val="0"/>
        <w:keepLines w:val="0"/>
        <w:adjustRightInd/>
        <w:snapToGrid/>
        <w:spacing w:before="0" w:beforeLines="0" w:line="560" w:lineRule="exact"/>
        <w:ind w:left="0" w:leftChars="0"/>
        <w:jc w:val="center"/>
        <w:outlineLvl w:val="0"/>
        <w:rPr>
          <w:rFonts w:ascii="Times New Roman" w:hAnsi="Times New Roman" w:eastAsia="仿宋_GB2312"/>
          <w:color w:val="000000" w:themeColor="text1"/>
          <w14:textFill>
            <w14:solidFill>
              <w14:schemeClr w14:val="tx1"/>
            </w14:solidFill>
          </w14:textFill>
        </w:rPr>
      </w:pPr>
    </w:p>
    <w:p>
      <w:pPr>
        <w:spacing w:line="560" w:lineRule="exact"/>
        <w:ind w:firstLine="640" w:firstLineChars="200"/>
        <w:rPr>
          <w:rFonts w:ascii="Times New Roman" w:hAnsi="Times New Roman" w:eastAsia="仿宋_GB2312"/>
          <w:color w:val="000000" w:themeColor="text1"/>
          <w:sz w:val="32"/>
          <w:szCs w:val="32"/>
          <w14:textFill>
            <w14:solidFill>
              <w14:schemeClr w14:val="tx1"/>
            </w14:solidFill>
          </w14:textFill>
        </w:rPr>
      </w:pPr>
      <w:bookmarkStart w:id="115" w:name="_Hlk27428526"/>
      <w:r>
        <w:rPr>
          <w:rFonts w:hint="eastAsia" w:ascii="Times New Roman" w:hAnsi="Times New Roman" w:eastAsia="仿宋_GB2312"/>
          <w:color w:val="000000" w:themeColor="text1"/>
          <w:sz w:val="32"/>
          <w:szCs w:val="32"/>
          <w14:textFill>
            <w14:solidFill>
              <w14:schemeClr w14:val="tx1"/>
            </w14:solidFill>
          </w14:textFill>
        </w:rPr>
        <w:t>以桂林国际旅游胜地提质升级发展建设为契机，传承红色基因，建设全国红色旅游强县。以打造“世界梯田原乡、多民族生态博物馆、中国红玉之乡、康寿养生胜地、有机产业大园区”等特色品牌为目标，以创建国家全域旅游示范区为平台，推动文化事业发展与旅游相结合，全力推进智慧广电工程，发展民族体育事业。着力构建全空间优化、全资源整合、全要素提升、全产业融合、全服务覆盖、全方位突破的发展新模式，奋力推进全县文化广电体育和旅游产业发展迈上新台阶。2021到2025年预计全县旅游接待人数达6000万人次，实现旅游总消费600亿元以上。其中，2025年旅游接待人数达到1400万人次以上，年均增长15%以上；旅游总消费达到130亿元以上，年均增长10%左右。</w:t>
      </w:r>
    </w:p>
    <w:bookmarkEnd w:id="115"/>
    <w:p>
      <w:pPr>
        <w:pStyle w:val="4"/>
        <w:keepNext w:val="0"/>
        <w:keepLines w:val="0"/>
        <w:spacing w:before="0" w:after="0" w:line="560" w:lineRule="exact"/>
        <w:jc w:val="center"/>
        <w:rPr>
          <w:rFonts w:ascii="Times New Roman" w:hAnsi="Times New Roman" w:eastAsia="黑体" w:cs="黑体"/>
          <w:bCs w:val="0"/>
          <w:color w:val="000000" w:themeColor="text1"/>
          <w14:textFill>
            <w14:solidFill>
              <w14:schemeClr w14:val="tx1"/>
            </w14:solidFill>
          </w14:textFill>
        </w:rPr>
      </w:pPr>
      <w:bookmarkStart w:id="116" w:name="_Toc61110789"/>
      <w:bookmarkStart w:id="117" w:name="_Toc17178"/>
      <w:bookmarkStart w:id="118" w:name="_Hlk27428530"/>
      <w:bookmarkStart w:id="119" w:name="_Hlk27428727"/>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第一节  推进全域旅游建设</w:t>
      </w:r>
      <w:bookmarkEnd w:id="116"/>
      <w:bookmarkEnd w:id="117"/>
    </w:p>
    <w:p>
      <w:pPr>
        <w:spacing w:line="560" w:lineRule="exact"/>
        <w:rPr>
          <w:rFonts w:ascii="楷体_GB2312" w:hAnsi="Times New Roman" w:eastAsia="楷体_GB2312" w:cs="仿宋_GB2312"/>
          <w:bCs/>
          <w:color w:val="000000" w:themeColor="text1"/>
          <w:sz w:val="32"/>
          <w:szCs w:val="32"/>
          <w14:textFill>
            <w14:solidFill>
              <w14:schemeClr w14:val="tx1"/>
            </w14:solidFill>
          </w14:textFill>
        </w:rPr>
      </w:pPr>
    </w:p>
    <w:p>
      <w:pPr>
        <w:spacing w:line="560" w:lineRule="exact"/>
        <w:ind w:firstLine="643" w:firstLineChars="200"/>
        <w:rPr>
          <w:rFonts w:ascii="Times New Roman" w:hAnsi="Times New Roman" w:eastAsia="仿宋_GB2312"/>
          <w:color w:val="000000" w:themeColor="text1"/>
          <w:sz w:val="32"/>
          <w:szCs w:val="32"/>
          <w14:textFill>
            <w14:solidFill>
              <w14:schemeClr w14:val="tx1"/>
            </w14:solidFill>
          </w14:textFill>
        </w:rPr>
      </w:pPr>
      <w:r>
        <w:rPr>
          <w:rFonts w:hint="eastAsia" w:ascii="楷体_GB2312" w:hAnsi="Times New Roman" w:eastAsia="楷体_GB2312" w:cs="仿宋_GB2312"/>
          <w:b/>
          <w:color w:val="000000" w:themeColor="text1"/>
          <w:sz w:val="32"/>
          <w:szCs w:val="32"/>
          <w14:textFill>
            <w14:solidFill>
              <w14:schemeClr w14:val="tx1"/>
            </w14:solidFill>
          </w14:textFill>
        </w:rPr>
        <w:t>（一）融入桂林国际旅游胜地建设。</w:t>
      </w:r>
      <w:r>
        <w:rPr>
          <w:rFonts w:hint="eastAsia" w:ascii="Times New Roman" w:hAnsi="Times New Roman" w:eastAsia="仿宋_GB2312"/>
          <w:color w:val="000000" w:themeColor="text1"/>
          <w:sz w:val="32"/>
          <w:szCs w:val="32"/>
          <w14:textFill>
            <w14:solidFill>
              <w14:schemeClr w14:val="tx1"/>
            </w14:solidFill>
          </w14:textFill>
        </w:rPr>
        <w:t>以桂林国际旅游胜地建设为契机，按照建设一流的精品景区、提供一流的旅游服务、培育一流的旅游品牌、建成一流的消费中心、形成一流的文旅体验，建设一流的康养基地“六个一流”的要求，实施一批旅游提质工程，主动融入桂林国际旅游胜地建设，推进旅游产业高质量发展，创建国家级旅游标准化示范县。</w:t>
      </w:r>
    </w:p>
    <w:p>
      <w:pPr>
        <w:pStyle w:val="31"/>
        <w:autoSpaceDE/>
        <w:autoSpaceDN/>
        <w:adjustRightInd/>
        <w:spacing w:line="560" w:lineRule="exact"/>
        <w:ind w:firstLine="643" w:firstLineChars="200"/>
        <w:rPr>
          <w:rFonts w:ascii="楷体_GB2312" w:hAnsi="Times New Roman" w:eastAsia="楷体_GB2312" w:cs="仿宋_GB2312"/>
          <w:bCs/>
          <w:color w:val="000000" w:themeColor="text1"/>
          <w:sz w:val="32"/>
          <w:szCs w:val="32"/>
          <w14:textFill>
            <w14:solidFill>
              <w14:schemeClr w14:val="tx1"/>
            </w14:solidFill>
          </w14:textFill>
        </w:rPr>
      </w:pPr>
      <w:r>
        <w:rPr>
          <w:rFonts w:hint="eastAsia" w:ascii="楷体_GB2312" w:hAnsi="Times New Roman" w:eastAsia="楷体_GB2312" w:cs="仿宋_GB2312"/>
          <w:b/>
          <w:color w:val="000000" w:themeColor="text1"/>
          <w:sz w:val="32"/>
          <w:szCs w:val="32"/>
          <w14:textFill>
            <w14:solidFill>
              <w14:schemeClr w14:val="tx1"/>
            </w14:solidFill>
          </w14:textFill>
        </w:rPr>
        <w:t>（二）</w:t>
      </w:r>
      <w:r>
        <w:rPr>
          <w:rFonts w:hint="eastAsia" w:ascii="楷体_GB2312" w:hAnsi="Times New Roman" w:eastAsia="楷体_GB2312" w:cs="仿宋_GB2312"/>
          <w:b/>
          <w:color w:val="000000" w:themeColor="text1"/>
          <w:kern w:val="2"/>
          <w:sz w:val="32"/>
          <w:szCs w:val="32"/>
          <w14:textFill>
            <w14:solidFill>
              <w14:schemeClr w14:val="tx1"/>
            </w14:solidFill>
          </w14:textFill>
        </w:rPr>
        <w:t>全面建设红色旅游强县。</w:t>
      </w:r>
      <w:r>
        <w:rPr>
          <w:rFonts w:hint="eastAsia" w:ascii="Times New Roman" w:hAnsi="Times New Roman" w:eastAsia="仿宋_GB2312" w:cs="仿宋_GB2312"/>
          <w:color w:val="000000" w:themeColor="text1"/>
          <w:kern w:val="2"/>
          <w:sz w:val="32"/>
          <w:szCs w:val="32"/>
          <w14:textFill>
            <w14:solidFill>
              <w14:schemeClr w14:val="tx1"/>
            </w14:solidFill>
          </w14:textFill>
        </w:rPr>
        <w:t>结合长征国家文化公园建设，唱响红色龙胜品牌。在深度挖掘多民族文化内涵、党的民族政策在龙胜成功实践对中国革命影响的基础上，创建红色旅游特色小镇，打造集“原生态民族文化展示+党的民族政策实践+国家级非物质文化遗产传承保护+民族风情体验”于一体的开放式红军践行民族政策研学基地，将其作为红军长征过龙胜历史、民族政策实施以及龙胜各民族风情集中展现的窗口，成为中外游客了解龙胜灿烂的民族文化的第一站，打造“长征体验在龙胜”等品牌。</w:t>
      </w:r>
    </w:p>
    <w:p>
      <w:pPr>
        <w:spacing w:line="560" w:lineRule="exact"/>
        <w:ind w:firstLine="643" w:firstLineChars="200"/>
        <w:textAlignment w:val="baseline"/>
        <w:rPr>
          <w:rFonts w:ascii="Times New Roman" w:hAnsi="Times New Roman" w:eastAsia="仿宋_GB2312"/>
          <w:color w:val="000000" w:themeColor="text1"/>
          <w:sz w:val="32"/>
          <w:szCs w:val="32"/>
          <w14:textFill>
            <w14:solidFill>
              <w14:schemeClr w14:val="tx1"/>
            </w14:solidFill>
          </w14:textFill>
        </w:rPr>
      </w:pPr>
      <w:r>
        <w:rPr>
          <w:rFonts w:hint="eastAsia" w:ascii="楷体_GB2312" w:hAnsi="Times New Roman" w:eastAsia="楷体_GB2312" w:cs="仿宋_GB2312"/>
          <w:b/>
          <w:color w:val="000000" w:themeColor="text1"/>
          <w:sz w:val="32"/>
          <w:szCs w:val="32"/>
          <w14:textFill>
            <w14:solidFill>
              <w14:schemeClr w14:val="tx1"/>
            </w14:solidFill>
          </w14:textFill>
        </w:rPr>
        <w:t>（三）推进全域旅游建设。</w:t>
      </w:r>
      <w:r>
        <w:rPr>
          <w:rFonts w:hint="eastAsia" w:ascii="Times New Roman" w:hAnsi="Times New Roman" w:eastAsia="仿宋_GB2312" w:cs="仿宋_GB2312"/>
          <w:color w:val="000000" w:themeColor="text1"/>
          <w:sz w:val="32"/>
          <w:szCs w:val="32"/>
          <w14:textFill>
            <w14:solidFill>
              <w14:schemeClr w14:val="tx1"/>
            </w14:solidFill>
          </w14:textFill>
        </w:rPr>
        <w:t>以全域旅游大景区、有机产业大园区和生态旅游大环线为抓手，把“生态、旅游、健康”作为旅游行业工作的核心，以重大旅游项目为突破口，接续将旅游业作为战略性支柱产业、核心产业和品牌产业来发展，按照“全县大景区、全域大旅游”思路重点打造 “一核两重四镇五区”。</w:t>
      </w:r>
      <w:r>
        <w:rPr>
          <w:rFonts w:hint="eastAsia" w:ascii="Times New Roman" w:hAnsi="Times New Roman" w:eastAsia="仿宋_GB2312" w:cs="仿宋_GB2312"/>
          <w:b/>
          <w:color w:val="000000" w:themeColor="text1"/>
          <w:sz w:val="32"/>
          <w:szCs w:val="32"/>
          <w14:textFill>
            <w14:solidFill>
              <w14:schemeClr w14:val="tx1"/>
            </w14:solidFill>
          </w14:textFill>
        </w:rPr>
        <w:t>“一核”</w:t>
      </w:r>
      <w:r>
        <w:rPr>
          <w:rFonts w:hint="eastAsia" w:ascii="Times New Roman" w:hAnsi="Times New Roman" w:eastAsia="仿宋_GB2312" w:cs="仿宋_GB2312"/>
          <w:color w:val="000000" w:themeColor="text1"/>
          <w:sz w:val="32"/>
          <w:szCs w:val="32"/>
          <w14:textFill>
            <w14:solidFill>
              <w14:schemeClr w14:val="tx1"/>
            </w14:solidFill>
          </w14:textFill>
        </w:rPr>
        <w:t>即以县城为核心，尽快把县城打造成AAAA级景区。重点建设红军在龙胜践行民族政策研学基地、特色街区、红色旅游小镇，把县城打造成桂湘黔名优特产集散地，策划一场大型民族演艺等；</w:t>
      </w:r>
      <w:r>
        <w:rPr>
          <w:rFonts w:hint="eastAsia" w:ascii="Times New Roman" w:hAnsi="Times New Roman" w:eastAsia="仿宋_GB2312" w:cs="仿宋_GB2312"/>
          <w:b/>
          <w:color w:val="000000" w:themeColor="text1"/>
          <w:sz w:val="32"/>
          <w:szCs w:val="32"/>
          <w14:textFill>
            <w14:solidFill>
              <w14:schemeClr w14:val="tx1"/>
            </w14:solidFill>
          </w14:textFill>
        </w:rPr>
        <w:t>“两重”</w:t>
      </w:r>
      <w:r>
        <w:rPr>
          <w:rFonts w:hint="eastAsia" w:ascii="Times New Roman" w:hAnsi="Times New Roman" w:eastAsia="仿宋_GB2312" w:cs="仿宋_GB2312"/>
          <w:color w:val="000000" w:themeColor="text1"/>
          <w:sz w:val="32"/>
          <w:szCs w:val="32"/>
          <w14:textFill>
            <w14:solidFill>
              <w14:schemeClr w14:val="tx1"/>
            </w14:solidFill>
          </w14:textFill>
        </w:rPr>
        <w:t>即以龙脊景区和南山景区为重点建设景区。龙脊景区以建设龙脊游客中心、多民族生态博物园、龙脊旅游小镇、龙胜民族文化园、中国长发科技馆为载体，</w:t>
      </w:r>
      <w:r>
        <w:rPr>
          <w:rFonts w:hint="eastAsia" w:ascii="Times New Roman" w:hAnsi="Times New Roman" w:eastAsia="仿宋_GB2312" w:cs="仿宋_GB2312"/>
          <w:color w:val="0000FF"/>
          <w:sz w:val="32"/>
          <w:szCs w:val="32"/>
        </w:rPr>
        <w:t>规划和新建龙脊镇大寨村— 小寨村—江柳村—黄江村—马海村—白石村—大柳村—摆岭村—三十六坡—龙胜镇上孟旅游小循环路</w:t>
      </w:r>
      <w:r>
        <w:rPr>
          <w:rFonts w:hint="eastAsia" w:ascii="Times New Roman" w:hAnsi="Times New Roman" w:eastAsia="仿宋_GB2312" w:cs="仿宋_GB2312"/>
          <w:color w:val="000000" w:themeColor="text1"/>
          <w:sz w:val="32"/>
          <w:szCs w:val="32"/>
          <w14:textFill>
            <w14:solidFill>
              <w14:schemeClr w14:val="tx1"/>
            </w14:solidFill>
          </w14:textFill>
        </w:rPr>
        <w:t>，拓宽龙脊梯田范围。开发潘内梯田景区，策划多种体验性旅游项目，推进龙脊景区创国家AAAAA景区进程，构建大龙脊景区格局。南山景区结合红军长征过龙胜以及独特的民族文化、高山草原等资源，打造多种体验项目；</w:t>
      </w:r>
      <w:r>
        <w:rPr>
          <w:rFonts w:hint="eastAsia" w:ascii="Times New Roman" w:hAnsi="Times New Roman" w:eastAsia="仿宋_GB2312" w:cs="仿宋_GB2312"/>
          <w:b/>
          <w:color w:val="000000" w:themeColor="text1"/>
          <w:sz w:val="32"/>
          <w:szCs w:val="32"/>
          <w14:textFill>
            <w14:solidFill>
              <w14:schemeClr w14:val="tx1"/>
            </w14:solidFill>
          </w14:textFill>
        </w:rPr>
        <w:t>“四镇”</w:t>
      </w:r>
      <w:r>
        <w:rPr>
          <w:rFonts w:hint="eastAsia" w:ascii="Times New Roman" w:hAnsi="Times New Roman" w:eastAsia="仿宋_GB2312" w:cs="仿宋_GB2312"/>
          <w:color w:val="000000" w:themeColor="text1"/>
          <w:sz w:val="32"/>
          <w:szCs w:val="32"/>
          <w14:textFill>
            <w14:solidFill>
              <w14:schemeClr w14:val="tx1"/>
            </w14:solidFill>
          </w14:textFill>
        </w:rPr>
        <w:t>即在生态旅游大环线上建设苗、瑶、侗、壮四个民族特色小镇，充分展示少数民族文化魅力；</w:t>
      </w:r>
      <w:r>
        <w:rPr>
          <w:rFonts w:hint="eastAsia" w:ascii="Times New Roman" w:hAnsi="Times New Roman" w:eastAsia="仿宋_GB2312" w:cs="仿宋_GB2312"/>
          <w:b/>
          <w:color w:val="000000" w:themeColor="text1"/>
          <w:sz w:val="32"/>
          <w:szCs w:val="32"/>
          <w14:textFill>
            <w14:solidFill>
              <w14:schemeClr w14:val="tx1"/>
            </w14:solidFill>
          </w14:textFill>
        </w:rPr>
        <w:t>“五区”</w:t>
      </w:r>
      <w:r>
        <w:rPr>
          <w:rFonts w:hint="eastAsia" w:ascii="Times New Roman" w:hAnsi="Times New Roman" w:eastAsia="仿宋_GB2312" w:cs="仿宋_GB2312"/>
          <w:color w:val="000000" w:themeColor="text1"/>
          <w:sz w:val="32"/>
          <w:szCs w:val="32"/>
          <w14:textFill>
            <w14:solidFill>
              <w14:schemeClr w14:val="tx1"/>
            </w14:solidFill>
          </w14:textFill>
        </w:rPr>
        <w:t>即提升和建设龙胜温泉、彭祖坪、西江坪、大坪塘、花坪等五个康养度假区，并在空间上合理布局、打造重点景区，从而辐射周边村寨，形成每个乡镇一个景区，每个片区一种特色产业，最终实现全县、全民、全产业的全域旅游，创建国家级全域旅游示范区。</w:t>
      </w:r>
    </w:p>
    <w:bookmarkEnd w:id="118"/>
    <w:bookmarkEnd w:id="119"/>
    <w:p>
      <w:pPr>
        <w:spacing w:line="560" w:lineRule="exact"/>
        <w:ind w:firstLine="643" w:firstLineChars="200"/>
        <w:rPr>
          <w:rFonts w:ascii="Times New Roman" w:hAnsi="Times New Roman" w:eastAsia="仿宋_GB2312"/>
          <w:color w:val="000000" w:themeColor="text1"/>
          <w:sz w:val="32"/>
          <w:szCs w:val="32"/>
          <w14:textFill>
            <w14:solidFill>
              <w14:schemeClr w14:val="tx1"/>
            </w14:solidFill>
          </w14:textFill>
        </w:rPr>
      </w:pPr>
      <w:r>
        <w:rPr>
          <w:rFonts w:hint="eastAsia" w:ascii="楷体_GB2312" w:hAnsi="Times New Roman" w:eastAsia="楷体_GB2312" w:cs="仿宋_GB2312"/>
          <w:b/>
          <w:color w:val="000000" w:themeColor="text1"/>
          <w:sz w:val="32"/>
          <w:szCs w:val="32"/>
          <w14:textFill>
            <w14:solidFill>
              <w14:schemeClr w14:val="tx1"/>
            </w14:solidFill>
          </w14:textFill>
        </w:rPr>
        <w:t>（四）实施景区提质工程。</w:t>
      </w:r>
      <w:r>
        <w:rPr>
          <w:rFonts w:hint="eastAsia" w:ascii="Times New Roman" w:hAnsi="Times New Roman" w:eastAsia="仿宋_GB2312"/>
          <w:color w:val="000000" w:themeColor="text1"/>
          <w:sz w:val="32"/>
          <w:szCs w:val="32"/>
          <w14:textFill>
            <w14:solidFill>
              <w14:schemeClr w14:val="tx1"/>
            </w14:solidFill>
          </w14:textFill>
        </w:rPr>
        <w:t>推进旅游精品景区，完善景区功能配套。引进国内外知名品牌企业，打造世界一流的旅游休闲度假“样板区”。探索开放式旅游新模式，建成世界一流的景区型城区，培育世界级文旅品牌。</w:t>
      </w:r>
    </w:p>
    <w:p>
      <w:pPr>
        <w:spacing w:line="560" w:lineRule="exact"/>
        <w:ind w:firstLine="643" w:firstLineChars="200"/>
        <w:rPr>
          <w:rFonts w:ascii="Times New Roman" w:hAnsi="Times New Roman" w:eastAsia="仿宋_GB2312"/>
          <w:color w:val="000000" w:themeColor="text1"/>
          <w:sz w:val="32"/>
          <w:szCs w:val="32"/>
          <w14:textFill>
            <w14:solidFill>
              <w14:schemeClr w14:val="tx1"/>
            </w14:solidFill>
          </w14:textFill>
        </w:rPr>
      </w:pPr>
      <w:r>
        <w:rPr>
          <w:rFonts w:hint="eastAsia" w:ascii="楷体_GB2312" w:hAnsi="Times New Roman" w:eastAsia="楷体_GB2312" w:cs="仿宋_GB2312"/>
          <w:b/>
          <w:color w:val="000000" w:themeColor="text1"/>
          <w:sz w:val="32"/>
          <w:szCs w:val="32"/>
          <w14:textFill>
            <w14:solidFill>
              <w14:schemeClr w14:val="tx1"/>
            </w14:solidFill>
          </w14:textFill>
        </w:rPr>
        <w:t>（五）实施文旅融合工程。</w:t>
      </w:r>
      <w:bookmarkStart w:id="120" w:name="_Hlk25674591"/>
      <w:r>
        <w:rPr>
          <w:rFonts w:hint="eastAsia" w:ascii="Times New Roman" w:hAnsi="Times New Roman" w:eastAsia="仿宋_GB2312"/>
          <w:color w:val="000000" w:themeColor="text1"/>
          <w:sz w:val="32"/>
          <w:szCs w:val="32"/>
          <w14:textFill>
            <w14:solidFill>
              <w14:schemeClr w14:val="tx1"/>
            </w14:solidFill>
          </w14:textFill>
        </w:rPr>
        <w:t>坚持以文促旅、以旅兴文，</w:t>
      </w:r>
      <w:bookmarkEnd w:id="120"/>
      <w:bookmarkStart w:id="121" w:name="_Hlk25674602"/>
      <w:r>
        <w:rPr>
          <w:rFonts w:hint="eastAsia" w:ascii="Times New Roman" w:hAnsi="Times New Roman" w:eastAsia="仿宋_GB2312"/>
          <w:color w:val="000000" w:themeColor="text1"/>
          <w:sz w:val="32"/>
          <w:szCs w:val="32"/>
          <w14:textFill>
            <w14:solidFill>
              <w14:schemeClr w14:val="tx1"/>
            </w14:solidFill>
          </w14:textFill>
        </w:rPr>
        <w:t>做精山水文化游、做大红色文化游、做强养生文化游、做亮夜间文化游。</w:t>
      </w:r>
      <w:bookmarkEnd w:id="121"/>
      <w:r>
        <w:rPr>
          <w:rFonts w:hint="eastAsia" w:ascii="Times New Roman" w:hAnsi="Times New Roman" w:eastAsia="仿宋_GB2312"/>
          <w:color w:val="000000" w:themeColor="text1"/>
          <w:sz w:val="32"/>
          <w:szCs w:val="32"/>
          <w14:textFill>
            <w14:solidFill>
              <w14:schemeClr w14:val="tx1"/>
            </w14:solidFill>
          </w14:textFill>
        </w:rPr>
        <w:t>推动文化旅游与生态观光、主题娱乐、农林体验、体育健身、健康养生、新型工业等有机融合，开发文化旅游演艺、健康体育旅游、红色旅游等旅游精品项目，引进和培育一批商旅文体联动示范项目。通过科技创新、文化创意，推动产品更新换代和旅游体验品质升级，形成一流的文化旅游新体验。</w:t>
      </w:r>
    </w:p>
    <w:p>
      <w:pPr>
        <w:spacing w:line="560" w:lineRule="exact"/>
        <w:ind w:firstLine="643" w:firstLineChars="200"/>
        <w:rPr>
          <w:rFonts w:ascii="Times New Roman" w:hAnsi="Times New Roman" w:eastAsia="仿宋_GB2312"/>
          <w:color w:val="000000" w:themeColor="text1"/>
          <w:sz w:val="32"/>
          <w:szCs w:val="32"/>
          <w14:textFill>
            <w14:solidFill>
              <w14:schemeClr w14:val="tx1"/>
            </w14:solidFill>
          </w14:textFill>
        </w:rPr>
      </w:pPr>
      <w:r>
        <w:rPr>
          <w:rFonts w:hint="eastAsia" w:ascii="楷体_GB2312" w:hAnsi="Times New Roman" w:eastAsia="楷体_GB2312" w:cs="仿宋_GB2312"/>
          <w:b/>
          <w:color w:val="000000" w:themeColor="text1"/>
          <w:sz w:val="32"/>
          <w:szCs w:val="32"/>
          <w14:textFill>
            <w14:solidFill>
              <w14:schemeClr w14:val="tx1"/>
            </w14:solidFill>
          </w14:textFill>
        </w:rPr>
        <w:t>（六）实施旅游品牌工程。</w:t>
      </w:r>
      <w:r>
        <w:rPr>
          <w:rFonts w:hint="eastAsia" w:ascii="Times New Roman" w:hAnsi="Times New Roman" w:eastAsia="仿宋_GB2312"/>
          <w:color w:val="000000" w:themeColor="text1"/>
          <w:sz w:val="32"/>
          <w:szCs w:val="32"/>
          <w14:textFill>
            <w14:solidFill>
              <w14:schemeClr w14:val="tx1"/>
            </w14:solidFill>
          </w14:textFill>
        </w:rPr>
        <w:t>统筹规划、高端策划和资源整合，优化旅游产品和产业结构，以“休闲乐土、度假天堂、养生福地”为旅游产业发展主题，推进观光旅游、度假旅游和以乡村旅游、红色旅游、康养旅游等为重点的旅游产品开发，全面提升龙胜旅游竞争力，把旅游业发展成为龙胜国民经济的重要支柱产业。实施旅游精品战略，做足“农耕、民族、红色、康养”四大品牌文章，着力推进文化与旅游、农业与旅游、生态与旅游的创意融合。依托有机农产品、鸡血玉等特色资源，打造一批高端旅游产品。构建旅游多元产品体系，推进旅游业集约化、规模化、品牌化、高端化发展。加大旅游品牌培育和营销力度，提升龙胜旅游国际影响力和产品附加值。培育打造宜居龙胜、养生龙胜、龙胜有戏等魅力品牌。统一龙胜旅游宣传口号，建立多部门、跨区域联动对外宣传推广机制，加强面向粤港澳大湾区、日韩、东盟、“一带一路”沿线国家的旅游产品设计与推介。</w:t>
      </w:r>
    </w:p>
    <w:p>
      <w:pPr>
        <w:spacing w:line="560" w:lineRule="exact"/>
        <w:ind w:firstLine="643" w:firstLineChars="200"/>
        <w:rPr>
          <w:rFonts w:ascii="Times New Roman" w:hAnsi="Times New Roman" w:eastAsia="仿宋_GB2312"/>
          <w:color w:val="000000" w:themeColor="text1"/>
          <w:sz w:val="32"/>
          <w:szCs w:val="32"/>
          <w14:textFill>
            <w14:solidFill>
              <w14:schemeClr w14:val="tx1"/>
            </w14:solidFill>
          </w14:textFill>
        </w:rPr>
      </w:pPr>
      <w:r>
        <w:rPr>
          <w:rFonts w:hint="eastAsia" w:ascii="楷体_GB2312" w:hAnsi="Times New Roman" w:eastAsia="楷体_GB2312" w:cs="仿宋_GB2312"/>
          <w:b/>
          <w:color w:val="000000" w:themeColor="text1"/>
          <w:sz w:val="32"/>
          <w:szCs w:val="32"/>
          <w14:textFill>
            <w14:solidFill>
              <w14:schemeClr w14:val="tx1"/>
            </w14:solidFill>
          </w14:textFill>
        </w:rPr>
        <w:t>（七）实施基础设施工程。</w:t>
      </w:r>
      <w:r>
        <w:rPr>
          <w:rFonts w:hint="eastAsia" w:ascii="Times New Roman" w:hAnsi="Times New Roman" w:eastAsia="仿宋_GB2312"/>
          <w:color w:val="000000" w:themeColor="text1"/>
          <w:sz w:val="32"/>
          <w:szCs w:val="32"/>
          <w14:textFill>
            <w14:solidFill>
              <w14:schemeClr w14:val="tx1"/>
            </w14:solidFill>
          </w14:textFill>
        </w:rPr>
        <w:t>提高旅游通达水平，完善出省联市公路网，建设环龙胜旅游公路网和旅游交通枢纽，全面打通旅游景区、乡村旅游区交通基础设施“最后一公里”。高标准完善旅游集散中心、咨询服务中心、驿站、应急医疗救助点、房车营地、汽车旅馆、</w:t>
      </w:r>
      <w:r>
        <w:rPr>
          <w:rFonts w:hint="eastAsia" w:ascii="Times New Roman" w:hAnsi="Times New Roman" w:eastAsia="仿宋_GB2312" w:cs="仿宋_GB2312"/>
          <w:color w:val="000000" w:themeColor="text1"/>
          <w:sz w:val="32"/>
          <w:szCs w:val="32"/>
          <w14:textFill>
            <w14:solidFill>
              <w14:schemeClr w14:val="tx1"/>
            </w14:solidFill>
          </w14:textFill>
        </w:rPr>
        <w:t>红色文化旅游沿线的步道维修</w:t>
      </w:r>
      <w:r>
        <w:rPr>
          <w:rFonts w:hint="eastAsia" w:ascii="Times New Roman" w:hAnsi="Times New Roman" w:eastAsia="仿宋_GB2312"/>
          <w:color w:val="000000" w:themeColor="text1"/>
          <w:sz w:val="32"/>
          <w:szCs w:val="32"/>
          <w14:textFill>
            <w14:solidFill>
              <w14:schemeClr w14:val="tx1"/>
            </w14:solidFill>
          </w14:textFill>
        </w:rPr>
        <w:t>等配套设施，规范并实现多语种旅游标识标牌全覆盖，建设无语言障碍国际化旅游县。推进高端旅游度假酒店群建设，发展多业态精品酒店，打造精品民宿集聚区。建设旅游大数据中心，打造一流的智慧旅游县。</w:t>
      </w:r>
    </w:p>
    <w:p>
      <w:pPr>
        <w:spacing w:line="560" w:lineRule="exact"/>
        <w:ind w:firstLine="643" w:firstLineChars="200"/>
        <w:rPr>
          <w:rFonts w:ascii="Times New Roman" w:hAnsi="Times New Roman" w:eastAsia="仿宋_GB2312"/>
          <w:color w:val="000000" w:themeColor="text1"/>
          <w:sz w:val="32"/>
          <w:szCs w:val="32"/>
          <w14:textFill>
            <w14:solidFill>
              <w14:schemeClr w14:val="tx1"/>
            </w14:solidFill>
          </w14:textFill>
        </w:rPr>
      </w:pPr>
      <w:r>
        <w:rPr>
          <w:rFonts w:hint="eastAsia" w:ascii="楷体_GB2312" w:hAnsi="Times New Roman" w:eastAsia="楷体_GB2312" w:cs="仿宋_GB2312"/>
          <w:b/>
          <w:color w:val="000000" w:themeColor="text1"/>
          <w:sz w:val="32"/>
          <w:szCs w:val="32"/>
          <w14:textFill>
            <w14:solidFill>
              <w14:schemeClr w14:val="tx1"/>
            </w14:solidFill>
          </w14:textFill>
        </w:rPr>
        <w:t>（八）实施旅游消费工程。</w:t>
      </w:r>
      <w:r>
        <w:rPr>
          <w:rFonts w:hint="eastAsia" w:ascii="Times New Roman" w:hAnsi="Times New Roman" w:eastAsia="仿宋_GB2312"/>
          <w:color w:val="000000" w:themeColor="text1"/>
          <w:sz w:val="32"/>
          <w:szCs w:val="32"/>
          <w14:textFill>
            <w14:solidFill>
              <w14:schemeClr w14:val="tx1"/>
            </w14:solidFill>
          </w14:textFill>
        </w:rPr>
        <w:t>布局建设具有较强影响力的新型消费商圈、智慧商圈；加快建设康养旅游示范基地，加大养生养老、健康管理、疗养度假、康复护理、智慧医疗等高品质健康旅游消费服务供给。壮大餐饮消费市场，打造油茶、腊味、全鱼宴等地方特色美食品牌，拉动龙胜夜间消费，形成龙胜夜间商圈和生活圈，提升龙胜特色餐饮消费档次和水平；形成亲子消费、信息消费、绿色消费等新兴消费观，促进旅游消费提档升级。</w:t>
      </w:r>
    </w:p>
    <w:p>
      <w:pPr>
        <w:spacing w:line="560" w:lineRule="exact"/>
        <w:ind w:firstLine="643" w:firstLineChars="200"/>
        <w:rPr>
          <w:rFonts w:ascii="Times New Roman" w:hAnsi="Times New Roman" w:eastAsia="仿宋_GB2312" w:cs="仿宋_GB2312"/>
          <w:color w:val="000000" w:themeColor="text1"/>
          <w:sz w:val="32"/>
          <w:szCs w:val="32"/>
          <w14:textFill>
            <w14:solidFill>
              <w14:schemeClr w14:val="tx1"/>
            </w14:solidFill>
          </w14:textFill>
        </w:rPr>
      </w:pPr>
      <w:bookmarkStart w:id="122" w:name="_Toc13852"/>
      <w:bookmarkStart w:id="123" w:name="_Toc6467"/>
      <w:bookmarkStart w:id="124" w:name="_Toc27581"/>
      <w:bookmarkStart w:id="125" w:name="_Toc31094"/>
      <w:r>
        <w:rPr>
          <w:rFonts w:hint="eastAsia" w:ascii="楷体_GB2312" w:hAnsi="Times New Roman" w:eastAsia="楷体_GB2312" w:cs="仿宋_GB2312"/>
          <w:b/>
          <w:color w:val="000000" w:themeColor="text1"/>
          <w:sz w:val="32"/>
          <w:szCs w:val="32"/>
          <w14:textFill>
            <w14:solidFill>
              <w14:schemeClr w14:val="tx1"/>
            </w14:solidFill>
          </w14:textFill>
        </w:rPr>
        <w:t>（九）实施旅游服务工程。</w:t>
      </w:r>
      <w:r>
        <w:rPr>
          <w:rFonts w:hint="eastAsia" w:ascii="Times New Roman" w:hAnsi="Times New Roman" w:eastAsia="仿宋_GB2312" w:cs="仿宋_GB2312"/>
          <w:color w:val="000000" w:themeColor="text1"/>
          <w:sz w:val="32"/>
          <w:szCs w:val="32"/>
          <w14:textFill>
            <w14:solidFill>
              <w14:schemeClr w14:val="tx1"/>
            </w14:solidFill>
          </w14:textFill>
        </w:rPr>
        <w:t>以游客满意度为基准，以人性化服务为方向，全面提升旅游从业人员服务意识和服务水平。引导旅游企业向品牌化、专业化方向转变和服务创新；促进旅游环境卫生、旅游安全、节能环保等向标准化看齐。以旅游信息化服务为基点创建智慧旅游，开展旅游在线服务、网络营销、网络预订和网上支付等，全面提升旅游企业、旅游景区和全县民族资源的旅游信息化服务水平；建立游客评价为主的评价机制，落实旅游价格公示政策和优惠政策，完善自驾车旅游服务体系，建立健全旅游信息服务平台，加大旅游公益宣传力度。</w:t>
      </w:r>
    </w:p>
    <w:p>
      <w:pPr>
        <w:pStyle w:val="4"/>
        <w:keepNext w:val="0"/>
        <w:keepLines w:val="0"/>
        <w:spacing w:before="0" w:after="0" w:line="560" w:lineRule="exact"/>
        <w:jc w:val="center"/>
        <w:rPr>
          <w:rFonts w:ascii="Times New Roman" w:hAnsi="Times New Roman" w:eastAsia="黑体" w:cs="黑体"/>
          <w:bCs w:val="0"/>
          <w:color w:val="000000" w:themeColor="text1"/>
          <w14:textFill>
            <w14:solidFill>
              <w14:schemeClr w14:val="tx1"/>
            </w14:solidFill>
          </w14:textFill>
        </w:rPr>
      </w:pPr>
      <w:bookmarkStart w:id="126" w:name="_Toc61110790"/>
      <w:bookmarkStart w:id="127" w:name="_Toc23235"/>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第二节  促进文化事业发展</w:t>
      </w:r>
      <w:bookmarkEnd w:id="126"/>
      <w:bookmarkEnd w:id="127"/>
    </w:p>
    <w:p>
      <w:pPr>
        <w:spacing w:line="560" w:lineRule="exact"/>
        <w:ind w:firstLine="640" w:firstLineChars="200"/>
        <w:rPr>
          <w:rFonts w:ascii="楷体_GB2312" w:hAnsi="Times New Roman" w:eastAsia="楷体_GB2312" w:cs="仿宋_GB2312"/>
          <w:bCs/>
          <w:color w:val="000000" w:themeColor="text1"/>
          <w:sz w:val="32"/>
          <w:szCs w:val="32"/>
          <w14:textFill>
            <w14:solidFill>
              <w14:schemeClr w14:val="tx1"/>
            </w14:solidFill>
          </w14:textFill>
        </w:rPr>
      </w:pPr>
    </w:p>
    <w:p>
      <w:pPr>
        <w:spacing w:line="560" w:lineRule="exact"/>
        <w:ind w:firstLine="643" w:firstLineChars="200"/>
        <w:rPr>
          <w:rFonts w:ascii="Times New Roman" w:hAnsi="Times New Roman" w:eastAsia="仿宋_GB2312" w:cs="仿宋_GB2312"/>
          <w:color w:val="000000" w:themeColor="text1"/>
          <w:sz w:val="32"/>
          <w:szCs w:val="32"/>
          <w14:textFill>
            <w14:solidFill>
              <w14:schemeClr w14:val="tx1"/>
            </w14:solidFill>
          </w14:textFill>
        </w:rPr>
      </w:pPr>
      <w:r>
        <w:rPr>
          <w:rFonts w:hint="eastAsia" w:ascii="楷体_GB2312" w:hAnsi="Times New Roman" w:eastAsia="楷体_GB2312" w:cs="仿宋_GB2312"/>
          <w:b/>
          <w:color w:val="000000" w:themeColor="text1"/>
          <w:sz w:val="32"/>
          <w:szCs w:val="32"/>
          <w14:textFill>
            <w14:solidFill>
              <w14:schemeClr w14:val="tx1"/>
            </w14:solidFill>
          </w14:textFill>
        </w:rPr>
        <w:t>（一）加强文化阵地建设。</w:t>
      </w:r>
      <w:r>
        <w:rPr>
          <w:rFonts w:hint="eastAsia" w:ascii="Times New Roman" w:hAnsi="Times New Roman" w:eastAsia="仿宋_GB2312" w:cs="仿宋_GB2312"/>
          <w:color w:val="000000" w:themeColor="text1"/>
          <w:sz w:val="32"/>
          <w:szCs w:val="32"/>
          <w14:textFill>
            <w14:solidFill>
              <w14:schemeClr w14:val="tx1"/>
            </w14:solidFill>
          </w14:textFill>
        </w:rPr>
        <w:t>建设标准的文化馆、图书馆、博物馆、影剧院“三馆一院”；建设多民族生态博物馆，活态传承苗、瑶、侗、壮、汉各民族的服饰、饮食、习俗、语言等项目，加强非物质文化遗产保护；推进文化惠民工程，全县119个行政村100户以上的自然屯有村级公共服务中心点，并配备一定演出相关器材等。</w:t>
      </w:r>
    </w:p>
    <w:p>
      <w:pPr>
        <w:spacing w:line="560" w:lineRule="exact"/>
        <w:ind w:firstLine="643" w:firstLineChars="200"/>
        <w:rPr>
          <w:rFonts w:ascii="Times New Roman" w:hAnsi="Times New Roman" w:eastAsia="仿宋_GB2312" w:cs="仿宋_GB2312"/>
          <w:color w:val="000000" w:themeColor="text1"/>
          <w:sz w:val="32"/>
          <w:szCs w:val="32"/>
          <w14:textFill>
            <w14:solidFill>
              <w14:schemeClr w14:val="tx1"/>
            </w14:solidFill>
          </w14:textFill>
        </w:rPr>
      </w:pPr>
      <w:r>
        <w:rPr>
          <w:rFonts w:hint="eastAsia" w:ascii="楷体_GB2312" w:hAnsi="Times New Roman" w:eastAsia="楷体_GB2312" w:cs="仿宋_GB2312"/>
          <w:b/>
          <w:color w:val="000000" w:themeColor="text1"/>
          <w:sz w:val="32"/>
          <w:szCs w:val="32"/>
          <w14:textFill>
            <w14:solidFill>
              <w14:schemeClr w14:val="tx1"/>
            </w14:solidFill>
          </w14:textFill>
        </w:rPr>
        <w:t>（二）加强民族文化创新。</w:t>
      </w:r>
      <w:r>
        <w:rPr>
          <w:rFonts w:hint="eastAsia" w:ascii="Times New Roman" w:hAnsi="Times New Roman" w:eastAsia="仿宋_GB2312" w:cs="仿宋_GB2312"/>
          <w:color w:val="000000" w:themeColor="text1"/>
          <w:sz w:val="32"/>
          <w:szCs w:val="32"/>
          <w14:textFill>
            <w14:solidFill>
              <w14:schemeClr w14:val="tx1"/>
            </w14:solidFill>
          </w14:textFill>
        </w:rPr>
        <w:t>促进文化交流。利用龙脊农耕文化的知名度，探索对外文化交流的方式，形成具有民族特色的文化交流品牌，推进文化创新。构建文化创新理论研究体系，对体制机制、人才发展、服务方式、科学管理、政策法规各方面进行研究，以理论创新推进文化创新和文化事业的发展。实施精品战略，提升原创能力，推进内容创新，深度开发地域文化、民族文化资源，形成和创作一批有长久艺术生命力和广泛市场影响力的艺术精品，重点扶持一批大型剧目的创作产品，形成龙胜品牌。</w:t>
      </w:r>
    </w:p>
    <w:p>
      <w:pPr>
        <w:spacing w:line="560" w:lineRule="exact"/>
        <w:ind w:firstLine="643" w:firstLineChars="200"/>
        <w:rPr>
          <w:rFonts w:ascii="Times New Roman" w:hAnsi="Times New Roman" w:eastAsia="仿宋_GB2312" w:cs="仿宋_GB2312"/>
          <w:color w:val="000000" w:themeColor="text1"/>
          <w:sz w:val="32"/>
          <w:szCs w:val="32"/>
          <w14:textFill>
            <w14:solidFill>
              <w14:schemeClr w14:val="tx1"/>
            </w14:solidFill>
          </w14:textFill>
        </w:rPr>
      </w:pPr>
      <w:r>
        <w:rPr>
          <w:rFonts w:hint="eastAsia" w:ascii="楷体_GB2312" w:hAnsi="Times New Roman" w:eastAsia="楷体_GB2312" w:cs="仿宋_GB2312"/>
          <w:b/>
          <w:color w:val="000000" w:themeColor="text1"/>
          <w:sz w:val="32"/>
          <w:szCs w:val="32"/>
          <w14:textFill>
            <w14:solidFill>
              <w14:schemeClr w14:val="tx1"/>
            </w14:solidFill>
          </w14:textFill>
        </w:rPr>
        <w:t>（三）丰富民族文化内涵。</w:t>
      </w:r>
      <w:r>
        <w:rPr>
          <w:rFonts w:hint="eastAsia" w:ascii="Times New Roman" w:hAnsi="Times New Roman" w:eastAsia="仿宋_GB2312" w:cs="仿宋_GB2312"/>
          <w:color w:val="000000" w:themeColor="text1"/>
          <w:sz w:val="32"/>
          <w:szCs w:val="32"/>
          <w14:textFill>
            <w14:solidFill>
              <w14:schemeClr w14:val="tx1"/>
            </w14:solidFill>
          </w14:textFill>
        </w:rPr>
        <w:t>挖掘苗、瑶、侗、壮、汉民族特色，整合民族文化资源，举办龙胜传统的系列少数民族节庆活动，提升传统民间节庆水平；挖掘民间文化内涵，进一步打造龙胜“百节之县”旅游名片，丰富旅游产品内容，提升旅游品位，吸引更多游客。策划龙胜县城、龙脊镇两处常态化大型民族演出项目；拓展旅游宣传促销途径，承办各类全国乃至世界性的大型活动，探索文化旅游发展新途径，提高旅游商品的文化创意水平，提升民族文化软实力。</w:t>
      </w:r>
    </w:p>
    <w:p>
      <w:pPr>
        <w:spacing w:line="560" w:lineRule="exact"/>
        <w:ind w:firstLine="643" w:firstLineChars="200"/>
        <w:rPr>
          <w:rFonts w:ascii="Times New Roman" w:hAnsi="Times New Roman" w:eastAsia="仿宋_GB2312" w:cs="仿宋_GB2312"/>
          <w:color w:val="000000" w:themeColor="text1"/>
          <w:sz w:val="32"/>
          <w:szCs w:val="32"/>
          <w14:textFill>
            <w14:solidFill>
              <w14:schemeClr w14:val="tx1"/>
            </w14:solidFill>
          </w14:textFill>
        </w:rPr>
      </w:pPr>
      <w:r>
        <w:rPr>
          <w:rFonts w:hint="eastAsia" w:ascii="楷体_GB2312" w:hAnsi="Times New Roman" w:eastAsia="楷体_GB2312" w:cs="仿宋_GB2312"/>
          <w:b/>
          <w:color w:val="000000" w:themeColor="text1"/>
          <w:sz w:val="32"/>
          <w:szCs w:val="32"/>
          <w14:textFill>
            <w14:solidFill>
              <w14:schemeClr w14:val="tx1"/>
            </w14:solidFill>
          </w14:textFill>
        </w:rPr>
        <w:t>（四）加强文物和非物质文化遗产保护。</w:t>
      </w:r>
      <w:r>
        <w:rPr>
          <w:rFonts w:hint="eastAsia" w:ascii="Times New Roman" w:hAnsi="Times New Roman" w:eastAsia="仿宋_GB2312" w:cs="仿宋_GB2312"/>
          <w:color w:val="000000" w:themeColor="text1"/>
          <w:sz w:val="32"/>
          <w:szCs w:val="32"/>
          <w14:textFill>
            <w14:solidFill>
              <w14:schemeClr w14:val="tx1"/>
            </w14:solidFill>
          </w14:textFill>
        </w:rPr>
        <w:t>贯彻实施《龙胜各族自治县民族民间传统文化保护条例》，建立苗、瑶、侗、壮、汉等多民族生态文化保护区，力争申报国家级或自治区级文物保护单位；完善非物质文化遗产代表性项目、传承人和传承基地“三位一体”保护体系。挖掘、整理县域内“非遗”项目，建立完善的非物质文化遗产档案资料数据库。组建专家队伍对国家、自治区级传统村落、特色文化村落进行规划和原生态保护，推进民族村落文化的保护工作，加强成果运用与文旅融合工程相结合，形成民族传统村落新体验。改善文物保护环境条件，注重文物保护和文物开发利用平衡发展，加大文物保护和收藏的力度，抢救正在流失或消亡的文物。</w:t>
      </w:r>
    </w:p>
    <w:p>
      <w:pPr>
        <w:pStyle w:val="4"/>
        <w:keepNext w:val="0"/>
        <w:keepLines w:val="0"/>
        <w:spacing w:before="0" w:after="0" w:line="560" w:lineRule="exact"/>
        <w:jc w:val="center"/>
        <w:rPr>
          <w:rFonts w:ascii="Times New Roman" w:hAnsi="Times New Roman" w:eastAsia="黑体" w:cs="黑体"/>
          <w:bCs w:val="0"/>
          <w:color w:val="000000" w:themeColor="text1"/>
          <w14:textFill>
            <w14:solidFill>
              <w14:schemeClr w14:val="tx1"/>
            </w14:solidFill>
          </w14:textFill>
        </w:rPr>
      </w:pPr>
      <w:bookmarkStart w:id="128" w:name="_Toc61110791"/>
      <w:bookmarkStart w:id="129" w:name="_Toc25122"/>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第三节  广电体育事业发展</w:t>
      </w:r>
      <w:bookmarkEnd w:id="128"/>
      <w:bookmarkEnd w:id="129"/>
    </w:p>
    <w:p>
      <w:pPr>
        <w:spacing w:line="560" w:lineRule="exact"/>
        <w:ind w:firstLine="640" w:firstLineChars="200"/>
        <w:textAlignment w:val="baseline"/>
        <w:rPr>
          <w:rFonts w:ascii="楷体_GB2312" w:hAnsi="Times New Roman" w:eastAsia="楷体_GB2312" w:cs="仿宋_GB2312"/>
          <w:bCs/>
          <w:color w:val="000000" w:themeColor="text1"/>
          <w:sz w:val="32"/>
          <w:szCs w:val="32"/>
          <w14:textFill>
            <w14:solidFill>
              <w14:schemeClr w14:val="tx1"/>
            </w14:solidFill>
          </w14:textFill>
        </w:rPr>
      </w:pPr>
    </w:p>
    <w:p>
      <w:pPr>
        <w:spacing w:line="560" w:lineRule="exact"/>
        <w:ind w:firstLine="643" w:firstLineChars="200"/>
        <w:textAlignment w:val="baseline"/>
        <w:rPr>
          <w:rFonts w:ascii="Times New Roman" w:hAnsi="Times New Roman" w:eastAsia="仿宋_GB2312" w:cs="仿宋_GB2312"/>
          <w:color w:val="000000" w:themeColor="text1"/>
          <w:sz w:val="32"/>
          <w:szCs w:val="32"/>
          <w14:textFill>
            <w14:solidFill>
              <w14:schemeClr w14:val="tx1"/>
            </w14:solidFill>
          </w14:textFill>
        </w:rPr>
      </w:pPr>
      <w:r>
        <w:rPr>
          <w:rFonts w:hint="eastAsia" w:ascii="楷体_GB2312" w:hAnsi="Times New Roman" w:eastAsia="楷体_GB2312" w:cs="仿宋_GB2312"/>
          <w:b/>
          <w:color w:val="000000" w:themeColor="text1"/>
          <w:sz w:val="32"/>
          <w:szCs w:val="32"/>
          <w14:textFill>
            <w14:solidFill>
              <w14:schemeClr w14:val="tx1"/>
            </w14:solidFill>
          </w14:textFill>
        </w:rPr>
        <w:t>（一）建设智慧广电业态。</w:t>
      </w:r>
      <w:r>
        <w:rPr>
          <w:rFonts w:hint="eastAsia" w:ascii="Times New Roman" w:hAnsi="Times New Roman" w:eastAsia="仿宋_GB2312" w:cs="仿宋_GB2312"/>
          <w:color w:val="000000" w:themeColor="text1"/>
          <w:sz w:val="32"/>
          <w:szCs w:val="32"/>
          <w14:textFill>
            <w14:solidFill>
              <w14:schemeClr w14:val="tx1"/>
            </w14:solidFill>
          </w14:textFill>
        </w:rPr>
        <w:t>推进“壮美广西·智慧广电”数字广西“广电云”村村通户户用工程建设，推动广电网络向光纤化、IP 化和智能化发展，创新智慧广电新业务、新业态，提升广播电视服务质量与水平，按照公益性、标准化、均等化的要求，壮大宣传思想主流舆论阵地，为人民群众提供更加丰富、更加优质、更加便捷的广播电视信息和农村新型公共文化服务，带动关联和新型产业发展，助力巩固拓展脱贫攻坚成果和乡村振兴。建设行政村光缆线及20户以上自然屯的光缆支干线，完善广西数字网络图书馆建设和数字化升级；建设县、乡、村联网的应急广播体系，在偏远的群众聚居片区建设无线发射台站；完成农村有线电视网络双向化改造，拓展综合信息服务和智能化应用等新业态；建设乡镇广播电视综合服务站。</w:t>
      </w:r>
    </w:p>
    <w:p>
      <w:pPr>
        <w:spacing w:line="560" w:lineRule="exact"/>
        <w:ind w:firstLine="643" w:firstLineChars="200"/>
        <w:rPr>
          <w:rFonts w:ascii="Times New Roman" w:hAnsi="Times New Roman" w:eastAsia="仿宋" w:cs="仿宋"/>
          <w:b/>
          <w:color w:val="000000" w:themeColor="text1"/>
          <w:sz w:val="32"/>
          <w:szCs w:val="32"/>
          <w14:textFill>
            <w14:solidFill>
              <w14:schemeClr w14:val="tx1"/>
            </w14:solidFill>
          </w14:textFill>
        </w:rPr>
      </w:pPr>
      <w:r>
        <w:rPr>
          <w:rFonts w:hint="eastAsia" w:ascii="楷体_GB2312" w:hAnsi="Times New Roman" w:eastAsia="楷体_GB2312" w:cs="仿宋_GB2312"/>
          <w:b/>
          <w:color w:val="000000" w:themeColor="text1"/>
          <w:sz w:val="32"/>
          <w:szCs w:val="32"/>
          <w14:textFill>
            <w14:solidFill>
              <w14:schemeClr w14:val="tx1"/>
            </w14:solidFill>
          </w14:textFill>
        </w:rPr>
        <w:t>（二）发展特色体育文化。</w:t>
      </w:r>
      <w:r>
        <w:rPr>
          <w:rFonts w:hint="eastAsia" w:ascii="Times New Roman" w:hAnsi="Times New Roman" w:eastAsia="仿宋_GB2312" w:cs="仿宋_GB2312"/>
          <w:color w:val="000000" w:themeColor="text1"/>
          <w:sz w:val="32"/>
          <w:szCs w:val="32"/>
          <w14:textFill>
            <w14:solidFill>
              <w14:schemeClr w14:val="tx1"/>
            </w14:solidFill>
          </w14:textFill>
        </w:rPr>
        <w:t>推动群众体育开展，提高全民健身意识，健全群众体育组织网络和服务体系，建设体育锻炼的场地设施，夯实群众体育基础，指导群众经常性体育活动，提高全县人民健康水平。完善全县体育社团管理，规范和加强对基层体育社团组织的管理，形成群众自我组织、自我活动、自我管理和自我监督的机制。发展特色群众体育竞技文化旅游品牌，接续开展“龙脊跑山赛”等活动，把适合龙胜地理特色的体育赛事，办成具有国际影响力的品牌；结合红军长征过龙胜，开展“重走长征路跑山赛”活动，策划具有思想性、竞技性、国际化的体育赛事；策划开展“环南山云中草原”国际自行车竞技等赛事活动。</w:t>
      </w:r>
    </w:p>
    <w:p>
      <w:pPr>
        <w:rPr>
          <w:rFonts w:ascii="Times New Roman" w:hAnsi="Times New Roman" w:eastAsia="仿宋" w:cs="仿宋"/>
          <w:b/>
          <w:color w:val="000000" w:themeColor="text1"/>
          <w:sz w:val="32"/>
          <w:szCs w:val="32"/>
          <w14:textFill>
            <w14:solidFill>
              <w14:schemeClr w14:val="tx1"/>
            </w14:solidFill>
          </w14:textFill>
        </w:rPr>
      </w:pPr>
      <w:r>
        <w:rPr>
          <w:rFonts w:hint="eastAsia" w:ascii="Times New Roman" w:hAnsi="Times New Roman" w:eastAsia="仿宋" w:cs="仿宋"/>
          <w:b/>
          <w:color w:val="000000" w:themeColor="text1"/>
          <w:sz w:val="32"/>
          <w:szCs w:val="32"/>
          <w14:textFill>
            <w14:solidFill>
              <w14:schemeClr w14:val="tx1"/>
            </w14:solidFill>
          </w14:textFill>
        </w:rPr>
        <w:br w:type="page"/>
      </w:r>
    </w:p>
    <w:p>
      <w:pPr>
        <w:spacing w:line="560" w:lineRule="exact"/>
        <w:jc w:val="center"/>
        <w:rPr>
          <w:rFonts w:ascii="Times New Roman" w:hAnsi="Times New Roman"/>
          <w:color w:val="000000" w:themeColor="text1"/>
          <w:sz w:val="32"/>
          <w:szCs w:val="32"/>
          <w14:textFill>
            <w14:solidFill>
              <w14:schemeClr w14:val="tx1"/>
            </w14:solidFill>
          </w14:textFill>
        </w:rPr>
      </w:pPr>
      <w:r>
        <w:rPr>
          <w:rFonts w:hint="eastAsia" w:ascii="Times New Roman" w:hAnsi="Times New Roman" w:eastAsia="仿宋" w:cs="仿宋"/>
          <w:b/>
          <w:color w:val="000000" w:themeColor="text1"/>
          <w:sz w:val="32"/>
          <w:szCs w:val="32"/>
          <w14:textFill>
            <w14:solidFill>
              <w14:schemeClr w14:val="tx1"/>
            </w14:solidFill>
          </w14:textFill>
        </w:rPr>
        <w:t>专栏</w:t>
      </w:r>
      <w:r>
        <w:rPr>
          <w:rFonts w:ascii="Times New Roman" w:hAnsi="Times New Roman" w:eastAsia="仿宋" w:cs="仿宋"/>
          <w:b/>
          <w:color w:val="000000" w:themeColor="text1"/>
          <w:sz w:val="32"/>
          <w:szCs w:val="32"/>
          <w14:textFill>
            <w14:solidFill>
              <w14:schemeClr w14:val="tx1"/>
            </w14:solidFill>
          </w14:textFill>
        </w:rPr>
        <w:t>4</w:t>
      </w:r>
      <w:r>
        <w:rPr>
          <w:rFonts w:hint="eastAsia" w:ascii="Times New Roman" w:hAnsi="Times New Roman" w:eastAsia="仿宋" w:cs="仿宋"/>
          <w:b/>
          <w:color w:val="000000" w:themeColor="text1"/>
          <w:sz w:val="32"/>
          <w:szCs w:val="32"/>
          <w14:textFill>
            <w14:solidFill>
              <w14:schemeClr w14:val="tx1"/>
            </w14:solidFill>
          </w14:textFill>
        </w:rPr>
        <w:t xml:space="preserve">   旅游文化业重点项目</w:t>
      </w:r>
    </w:p>
    <w:p>
      <w:pPr>
        <w:pStyle w:val="31"/>
        <w:snapToGrid w:val="0"/>
        <w:spacing w:line="520" w:lineRule="exact"/>
        <w:rPr>
          <w:rFonts w:ascii="Times New Roman" w:hAnsi="Times New Roman" w:eastAsia="仿宋" w:cs="仿宋"/>
          <w:color w:val="000000" w:themeColor="text1"/>
          <w:sz w:val="28"/>
          <w:szCs w:val="28"/>
          <w14:textFill>
            <w14:solidFill>
              <w14:schemeClr w14:val="tx1"/>
            </w14:solidFill>
          </w14:textFill>
        </w:rPr>
      </w:pPr>
      <w:r>
        <w:rPr>
          <w:rFonts w:ascii="Times New Roman" w:hAnsi="Times New Roman"/>
          <w:color w:val="000000" w:themeColor="text1"/>
          <w:sz w:val="28"/>
          <w14:textFill>
            <w14:solidFill>
              <w14:schemeClr w14:val="tx1"/>
            </w14:solidFill>
          </w14:textFill>
        </w:rPr>
        <mc:AlternateContent>
          <mc:Choice Requires="wps">
            <w:drawing>
              <wp:anchor distT="0" distB="0" distL="114300" distR="114300" simplePos="0" relativeHeight="251659264" behindDoc="0" locked="0" layoutInCell="1" allowOverlap="1">
                <wp:simplePos x="0" y="0"/>
                <wp:positionH relativeFrom="column">
                  <wp:posOffset>80645</wp:posOffset>
                </wp:positionH>
                <wp:positionV relativeFrom="paragraph">
                  <wp:posOffset>116840</wp:posOffset>
                </wp:positionV>
                <wp:extent cx="5561965" cy="5688330"/>
                <wp:effectExtent l="4445" t="4445" r="15240" b="22225"/>
                <wp:wrapSquare wrapText="bothSides"/>
                <wp:docPr id="6" name="文本框 6"/>
                <wp:cNvGraphicFramePr/>
                <a:graphic xmlns:a="http://schemas.openxmlformats.org/drawingml/2006/main">
                  <a:graphicData uri="http://schemas.microsoft.com/office/word/2010/wordprocessingShape">
                    <wps:wsp>
                      <wps:cNvSpPr txBox="1"/>
                      <wps:spPr>
                        <a:xfrm>
                          <a:off x="0" y="0"/>
                          <a:ext cx="5561965" cy="568833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spacing w:line="360" w:lineRule="auto"/>
                              <w:rPr>
                                <w:rFonts w:ascii="仿宋" w:hAnsi="仿宋" w:eastAsia="仿宋" w:cs="仿宋"/>
                                <w:bCs/>
                                <w:color w:val="000000" w:themeColor="text1"/>
                                <w:sz w:val="24"/>
                                <w14:textFill>
                                  <w14:solidFill>
                                    <w14:schemeClr w14:val="tx1"/>
                                  </w14:solidFill>
                                </w14:textFill>
                              </w:rPr>
                            </w:pPr>
                            <w:r>
                              <w:rPr>
                                <w:rFonts w:hint="eastAsia" w:ascii="仿宋" w:hAnsi="仿宋" w:eastAsia="仿宋" w:cs="仿宋"/>
                                <w:b/>
                                <w:sz w:val="24"/>
                              </w:rPr>
                              <w:t>1.生态休闲度假游项目：</w:t>
                            </w:r>
                            <w:r>
                              <w:rPr>
                                <w:rFonts w:hint="eastAsia" w:ascii="仿宋" w:hAnsi="仿宋" w:eastAsia="仿宋" w:cs="仿宋"/>
                                <w:bCs/>
                                <w:sz w:val="24"/>
                              </w:rPr>
                              <w:t>龙胜县龙脊国家公园建设项目、龙胜温泉提质改造项目、龙胜县龙脊梯田景区创建国家5A级景区提档升级建设项目、龙胜县伟江河旅游开发项目（一）（二）（三）期、龙胜县南山云中草原旅游项目（含旅游基础设施建设项目）、龙胜县温泉国家森林公园、龙胜县温泉景区段浔江绿道建设、龙胜县伟江“一路梨花上南山”乡村旅游示范带建设项目、龙胜县温泉大峡</w:t>
                            </w:r>
                            <w:r>
                              <w:rPr>
                                <w:rFonts w:hint="eastAsia" w:ascii="仿宋" w:hAnsi="仿宋" w:eastAsia="仿宋" w:cs="仿宋"/>
                                <w:bCs/>
                                <w:color w:val="000000" w:themeColor="text1"/>
                                <w:sz w:val="24"/>
                                <w14:textFill>
                                  <w14:solidFill>
                                    <w14:schemeClr w14:val="tx1"/>
                                  </w14:solidFill>
                                </w14:textFill>
                              </w:rPr>
                              <w:t>谷国家级旅游度假区暨创5A级景区建设项目、龙胜县白石红山森林康养谷、龙胜县乐江镇生态旅游开发项目、</w:t>
                            </w:r>
                            <w:r>
                              <w:rPr>
                                <w:rFonts w:hint="eastAsia" w:ascii="仿宋" w:hAnsi="仿宋" w:eastAsia="仿宋" w:cs="仿宋"/>
                                <w:bCs/>
                                <w:color w:val="0000FF"/>
                                <w:sz w:val="24"/>
                              </w:rPr>
                              <w:t>龙胜泗水乡五星级乡村旅游区、马堤乡张家塘生态旅游示范区</w:t>
                            </w:r>
                            <w:r>
                              <w:rPr>
                                <w:rFonts w:hint="eastAsia" w:ascii="仿宋" w:hAnsi="仿宋" w:eastAsia="仿宋" w:cs="仿宋"/>
                                <w:bCs/>
                                <w:color w:val="000000" w:themeColor="text1"/>
                                <w:sz w:val="24"/>
                                <w14:textFill>
                                  <w14:solidFill>
                                    <w14:schemeClr w14:val="tx1"/>
                                  </w14:solidFill>
                                </w14:textFill>
                              </w:rPr>
                              <w:t>。</w:t>
                            </w:r>
                          </w:p>
                          <w:p>
                            <w:pPr>
                              <w:spacing w:line="360" w:lineRule="auto"/>
                              <w:rPr>
                                <w:rFonts w:ascii="仿宋" w:hAnsi="仿宋" w:eastAsia="仿宋" w:cs="仿宋"/>
                                <w:bCs/>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2.民族文化体育旅游项目</w:t>
                            </w:r>
                            <w:r>
                              <w:rPr>
                                <w:rFonts w:hint="eastAsia" w:ascii="仿宋" w:hAnsi="仿宋" w:eastAsia="仿宋" w:cs="仿宋"/>
                                <w:bCs/>
                                <w:color w:val="000000" w:themeColor="text1"/>
                                <w:sz w:val="24"/>
                                <w14:textFill>
                                  <w14:solidFill>
                                    <w14:schemeClr w14:val="tx1"/>
                                  </w14:solidFill>
                                </w14:textFill>
                              </w:rPr>
                              <w:t>：龙胜县文化馆、图书馆、博物馆和影剧院建设项目，龙胜县泗水乡集镇特色旅游小镇建设、龙胜县多民族生态博物园建设项目、龙胜县民族文化园、龙胜县风情苗寨民俗文化旅游建设项目、龙胜县江底乡盘瑶文化休闲度假区建设项目、龙胜县泗水乡潘内村梯田景区建设、龙胜镇金结村洪门梯田生态旅游建设项目。</w:t>
                            </w:r>
                          </w:p>
                          <w:p>
                            <w:pPr>
                              <w:spacing w:line="360" w:lineRule="auto"/>
                              <w:rPr>
                                <w:rFonts w:ascii="仿宋" w:hAnsi="仿宋" w:eastAsia="仿宋" w:cs="仿宋"/>
                                <w:bCs/>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3.红色文化旅游项目</w:t>
                            </w:r>
                            <w:r>
                              <w:rPr>
                                <w:rFonts w:hint="eastAsia" w:ascii="仿宋" w:hAnsi="仿宋" w:eastAsia="仿宋" w:cs="仿宋"/>
                                <w:bCs/>
                                <w:color w:val="000000" w:themeColor="text1"/>
                                <w:sz w:val="24"/>
                                <w14:textFill>
                                  <w14:solidFill>
                                    <w14:schemeClr w14:val="tx1"/>
                                  </w14:solidFill>
                                </w14:textFill>
                              </w:rPr>
                              <w:t>：红军在龙胜践行党的民族政策研学基地、龙胜县红色旅游文化基地建设、龙胜县中央纵队长征文化园项目、龙胜县红色文化保护开发利用项目、龙胜平等龙坪红色旅游提升建设项目、龙胜伟江乡“红色足迹在苗乡”红色旅游精品带打造建设项目、龙胜县马堤乡万人界红色旅游提升项目、</w:t>
                            </w:r>
                            <w:r>
                              <w:rPr>
                                <w:rFonts w:hint="eastAsia" w:ascii="仿宋" w:hAnsi="仿宋" w:eastAsia="仿宋" w:cs="仿宋"/>
                                <w:bCs/>
                                <w:color w:val="0000FF"/>
                                <w:sz w:val="24"/>
                              </w:rPr>
                              <w:t>乐江镇江口村河口阻击战红色旅游文化项目</w:t>
                            </w:r>
                            <w:r>
                              <w:rPr>
                                <w:rFonts w:hint="eastAsia" w:ascii="仿宋" w:hAnsi="仿宋" w:eastAsia="仿宋" w:cs="仿宋"/>
                                <w:bCs/>
                                <w:color w:val="000000" w:themeColor="text1"/>
                                <w:sz w:val="24"/>
                                <w14:textFill>
                                  <w14:solidFill>
                                    <w14:schemeClr w14:val="tx1"/>
                                  </w14:solidFill>
                                </w14:textFill>
                              </w:rPr>
                              <w:t>。</w:t>
                            </w:r>
                          </w:p>
                          <w:p>
                            <w:pPr>
                              <w:pStyle w:val="31"/>
                              <w:spacing w:line="360" w:lineRule="auto"/>
                              <w:jc w:val="both"/>
                              <w:rPr>
                                <w:rFonts w:ascii="仿宋" w:hAnsi="仿宋" w:eastAsia="仿宋" w:cs="仿宋"/>
                                <w:bCs/>
                                <w:color w:val="000000" w:themeColor="text1"/>
                                <w14:textFill>
                                  <w14:solidFill>
                                    <w14:schemeClr w14:val="tx1"/>
                                  </w14:solidFill>
                                </w14:textFill>
                              </w:rPr>
                            </w:pPr>
                            <w:r>
                              <w:rPr>
                                <w:rFonts w:hint="eastAsia" w:ascii="仿宋" w:hAnsi="仿宋" w:eastAsia="仿宋" w:cs="仿宋"/>
                                <w:b/>
                                <w:color w:val="000000" w:themeColor="text1"/>
                                <w14:textFill>
                                  <w14:solidFill>
                                    <w14:schemeClr w14:val="tx1"/>
                                  </w14:solidFill>
                                </w14:textFill>
                              </w:rPr>
                              <w:t>4.产业融合特色项目</w:t>
                            </w:r>
                            <w:r>
                              <w:rPr>
                                <w:rFonts w:hint="eastAsia" w:ascii="仿宋" w:hAnsi="仿宋" w:eastAsia="仿宋" w:cs="仿宋"/>
                                <w:bCs/>
                                <w:color w:val="000000" w:themeColor="text1"/>
                                <w14:textFill>
                                  <w14:solidFill>
                                    <w14:schemeClr w14:val="tx1"/>
                                  </w14:solidFill>
                                </w14:textFill>
                              </w:rPr>
                              <w:t>：有机农产品、鸡血玉等高端旅游产品加工项目、</w:t>
                            </w:r>
                            <w:r>
                              <w:rPr>
                                <w:rFonts w:hint="eastAsia" w:ascii="仿宋" w:hAnsi="仿宋" w:eastAsia="仿宋" w:cs="仿宋"/>
                                <w:color w:val="000000" w:themeColor="text1"/>
                                <w14:textFill>
                                  <w14:solidFill>
                                    <w14:schemeClr w14:val="tx1"/>
                                  </w14:solidFill>
                                </w14:textFill>
                              </w:rPr>
                              <w:t>中国长发博物馆康寿民族文化园项目</w:t>
                            </w:r>
                            <w:r>
                              <w:rPr>
                                <w:rFonts w:hint="eastAsia" w:ascii="仿宋" w:hAnsi="仿宋" w:eastAsia="仿宋" w:cs="仿宋"/>
                                <w:bCs/>
                                <w:color w:val="000000" w:themeColor="text1"/>
                                <w14:textFill>
                                  <w14:solidFill>
                                    <w14:schemeClr w14:val="tx1"/>
                                  </w14:solidFill>
                                </w14:textFill>
                              </w:rPr>
                              <w:t>。</w:t>
                            </w:r>
                          </w:p>
                          <w:p>
                            <w:pPr>
                              <w:pStyle w:val="31"/>
                              <w:spacing w:line="360" w:lineRule="auto"/>
                              <w:jc w:val="both"/>
                              <w:rPr>
                                <w:rFonts w:eastAsia="仿宋"/>
                                <w:color w:val="000000" w:themeColor="text1"/>
                                <w14:textFill>
                                  <w14:solidFill>
                                    <w14:schemeClr w14:val="tx1"/>
                                  </w14:solidFill>
                                </w14:textFill>
                              </w:rPr>
                            </w:pPr>
                            <w:r>
                              <w:rPr>
                                <w:rFonts w:hint="eastAsia" w:ascii="仿宋" w:hAnsi="仿宋" w:eastAsia="仿宋" w:cs="仿宋"/>
                                <w:b/>
                                <w:bCs/>
                                <w:color w:val="000000" w:themeColor="text1"/>
                                <w14:textFill>
                                  <w14:solidFill>
                                    <w14:schemeClr w14:val="tx1"/>
                                  </w14:solidFill>
                                </w14:textFill>
                              </w:rPr>
                              <w:t>5.智慧旅游项目：</w:t>
                            </w:r>
                            <w:r>
                              <w:rPr>
                                <w:rFonts w:hint="eastAsia" w:ascii="仿宋" w:hAnsi="仿宋" w:eastAsia="仿宋" w:cs="仿宋"/>
                                <w:bCs/>
                                <w:color w:val="000000" w:themeColor="text1"/>
                                <w14:textFill>
                                  <w14:solidFill>
                                    <w14:schemeClr w14:val="tx1"/>
                                  </w14:solidFill>
                                </w14:textFill>
                              </w:rPr>
                              <w:t>龙脊景区智慧旅游项目，温泉景区智慧旅游项目。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35pt;margin-top:9.2pt;height:447.9pt;width:437.95pt;mso-wrap-distance-bottom:0pt;mso-wrap-distance-left:9pt;mso-wrap-distance-right:9pt;mso-wrap-distance-top:0pt;z-index:251659264;mso-width-relative:page;mso-height-relative:page;" fillcolor="#FFFFFF [3201]" filled="t" stroked="t" coordsize="21600,21600" o:gfxdata="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U6cg2&#10;1gAAAAkBAAAPAAAAAAAAAAEAIAAAACIAAABkcnMvZG93bnJldi54bWxQSwECFAAUAAAACACHTuJA&#10;uzv+PVwCAAC4BAAADgAAAAAAAAABACAAAAAlAQAAZHJzL2Uyb0RvYy54bWxQSwUGAAAAAAYABgBZ&#10;AQAA8wUAAAAA&#10;">
                <v:fill on="t" focussize="0,0"/>
                <v:stroke weight="0.5pt" color="#000000 [3204]" joinstyle="round"/>
                <v:imagedata o:title=""/>
                <o:lock v:ext="edit" aspectratio="f"/>
                <v:textbox>
                  <w:txbxContent>
                    <w:p>
                      <w:pPr>
                        <w:spacing w:line="360" w:lineRule="auto"/>
                        <w:rPr>
                          <w:rFonts w:ascii="仿宋" w:hAnsi="仿宋" w:eastAsia="仿宋" w:cs="仿宋"/>
                          <w:bCs/>
                          <w:color w:val="000000" w:themeColor="text1"/>
                          <w:sz w:val="24"/>
                          <w14:textFill>
                            <w14:solidFill>
                              <w14:schemeClr w14:val="tx1"/>
                            </w14:solidFill>
                          </w14:textFill>
                        </w:rPr>
                      </w:pPr>
                      <w:r>
                        <w:rPr>
                          <w:rFonts w:hint="eastAsia" w:ascii="仿宋" w:hAnsi="仿宋" w:eastAsia="仿宋" w:cs="仿宋"/>
                          <w:b/>
                          <w:sz w:val="24"/>
                        </w:rPr>
                        <w:t>1.生态休闲度假游项目：</w:t>
                      </w:r>
                      <w:r>
                        <w:rPr>
                          <w:rFonts w:hint="eastAsia" w:ascii="仿宋" w:hAnsi="仿宋" w:eastAsia="仿宋" w:cs="仿宋"/>
                          <w:bCs/>
                          <w:sz w:val="24"/>
                        </w:rPr>
                        <w:t>龙胜县龙脊国家公园建设项目、龙胜温泉提质改造项目、龙胜县龙脊梯田景区创建国家5A级景区提档升级建设项目、龙胜县伟江河旅游开发项目（一）（二）（三）期、龙胜县南山云中草原旅游项目（含旅游基础设施建设项目）、龙胜县温泉国家森林公园、龙胜县温泉景区段浔江绿道建设、龙胜县伟江“一路梨花上南山”乡村旅游示范带建设项目、龙胜县温泉大峡</w:t>
                      </w:r>
                      <w:r>
                        <w:rPr>
                          <w:rFonts w:hint="eastAsia" w:ascii="仿宋" w:hAnsi="仿宋" w:eastAsia="仿宋" w:cs="仿宋"/>
                          <w:bCs/>
                          <w:color w:val="000000" w:themeColor="text1"/>
                          <w:sz w:val="24"/>
                          <w14:textFill>
                            <w14:solidFill>
                              <w14:schemeClr w14:val="tx1"/>
                            </w14:solidFill>
                          </w14:textFill>
                        </w:rPr>
                        <w:t>谷国家级旅游度假区暨创5A级景区建设项目、龙胜县白石红山森林康养谷、龙胜县乐江镇生态旅游开发项目、</w:t>
                      </w:r>
                      <w:r>
                        <w:rPr>
                          <w:rFonts w:hint="eastAsia" w:ascii="仿宋" w:hAnsi="仿宋" w:eastAsia="仿宋" w:cs="仿宋"/>
                          <w:bCs/>
                          <w:color w:val="0000FF"/>
                          <w:sz w:val="24"/>
                        </w:rPr>
                        <w:t>龙胜泗水乡五星级乡村旅游区、马堤乡张家塘生态旅游示范区</w:t>
                      </w:r>
                      <w:r>
                        <w:rPr>
                          <w:rFonts w:hint="eastAsia" w:ascii="仿宋" w:hAnsi="仿宋" w:eastAsia="仿宋" w:cs="仿宋"/>
                          <w:bCs/>
                          <w:color w:val="000000" w:themeColor="text1"/>
                          <w:sz w:val="24"/>
                          <w14:textFill>
                            <w14:solidFill>
                              <w14:schemeClr w14:val="tx1"/>
                            </w14:solidFill>
                          </w14:textFill>
                        </w:rPr>
                        <w:t>。</w:t>
                      </w:r>
                    </w:p>
                    <w:p>
                      <w:pPr>
                        <w:spacing w:line="360" w:lineRule="auto"/>
                        <w:rPr>
                          <w:rFonts w:ascii="仿宋" w:hAnsi="仿宋" w:eastAsia="仿宋" w:cs="仿宋"/>
                          <w:bCs/>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2.民族文化体育旅游项目</w:t>
                      </w:r>
                      <w:r>
                        <w:rPr>
                          <w:rFonts w:hint="eastAsia" w:ascii="仿宋" w:hAnsi="仿宋" w:eastAsia="仿宋" w:cs="仿宋"/>
                          <w:bCs/>
                          <w:color w:val="000000" w:themeColor="text1"/>
                          <w:sz w:val="24"/>
                          <w14:textFill>
                            <w14:solidFill>
                              <w14:schemeClr w14:val="tx1"/>
                            </w14:solidFill>
                          </w14:textFill>
                        </w:rPr>
                        <w:t>：龙胜县文化馆、图书馆、博物馆和影剧院建设项目，龙胜县泗水乡集镇特色旅游小镇建设、龙胜县多民族生态博物园建设项目、龙胜县民族文化园、龙胜县风情苗寨民俗文化旅游建设项目、龙胜县江底乡盘瑶文化休闲度假区建设项目、龙胜县泗水乡潘内村梯田景区建设、龙胜镇金结村洪门梯田生态旅游建设项目。</w:t>
                      </w:r>
                    </w:p>
                    <w:p>
                      <w:pPr>
                        <w:spacing w:line="360" w:lineRule="auto"/>
                        <w:rPr>
                          <w:rFonts w:ascii="仿宋" w:hAnsi="仿宋" w:eastAsia="仿宋" w:cs="仿宋"/>
                          <w:bCs/>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3.红色文化旅游项目</w:t>
                      </w:r>
                      <w:r>
                        <w:rPr>
                          <w:rFonts w:hint="eastAsia" w:ascii="仿宋" w:hAnsi="仿宋" w:eastAsia="仿宋" w:cs="仿宋"/>
                          <w:bCs/>
                          <w:color w:val="000000" w:themeColor="text1"/>
                          <w:sz w:val="24"/>
                          <w14:textFill>
                            <w14:solidFill>
                              <w14:schemeClr w14:val="tx1"/>
                            </w14:solidFill>
                          </w14:textFill>
                        </w:rPr>
                        <w:t>：红军在龙胜践行党的民族政策研学基地、龙胜县红色旅游文化基地建设、龙胜县中央纵队长征文化园项目、龙胜县红色文化保护开发利用项目、龙胜平等龙坪红色旅游提升建设项目、龙胜伟江乡“红色足迹在苗乡”红色旅游精品带打造建设项目、龙胜县马堤乡万人界红色旅游提升项目、</w:t>
                      </w:r>
                      <w:r>
                        <w:rPr>
                          <w:rFonts w:hint="eastAsia" w:ascii="仿宋" w:hAnsi="仿宋" w:eastAsia="仿宋" w:cs="仿宋"/>
                          <w:bCs/>
                          <w:color w:val="0000FF"/>
                          <w:sz w:val="24"/>
                        </w:rPr>
                        <w:t>乐江镇江口村河口阻击战红色旅游文化项目</w:t>
                      </w:r>
                      <w:r>
                        <w:rPr>
                          <w:rFonts w:hint="eastAsia" w:ascii="仿宋" w:hAnsi="仿宋" w:eastAsia="仿宋" w:cs="仿宋"/>
                          <w:bCs/>
                          <w:color w:val="000000" w:themeColor="text1"/>
                          <w:sz w:val="24"/>
                          <w14:textFill>
                            <w14:solidFill>
                              <w14:schemeClr w14:val="tx1"/>
                            </w14:solidFill>
                          </w14:textFill>
                        </w:rPr>
                        <w:t>。</w:t>
                      </w:r>
                    </w:p>
                    <w:p>
                      <w:pPr>
                        <w:pStyle w:val="31"/>
                        <w:spacing w:line="360" w:lineRule="auto"/>
                        <w:jc w:val="both"/>
                        <w:rPr>
                          <w:rFonts w:ascii="仿宋" w:hAnsi="仿宋" w:eastAsia="仿宋" w:cs="仿宋"/>
                          <w:bCs/>
                          <w:color w:val="000000" w:themeColor="text1"/>
                          <w14:textFill>
                            <w14:solidFill>
                              <w14:schemeClr w14:val="tx1"/>
                            </w14:solidFill>
                          </w14:textFill>
                        </w:rPr>
                      </w:pPr>
                      <w:r>
                        <w:rPr>
                          <w:rFonts w:hint="eastAsia" w:ascii="仿宋" w:hAnsi="仿宋" w:eastAsia="仿宋" w:cs="仿宋"/>
                          <w:b/>
                          <w:color w:val="000000" w:themeColor="text1"/>
                          <w14:textFill>
                            <w14:solidFill>
                              <w14:schemeClr w14:val="tx1"/>
                            </w14:solidFill>
                          </w14:textFill>
                        </w:rPr>
                        <w:t>4.产业融合特色项目</w:t>
                      </w:r>
                      <w:r>
                        <w:rPr>
                          <w:rFonts w:hint="eastAsia" w:ascii="仿宋" w:hAnsi="仿宋" w:eastAsia="仿宋" w:cs="仿宋"/>
                          <w:bCs/>
                          <w:color w:val="000000" w:themeColor="text1"/>
                          <w14:textFill>
                            <w14:solidFill>
                              <w14:schemeClr w14:val="tx1"/>
                            </w14:solidFill>
                          </w14:textFill>
                        </w:rPr>
                        <w:t>：有机农产品、鸡血玉等高端旅游产品加工项目、</w:t>
                      </w:r>
                      <w:r>
                        <w:rPr>
                          <w:rFonts w:hint="eastAsia" w:ascii="仿宋" w:hAnsi="仿宋" w:eastAsia="仿宋" w:cs="仿宋"/>
                          <w:color w:val="000000" w:themeColor="text1"/>
                          <w14:textFill>
                            <w14:solidFill>
                              <w14:schemeClr w14:val="tx1"/>
                            </w14:solidFill>
                          </w14:textFill>
                        </w:rPr>
                        <w:t>中国长发博物馆康寿民族文化园项目</w:t>
                      </w:r>
                      <w:r>
                        <w:rPr>
                          <w:rFonts w:hint="eastAsia" w:ascii="仿宋" w:hAnsi="仿宋" w:eastAsia="仿宋" w:cs="仿宋"/>
                          <w:bCs/>
                          <w:color w:val="000000" w:themeColor="text1"/>
                          <w14:textFill>
                            <w14:solidFill>
                              <w14:schemeClr w14:val="tx1"/>
                            </w14:solidFill>
                          </w14:textFill>
                        </w:rPr>
                        <w:t>。</w:t>
                      </w:r>
                    </w:p>
                    <w:p>
                      <w:pPr>
                        <w:pStyle w:val="31"/>
                        <w:spacing w:line="360" w:lineRule="auto"/>
                        <w:jc w:val="both"/>
                        <w:rPr>
                          <w:rFonts w:eastAsia="仿宋"/>
                          <w:color w:val="000000" w:themeColor="text1"/>
                          <w14:textFill>
                            <w14:solidFill>
                              <w14:schemeClr w14:val="tx1"/>
                            </w14:solidFill>
                          </w14:textFill>
                        </w:rPr>
                      </w:pPr>
                      <w:r>
                        <w:rPr>
                          <w:rFonts w:hint="eastAsia" w:ascii="仿宋" w:hAnsi="仿宋" w:eastAsia="仿宋" w:cs="仿宋"/>
                          <w:b/>
                          <w:bCs/>
                          <w:color w:val="000000" w:themeColor="text1"/>
                          <w14:textFill>
                            <w14:solidFill>
                              <w14:schemeClr w14:val="tx1"/>
                            </w14:solidFill>
                          </w14:textFill>
                        </w:rPr>
                        <w:t>5.智慧旅游项目：</w:t>
                      </w:r>
                      <w:r>
                        <w:rPr>
                          <w:rFonts w:hint="eastAsia" w:ascii="仿宋" w:hAnsi="仿宋" w:eastAsia="仿宋" w:cs="仿宋"/>
                          <w:bCs/>
                          <w:color w:val="000000" w:themeColor="text1"/>
                          <w14:textFill>
                            <w14:solidFill>
                              <w14:schemeClr w14:val="tx1"/>
                            </w14:solidFill>
                          </w14:textFill>
                        </w:rPr>
                        <w:t>龙脊景区智慧旅游项目，温泉景区智慧旅游项目。</w:t>
                      </w:r>
                    </w:p>
                  </w:txbxContent>
                </v:textbox>
                <w10:wrap type="square"/>
              </v:shape>
            </w:pict>
          </mc:Fallback>
        </mc:AlternateContent>
      </w:r>
    </w:p>
    <w:p>
      <w:pPr>
        <w:adjustRightInd w:val="0"/>
        <w:snapToGrid w:val="0"/>
        <w:spacing w:line="520" w:lineRule="exact"/>
        <w:rPr>
          <w:rFonts w:ascii="Times New Roman" w:hAnsi="Times New Roman" w:eastAsia="黑体" w:cs="黑体"/>
          <w:color w:val="000000" w:themeColor="text1"/>
          <w:sz w:val="32"/>
          <w:szCs w:val="32"/>
          <w14:textFill>
            <w14:solidFill>
              <w14:schemeClr w14:val="tx1"/>
            </w14:solidFill>
          </w14:textFill>
        </w:rPr>
      </w:pPr>
      <w:bookmarkStart w:id="130" w:name="_Toc3301"/>
      <w:r>
        <w:rPr>
          <w:rFonts w:hint="eastAsia" w:ascii="Times New Roman" w:hAnsi="Times New Roman" w:eastAsia="黑体" w:cs="黑体"/>
          <w:color w:val="000000" w:themeColor="text1"/>
          <w:sz w:val="32"/>
          <w:szCs w:val="32"/>
          <w14:textFill>
            <w14:solidFill>
              <w14:schemeClr w14:val="tx1"/>
            </w14:solidFill>
          </w14:textFill>
        </w:rPr>
        <w:br w:type="page"/>
      </w:r>
    </w:p>
    <w:p>
      <w:pPr>
        <w:pStyle w:val="4"/>
        <w:keepNext w:val="0"/>
        <w:keepLines w:val="0"/>
        <w:spacing w:before="0" w:after="0" w:line="560" w:lineRule="exact"/>
        <w:jc w:val="center"/>
        <w:rPr>
          <w:rFonts w:ascii="黑体" w:hAnsi="黑体" w:eastAsia="黑体" w:cs="黑体"/>
          <w:b w:val="0"/>
          <w:color w:val="000000" w:themeColor="text1"/>
          <w14:textFill>
            <w14:solidFill>
              <w14:schemeClr w14:val="tx1"/>
            </w14:solidFill>
          </w14:textFill>
        </w:rPr>
      </w:pPr>
      <w:bookmarkStart w:id="131" w:name="_Toc61110792"/>
      <w:r>
        <w:rPr>
          <w:rFonts w:hint="eastAsia" w:ascii="黑体" w:hAnsi="黑体" w:eastAsia="黑体" w:cs="黑体"/>
          <w:b w:val="0"/>
          <w:color w:val="000000" w:themeColor="text1"/>
          <w14:textFill>
            <w14:solidFill>
              <w14:schemeClr w14:val="tx1"/>
            </w14:solidFill>
          </w14:textFill>
        </w:rPr>
        <w:t>第七章  拓展生态内涵</w:t>
      </w:r>
      <w:bookmarkEnd w:id="122"/>
      <w:bookmarkEnd w:id="123"/>
      <w:r>
        <w:rPr>
          <w:rFonts w:hint="eastAsia" w:ascii="黑体" w:hAnsi="黑体" w:eastAsia="黑体" w:cs="黑体"/>
          <w:b w:val="0"/>
          <w:color w:val="000000" w:themeColor="text1"/>
          <w14:textFill>
            <w14:solidFill>
              <w14:schemeClr w14:val="tx1"/>
            </w14:solidFill>
          </w14:textFill>
        </w:rPr>
        <w:t>，推进“两山”模式</w:t>
      </w:r>
      <w:bookmarkEnd w:id="130"/>
      <w:bookmarkEnd w:id="131"/>
    </w:p>
    <w:p>
      <w:pPr>
        <w:pStyle w:val="41"/>
        <w:keepNext w:val="0"/>
        <w:keepLines w:val="0"/>
        <w:adjustRightInd/>
        <w:snapToGrid/>
        <w:spacing w:before="0" w:beforeLines="0" w:line="560" w:lineRule="exact"/>
        <w:ind w:left="0" w:leftChars="0" w:firstLine="643" w:firstLineChars="200"/>
        <w:jc w:val="both"/>
        <w:outlineLvl w:val="0"/>
        <w:rPr>
          <w:rFonts w:ascii="仿宋_GB2312" w:hAnsi="仿宋_GB2312" w:eastAsia="仿宋_GB2312" w:cs="仿宋_GB2312"/>
          <w:b/>
          <w:bCs w:val="0"/>
          <w:color w:val="000000" w:themeColor="text1"/>
          <w14:textFill>
            <w14:solidFill>
              <w14:schemeClr w14:val="tx1"/>
            </w14:solidFill>
          </w14:textFill>
        </w:rPr>
      </w:pPr>
    </w:p>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bookmarkStart w:id="132" w:name="_Hlk25673808"/>
      <w:r>
        <w:rPr>
          <w:rFonts w:hint="eastAsia" w:ascii="仿宋_GB2312" w:hAnsi="仿宋_GB2312" w:eastAsia="仿宋_GB2312" w:cs="仿宋_GB2312"/>
          <w:color w:val="000000" w:themeColor="text1"/>
          <w:sz w:val="32"/>
          <w:szCs w:val="32"/>
          <w14:textFill>
            <w14:solidFill>
              <w14:schemeClr w14:val="tx1"/>
            </w14:solidFill>
          </w14:textFill>
        </w:rPr>
        <w:t>坚持经济与社会的和谐、人与自然的和谐共生，探索和推进“绿水青山就是金山银山”实践创新基地的发展新模式，丰富“两山”理论深刻内涵，以“两山”基地建设，促进龙胜生态环境的保护、巩固和利用，促进生态优势更好地向经济优势转化，进而巩固拓展脱贫攻坚成果和经济社会的可持续发展，树立全国少数民族山区贫困县实践“两山”理论的典范，打造一条产业兴、人民富、生态美的可持续发展龙胜之路。</w:t>
      </w:r>
    </w:p>
    <w:p>
      <w:pPr>
        <w:pStyle w:val="4"/>
        <w:keepNext w:val="0"/>
        <w:keepLines w:val="0"/>
        <w:spacing w:before="0" w:after="0" w:line="560" w:lineRule="exact"/>
        <w:ind w:firstLine="643" w:firstLineChars="200"/>
        <w:rPr>
          <w:rFonts w:ascii="仿宋_GB2312" w:hAnsi="仿宋_GB2312" w:eastAsia="仿宋_GB2312" w:cs="仿宋_GB2312"/>
          <w:bCs w:val="0"/>
          <w:color w:val="000000" w:themeColor="text1"/>
          <w14:textFill>
            <w14:solidFill>
              <w14:schemeClr w14:val="tx1"/>
            </w14:solidFill>
          </w14:textFill>
        </w:rPr>
      </w:pPr>
      <w:bookmarkStart w:id="133" w:name="_Toc1575"/>
      <w:bookmarkStart w:id="134" w:name="_Toc61110793"/>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第一节  打造“两山”</w:t>
      </w:r>
      <w:bookmarkEnd w:id="133"/>
      <w:bookmarkEnd w:id="134"/>
      <w:r>
        <w:rPr>
          <w:rFonts w:hint="eastAsia" w:ascii="楷体_GB2312" w:hAnsi="楷体_GB2312" w:eastAsia="楷体_GB2312" w:cs="楷体_GB2312"/>
          <w:b w:val="0"/>
          <w:color w:val="000000" w:themeColor="text1"/>
          <w14:textFill>
            <w14:solidFill>
              <w14:schemeClr w14:val="tx1"/>
            </w14:solidFill>
          </w14:textFill>
        </w:rPr>
        <w:t>示范县</w:t>
      </w:r>
    </w:p>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p>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坚持“生态立县，绿色发展”理念，依托和利用自然生态环境优势，探索和丰富“两山”理论深刻内涵，形成水源涵养型南岭山地森林及生物多样性国家生态功能区，并以“两山”基地建设促进生态环境的保护和巩固，促进生态优势更好地向经济优势转化，进而巩固拓展脱贫攻坚成果和经济社会的可持续发展。到2025年，森林覆盖率达82.0%左右；林地保有量310.5万亩以上。</w:t>
      </w:r>
    </w:p>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建立严格的森林资源保护制度，将自然保护地的核心保护区及天然林、公益林等重要地段纳入生态保护红线，形成具有区域特色的生态空间保护格局，提高生态系统的完整性。</w:t>
      </w:r>
      <w:r>
        <w:rPr>
          <w:rFonts w:hint="eastAsia" w:ascii="仿宋_GB2312" w:hAnsi="仿宋_GB2312" w:eastAsia="仿宋_GB2312" w:cs="仿宋_GB2312"/>
          <w:b/>
          <w:bCs/>
          <w:color w:val="000000" w:themeColor="text1"/>
          <w:sz w:val="32"/>
          <w:szCs w:val="32"/>
          <w14:textFill>
            <w14:solidFill>
              <w14:schemeClr w14:val="tx1"/>
            </w14:solidFill>
          </w14:textFill>
        </w:rPr>
        <w:t>一是</w:t>
      </w:r>
      <w:r>
        <w:rPr>
          <w:rFonts w:hint="eastAsia" w:ascii="仿宋_GB2312" w:hAnsi="仿宋_GB2312" w:eastAsia="仿宋_GB2312" w:cs="仿宋_GB2312"/>
          <w:color w:val="000000" w:themeColor="text1"/>
          <w:sz w:val="32"/>
          <w:szCs w:val="32"/>
          <w14:textFill>
            <w14:solidFill>
              <w14:schemeClr w14:val="tx1"/>
            </w14:solidFill>
          </w14:textFill>
        </w:rPr>
        <w:t>加大龙脊梯田国家湿地公园建设。推进景区的旅游经济开发和生态环境建设，对平安村、龙脊村、大寨村、小寨村等梯田进行修复及植被修复，有针对性地保护当地的生态环境。</w:t>
      </w:r>
      <w:r>
        <w:rPr>
          <w:rFonts w:hint="eastAsia" w:ascii="仿宋_GB2312" w:hAnsi="仿宋_GB2312" w:eastAsia="仿宋_GB2312" w:cs="仿宋_GB2312"/>
          <w:b/>
          <w:bCs/>
          <w:color w:val="000000" w:themeColor="text1"/>
          <w:sz w:val="32"/>
          <w:szCs w:val="32"/>
          <w14:textFill>
            <w14:solidFill>
              <w14:schemeClr w14:val="tx1"/>
            </w14:solidFill>
          </w14:textFill>
        </w:rPr>
        <w:t>二是</w:t>
      </w:r>
      <w:r>
        <w:rPr>
          <w:rFonts w:hint="eastAsia" w:ascii="仿宋_GB2312" w:hAnsi="仿宋_GB2312" w:eastAsia="仿宋_GB2312" w:cs="仿宋_GB2312"/>
          <w:color w:val="000000" w:themeColor="text1"/>
          <w:sz w:val="32"/>
          <w:szCs w:val="32"/>
          <w14:textFill>
            <w14:solidFill>
              <w14:schemeClr w14:val="tx1"/>
            </w14:solidFill>
          </w14:textFill>
        </w:rPr>
        <w:t>完善温泉国家森林公园配套基础设施，提升景区服务功能。</w:t>
      </w:r>
      <w:r>
        <w:rPr>
          <w:rFonts w:hint="eastAsia" w:ascii="仿宋_GB2312" w:hAnsi="仿宋_GB2312" w:eastAsia="仿宋_GB2312" w:cs="仿宋_GB2312"/>
          <w:b/>
          <w:bCs/>
          <w:color w:val="000000" w:themeColor="text1"/>
          <w:sz w:val="32"/>
          <w:szCs w:val="32"/>
          <w14:textFill>
            <w14:solidFill>
              <w14:schemeClr w14:val="tx1"/>
            </w14:solidFill>
          </w14:textFill>
        </w:rPr>
        <w:t>三是</w:t>
      </w:r>
      <w:r>
        <w:rPr>
          <w:rFonts w:hint="eastAsia" w:ascii="仿宋_GB2312" w:hAnsi="仿宋_GB2312" w:eastAsia="仿宋_GB2312" w:cs="仿宋_GB2312"/>
          <w:color w:val="000000" w:themeColor="text1"/>
          <w:sz w:val="32"/>
          <w:szCs w:val="32"/>
          <w14:textFill>
            <w14:solidFill>
              <w14:schemeClr w14:val="tx1"/>
            </w14:solidFill>
          </w14:textFill>
        </w:rPr>
        <w:t>加速南山云中草原景区建设。抓好南山风电场项目生态恢复工程，以及强化监管。</w:t>
      </w:r>
      <w:r>
        <w:rPr>
          <w:rFonts w:hint="eastAsia" w:ascii="仿宋_GB2312" w:hAnsi="仿宋_GB2312" w:eastAsia="仿宋_GB2312" w:cs="仿宋_GB2312"/>
          <w:b/>
          <w:bCs/>
          <w:color w:val="000000" w:themeColor="text1"/>
          <w:sz w:val="32"/>
          <w:szCs w:val="32"/>
          <w14:textFill>
            <w14:solidFill>
              <w14:schemeClr w14:val="tx1"/>
            </w14:solidFill>
          </w14:textFill>
        </w:rPr>
        <w:t>四是</w:t>
      </w:r>
      <w:r>
        <w:rPr>
          <w:rFonts w:hint="eastAsia" w:ascii="仿宋_GB2312" w:hAnsi="仿宋_GB2312" w:eastAsia="仿宋_GB2312" w:cs="仿宋_GB2312"/>
          <w:color w:val="000000" w:themeColor="text1"/>
          <w:sz w:val="32"/>
          <w:szCs w:val="32"/>
          <w14:textFill>
            <w14:solidFill>
              <w14:schemeClr w14:val="tx1"/>
            </w14:solidFill>
          </w14:textFill>
        </w:rPr>
        <w:t>协调解决花坪自然保护区历史遗留问题，利用林业行业优势，促进花坪保护区群众生活得以改善。</w:t>
      </w:r>
      <w:bookmarkStart w:id="135" w:name="_Toc14637"/>
      <w:r>
        <w:rPr>
          <w:rFonts w:hint="eastAsia" w:ascii="仿宋_GB2312" w:hAnsi="仿宋_GB2312" w:eastAsia="仿宋_GB2312" w:cs="仿宋_GB2312"/>
          <w:b/>
          <w:bCs/>
          <w:color w:val="000000" w:themeColor="text1"/>
          <w:sz w:val="32"/>
          <w:szCs w:val="32"/>
          <w14:textFill>
            <w14:solidFill>
              <w14:schemeClr w14:val="tx1"/>
            </w14:solidFill>
          </w14:textFill>
        </w:rPr>
        <w:t>五是</w:t>
      </w:r>
      <w:r>
        <w:rPr>
          <w:rFonts w:hint="eastAsia" w:ascii="仿宋_GB2312" w:hAnsi="仿宋_GB2312" w:eastAsia="仿宋_GB2312" w:cs="仿宋_GB2312"/>
          <w:color w:val="000000" w:themeColor="text1"/>
          <w:sz w:val="32"/>
          <w:szCs w:val="32"/>
          <w14:textFill>
            <w14:solidFill>
              <w14:schemeClr w14:val="tx1"/>
            </w14:solidFill>
          </w14:textFill>
        </w:rPr>
        <w:t>积极探索多种形式的“两山”转化模式，把资源优势转化为经济优势，大力发展生态旅游、生态农业、生态工业等，力争打造“两山”示范县。</w:t>
      </w:r>
    </w:p>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第二节  加大生态环境保护</w:t>
      </w:r>
      <w:bookmarkEnd w:id="135"/>
    </w:p>
    <w:p>
      <w:pPr>
        <w:tabs>
          <w:tab w:val="left" w:pos="908"/>
        </w:tabs>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p>
    <w:p>
      <w:pPr>
        <w:numPr>
          <w:ilvl w:val="0"/>
          <w:numId w:val="3"/>
        </w:numPr>
        <w:tabs>
          <w:tab w:val="left" w:pos="908"/>
        </w:tabs>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打造山清水秀的生态环境，实现“绿水青山就是金山银山”的目标。做好环境质量持续改善。实施污染物总量，推进管理减排。将优化总量控制实施，加强市容环境卫生管理，加快农村生活污水专项治理，强化农业污染源防治与监管，提高治污减排与环境质量改善的相关性，将区域质量改善要求落实到机关、企事业单位。健全总量减排统计、监测和考核三大体系建设，使龙胜展现出天蓝、山绿、地净、水清、空气新的“龙胜蓝”美丽景象。</w:t>
      </w:r>
    </w:p>
    <w:p>
      <w:pPr>
        <w:tabs>
          <w:tab w:val="left" w:pos="908"/>
        </w:tabs>
        <w:spacing w:line="560" w:lineRule="exact"/>
        <w:ind w:firstLine="643"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color w:val="000000" w:themeColor="text1"/>
          <w:sz w:val="32"/>
          <w:szCs w:val="32"/>
          <w14:textFill>
            <w14:solidFill>
              <w14:schemeClr w14:val="tx1"/>
            </w14:solidFill>
          </w14:textFill>
        </w:rPr>
        <w:t>（一）加强水环境综合治理。</w:t>
      </w:r>
      <w:r>
        <w:rPr>
          <w:rFonts w:hint="eastAsia" w:ascii="仿宋_GB2312" w:hAnsi="仿宋_GB2312" w:eastAsia="仿宋_GB2312" w:cs="仿宋_GB2312"/>
          <w:color w:val="000000" w:themeColor="text1"/>
          <w:sz w:val="32"/>
          <w:szCs w:val="32"/>
          <w14:textFill>
            <w14:solidFill>
              <w14:schemeClr w14:val="tx1"/>
            </w14:solidFill>
          </w14:textFill>
        </w:rPr>
        <w:t>加快集中式饮用水水源地的保护和规范化建设，持续开展饮用水水源地的环境污染防治，巩固饮用水水源保护区整治成果。加强污染源工业废水排放的监督与治理，改造不能达标的工业污水处理工艺。加大三门河的治理力度，对滑石、鸡血玉等开采、加工企业进行严格约束。鼓励企业建设污水深度处理设施。支持企业实行清洁生产和工业用水循环利用，发展节水型工业，提高工业用水重复利用率。加强农村生活污水处理设施建设和设施运行管理，完善农村污水统一收集、集中处理项目建设。落实垃圾分类处理。到2025年，地表水水质优于III类水体保持稳定，县城集中式饮用水水源地水质达标率100%，集中式饮用水水源地水质达标率100%，国控断面（交州）水质达到或优于Ⅱ类水体比例达到100%，其余地表水断面水质达到或优于Ⅲ类水体比例达到100%。</w:t>
      </w:r>
    </w:p>
    <w:p>
      <w:pPr>
        <w:pBdr>
          <w:bottom w:val="single" w:color="FFFFFF" w:sz="4" w:space="15"/>
        </w:pBdr>
        <w:spacing w:line="560" w:lineRule="exact"/>
        <w:ind w:firstLine="643"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color w:val="000000" w:themeColor="text1"/>
          <w:sz w:val="32"/>
          <w:szCs w:val="32"/>
          <w14:textFill>
            <w14:solidFill>
              <w14:schemeClr w14:val="tx1"/>
            </w14:solidFill>
          </w14:textFill>
        </w:rPr>
        <w:t>（二）提升大气环境质量。</w:t>
      </w:r>
      <w:r>
        <w:rPr>
          <w:rFonts w:hint="eastAsia" w:ascii="仿宋_GB2312" w:hAnsi="仿宋_GB2312" w:eastAsia="仿宋_GB2312" w:cs="仿宋_GB2312"/>
          <w:color w:val="000000" w:themeColor="text1"/>
          <w:sz w:val="32"/>
          <w:szCs w:val="32"/>
          <w14:textFill>
            <w14:solidFill>
              <w14:schemeClr w14:val="tx1"/>
            </w14:solidFill>
          </w14:textFill>
        </w:rPr>
        <w:t>抓好产业结构和布局调整优化、清洁能源使用、机动车尾气排放、非道路移动车辆上牌限行监管、VOCs(挥发性有机化合物)企业的治理、餐饮油烟排放、桔杆禁烧管控及奖惩机制的建立和城市道路及施工工地扬尘等关键环节，完善臭氧、一氧化碳、PM2.5和PM10大气复合污染物立体监测网络，推动大气污染向多因子、全方位、区域协同控制转变。建立巡查机制，严控高污染高能耗企业超标排放，严打露天焚烧行为。到2025年，城市空气质量优良天数比率、细颗粒物（PM2.5）浓度、县城区域环境噪声效声级均值等控制在上级下达的指标内。</w:t>
      </w:r>
    </w:p>
    <w:p>
      <w:pPr>
        <w:pBdr>
          <w:bottom w:val="single" w:color="FFFFFF" w:sz="4" w:space="15"/>
        </w:pBdr>
        <w:spacing w:line="560" w:lineRule="exact"/>
        <w:ind w:firstLine="643"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color w:val="000000" w:themeColor="text1"/>
          <w:sz w:val="32"/>
          <w:szCs w:val="32"/>
          <w14:textFill>
            <w14:solidFill>
              <w14:schemeClr w14:val="tx1"/>
            </w14:solidFill>
          </w14:textFill>
        </w:rPr>
        <w:t>（三）改善土壤环境质量。</w:t>
      </w:r>
      <w:r>
        <w:rPr>
          <w:rFonts w:hint="eastAsia" w:ascii="仿宋_GB2312" w:hAnsi="仿宋_GB2312" w:eastAsia="仿宋_GB2312" w:cs="仿宋_GB2312"/>
          <w:color w:val="000000" w:themeColor="text1"/>
          <w:sz w:val="32"/>
          <w:szCs w:val="32"/>
          <w14:textFill>
            <w14:solidFill>
              <w14:schemeClr w14:val="tx1"/>
            </w14:solidFill>
          </w14:textFill>
        </w:rPr>
        <w:t>实施土壤污染防治，强化土壤污染风险管控；加强危险废物收集运输处置全过程监管；推进垃圾分类处置；加强信息化监管和转移处置实时监控，强化部门联防联控，严厉打击固体废物非法转移和倾倒处置行为；强化重点工矿企业的重金属污染物排放及周边环境中的重金属监测，有效防控环境风险。到2025年，耕地土壤环境质量达标率不低于81.8%，受污染耕地安全利用率和污染地块安全利用率达到90%，新增建设用地土壤环境安全保障率达100%，县城和乡镇生活垃圾无害化处理率分别达到100%和95%，规模化畜禽养殖和养殖小区粪污综合利用率高于80%。</w:t>
      </w:r>
    </w:p>
    <w:p>
      <w:pPr>
        <w:pBdr>
          <w:bottom w:val="single" w:color="FFFFFF" w:sz="4" w:space="15"/>
        </w:pBdr>
        <w:spacing w:line="560" w:lineRule="exact"/>
        <w:ind w:firstLine="643" w:firstLineChars="200"/>
        <w:textAlignment w:val="baseline"/>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color w:val="000000" w:themeColor="text1"/>
          <w:sz w:val="32"/>
          <w:szCs w:val="32"/>
          <w14:textFill>
            <w14:solidFill>
              <w14:schemeClr w14:val="tx1"/>
            </w14:solidFill>
          </w14:textFill>
        </w:rPr>
        <w:t>（四）加强核与辐射安全管理。</w:t>
      </w:r>
      <w:r>
        <w:rPr>
          <w:rFonts w:hint="eastAsia" w:ascii="仿宋_GB2312" w:hAnsi="仿宋_GB2312" w:eastAsia="仿宋_GB2312" w:cs="仿宋_GB2312"/>
          <w:color w:val="000000" w:themeColor="text1"/>
          <w:sz w:val="32"/>
          <w:szCs w:val="32"/>
          <w14:textFill>
            <w14:solidFill>
              <w14:schemeClr w14:val="tx1"/>
            </w14:solidFill>
          </w14:textFill>
        </w:rPr>
        <w:t>强化核安全监管体系和监管能力建设，推进核安全法治进程，落实核安全规划，依法从严监管，开展放射源安全专项检查行动，核实放射源生产、销售、使用情况，排查安全风险，废旧放射源实现安全处置，避免发生放射性污染环境事件。</w:t>
      </w:r>
      <w:bookmarkStart w:id="136" w:name="_Toc61110794"/>
      <w:bookmarkStart w:id="137" w:name="_Toc24937"/>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第三节  大力发展生态经济</w:t>
      </w:r>
      <w:bookmarkEnd w:id="136"/>
      <w:bookmarkEnd w:id="137"/>
    </w:p>
    <w:p>
      <w:pPr>
        <w:pBdr>
          <w:bottom w:val="single" w:color="FFFFFF" w:sz="4" w:space="15"/>
        </w:pBd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p>
    <w:p>
      <w:pPr>
        <w:pBdr>
          <w:bottom w:val="single" w:color="FFFFFF" w:sz="4" w:space="15"/>
        </w:pBd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坚持生态建设产业化、产业发展生态化，大力发展生态工业、生态农业、生态服务业，推动绿色经济、有机经济、循环经济一体化，生态人居、生态环境、生态文化同步建设，加快把生态产业打造成新的支柱产业，使生态优势转化为经济发展优势。推广应用高效绿色技术。培育和发展符合国家产业导向、市场前景广阔、可持续发展优势明显的战略性新兴产业。优化能源结构，提高可再生能源在能源消费中的比重。调整农业产业结构，做强做优油茶、茶叶、果蔬和特色种植养殖。大力发展无公害农产品、绿色食品和有机产品，建立有机食品和绿色食品基地。大力发展休闲观光、健康养生等产业，把低碳理念贯穿于吃住行游购娱旅游元素之中，培育低碳酒店、低碳景区、低碳社区等。</w:t>
      </w:r>
      <w:bookmarkStart w:id="138" w:name="_Toc5064"/>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bookmarkStart w:id="139" w:name="_Toc61110795"/>
      <w:bookmarkStart w:id="140" w:name="_Toc3005"/>
      <w:r>
        <w:rPr>
          <w:rFonts w:hint="eastAsia" w:ascii="楷体_GB2312" w:hAnsi="楷体_GB2312" w:eastAsia="楷体_GB2312" w:cs="楷体_GB2312"/>
          <w:b w:val="0"/>
          <w:color w:val="000000" w:themeColor="text1"/>
          <w14:textFill>
            <w14:solidFill>
              <w14:schemeClr w14:val="tx1"/>
            </w14:solidFill>
          </w14:textFill>
        </w:rPr>
        <w:t>第四节  促进低碳消费</w:t>
      </w:r>
      <w:bookmarkEnd w:id="138"/>
      <w:bookmarkEnd w:id="139"/>
      <w:bookmarkEnd w:id="140"/>
    </w:p>
    <w:p>
      <w:pPr>
        <w:pBdr>
          <w:bottom w:val="single" w:color="FFFFFF" w:sz="4" w:space="15"/>
        </w:pBd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p>
    <w:p>
      <w:pPr>
        <w:pBdr>
          <w:bottom w:val="single" w:color="FFFFFF" w:sz="4" w:space="15"/>
        </w:pBd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推行资源节约、环境友好的消费方式。加强生态文明宣传，倡导环保生活方式，改善居民绿色消费环境、提高居民绿色消费意识，引导消费者选择经济适用的绿色环保产品，提倡绿色出行、低碳出行方式。编制二氧化碳排放达峰行动方案，制定二氧化碳排放达峰路线图、时间表和具体措施，推进低碳社区建设，加强社区低碳生活配套设施建设，打造社区商业低碳供应链。推广可再生能源建筑应用，鼓励采用低碳技术和低碳设备，执行更严格的绿色建筑和建筑节能标准。强化节水节能节材节地措施，建设节约型社会。探索创新生态管理体制机制，从制度上保护环境。</w:t>
      </w:r>
    </w:p>
    <w:p>
      <w:pPr>
        <w:adjustRightInd w:val="0"/>
        <w:snapToGrid w:val="0"/>
        <w:jc w:val="center"/>
        <w:rPr>
          <w:rFonts w:ascii="Times New Roman" w:hAnsi="Times New Roman" w:eastAsia="仿宋" w:cs="仿宋"/>
          <w:b/>
          <w:color w:val="000000" w:themeColor="text1"/>
          <w:sz w:val="28"/>
          <w:szCs w:val="28"/>
          <w14:textFill>
            <w14:solidFill>
              <w14:schemeClr w14:val="tx1"/>
            </w14:solidFill>
          </w14:textFill>
        </w:rPr>
      </w:pPr>
      <w:r>
        <w:rPr>
          <w:rFonts w:ascii="Times New Roman" w:hAnsi="Times New Roman"/>
          <w:color w:val="000000" w:themeColor="text1"/>
          <w14:textFill>
            <w14:solidFill>
              <w14:schemeClr w14:val="tx1"/>
            </w14:solidFill>
          </w14:textFill>
        </w:rPr>
        <mc:AlternateContent>
          <mc:Choice Requires="wps">
            <w:drawing>
              <wp:anchor distT="0" distB="0" distL="114300" distR="114300" simplePos="0" relativeHeight="251664384" behindDoc="0" locked="0" layoutInCell="1" allowOverlap="1">
                <wp:simplePos x="0" y="0"/>
                <wp:positionH relativeFrom="column">
                  <wp:posOffset>-122555</wp:posOffset>
                </wp:positionH>
                <wp:positionV relativeFrom="paragraph">
                  <wp:posOffset>337820</wp:posOffset>
                </wp:positionV>
                <wp:extent cx="5828665" cy="1809750"/>
                <wp:effectExtent l="0" t="0" r="19685" b="19050"/>
                <wp:wrapSquare wrapText="bothSides"/>
                <wp:docPr id="9" name="文本框 9"/>
                <wp:cNvGraphicFramePr/>
                <a:graphic xmlns:a="http://schemas.openxmlformats.org/drawingml/2006/main">
                  <a:graphicData uri="http://schemas.microsoft.com/office/word/2010/wordprocessingShape">
                    <wps:wsp>
                      <wps:cNvSpPr txBox="1"/>
                      <wps:spPr>
                        <a:xfrm>
                          <a:off x="0" y="0"/>
                          <a:ext cx="5828665" cy="18097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pStyle w:val="31"/>
                              <w:spacing w:line="360" w:lineRule="auto"/>
                              <w:rPr>
                                <w:rFonts w:ascii="仿宋" w:hAnsi="仿宋" w:eastAsia="仿宋" w:cs="仿宋"/>
                                <w:color w:val="auto"/>
                                <w:kern w:val="2"/>
                              </w:rPr>
                            </w:pPr>
                            <w:r>
                              <w:rPr>
                                <w:rFonts w:hint="eastAsia" w:ascii="仿宋" w:hAnsi="仿宋" w:eastAsia="仿宋" w:cs="仿宋"/>
                                <w:b/>
                                <w:bCs/>
                              </w:rPr>
                              <w:t>1.环境治理：</w:t>
                            </w:r>
                            <w:r>
                              <w:rPr>
                                <w:rFonts w:hint="eastAsia" w:ascii="仿宋" w:hAnsi="仿宋" w:eastAsia="仿宋" w:cs="仿宋"/>
                              </w:rPr>
                              <w:t>龙胜县三门河整治、龙胜县饮用水水源保护区治理、龙胜县农村人居环境整治基础设施建设项目、</w:t>
                            </w:r>
                            <w:r>
                              <w:rPr>
                                <w:rFonts w:hint="eastAsia" w:ascii="仿宋" w:hAnsi="仿宋" w:eastAsia="仿宋" w:cs="仿宋"/>
                                <w:color w:val="auto"/>
                                <w:kern w:val="2"/>
                              </w:rPr>
                              <w:t>龙胜县南山草原生态修复项目、</w:t>
                            </w:r>
                            <w:r>
                              <w:rPr>
                                <w:rFonts w:hint="eastAsia" w:ascii="仿宋" w:hAnsi="仿宋" w:eastAsia="仿宋" w:cs="仿宋"/>
                              </w:rPr>
                              <w:t>龙胜县大气污染防治项目。</w:t>
                            </w:r>
                          </w:p>
                          <w:p>
                            <w:pPr>
                              <w:pStyle w:val="31"/>
                              <w:spacing w:line="360" w:lineRule="auto"/>
                              <w:rPr>
                                <w:rFonts w:ascii="仿宋" w:hAnsi="仿宋" w:eastAsia="仿宋" w:cs="仿宋"/>
                                <w:color w:val="auto"/>
                                <w:kern w:val="2"/>
                              </w:rPr>
                            </w:pPr>
                            <w:r>
                              <w:rPr>
                                <w:rFonts w:hint="eastAsia" w:ascii="仿宋" w:hAnsi="仿宋" w:eastAsia="仿宋" w:cs="仿宋"/>
                                <w:b/>
                                <w:bCs/>
                                <w:color w:val="auto"/>
                                <w:kern w:val="2"/>
                              </w:rPr>
                              <w:t>2.垃圾处理：</w:t>
                            </w:r>
                            <w:r>
                              <w:rPr>
                                <w:rFonts w:hint="eastAsia" w:ascii="仿宋" w:hAnsi="仿宋" w:eastAsia="仿宋" w:cs="仿宋"/>
                                <w:color w:val="auto"/>
                                <w:kern w:val="2"/>
                              </w:rPr>
                              <w:t>龙胜县拉麻垃圾场封场项目、龙胜县垃圾分类分拣综合处理中心项目、龙胜县城建筑垃圾消纳场建设项目。</w:t>
                            </w:r>
                          </w:p>
                          <w:p>
                            <w:pPr>
                              <w:pStyle w:val="31"/>
                              <w:spacing w:line="360" w:lineRule="auto"/>
                              <w:rPr>
                                <w:rFonts w:ascii="仿宋" w:hAnsi="仿宋" w:eastAsia="仿宋" w:cs="仿宋"/>
                                <w:color w:val="auto"/>
                                <w:kern w:val="2"/>
                              </w:rPr>
                            </w:pPr>
                            <w:r>
                              <w:rPr>
                                <w:rFonts w:hint="eastAsia" w:ascii="仿宋" w:hAnsi="仿宋" w:eastAsia="仿宋" w:cs="仿宋"/>
                                <w:b/>
                                <w:bCs/>
                                <w:color w:val="auto"/>
                                <w:kern w:val="2"/>
                              </w:rPr>
                              <w:t>3.污水处理：</w:t>
                            </w:r>
                            <w:r>
                              <w:rPr>
                                <w:rFonts w:hint="eastAsia" w:ascii="仿宋" w:hAnsi="仿宋" w:eastAsia="仿宋" w:cs="仿宋"/>
                                <w:color w:val="auto"/>
                                <w:kern w:val="2"/>
                              </w:rPr>
                              <w:t>龙胜县污水处理厂二期及配套管网工程、龙胜县乡镇污水设施建设项目、农村污水整治项目、龙胜县镇级污水处理厂新增官网项目。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65pt;margin-top:26.6pt;height:142.5pt;width:458.95pt;mso-wrap-distance-bottom:0pt;mso-wrap-distance-left:9pt;mso-wrap-distance-right:9pt;mso-wrap-distance-top:0pt;z-index:251664384;mso-width-relative:page;mso-height-relative:page;" fillcolor="#FFFFFF [3201]" filled="t" stroked="t" coordsize="21600,21600" o:gfxdata="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AQqsGR&#10;1wAAAAoBAAAPAAAAAAAAAAEAIAAAACIAAABkcnMvZG93bnJldi54bWxQSwECFAAUAAAACACHTuJA&#10;zpTujFsCAAC4BAAADgAAAAAAAAABACAAAAAmAQAAZHJzL2Uyb0RvYy54bWxQSwUGAAAAAAYABgBZ&#10;AQAA8wUAAAAA&#10;">
                <v:fill on="t" focussize="0,0"/>
                <v:stroke weight="0.5pt" color="#000000 [3204]" joinstyle="round"/>
                <v:imagedata o:title=""/>
                <o:lock v:ext="edit" aspectratio="f"/>
                <v:textbox>
                  <w:txbxContent>
                    <w:p>
                      <w:pPr>
                        <w:pStyle w:val="31"/>
                        <w:spacing w:line="360" w:lineRule="auto"/>
                        <w:rPr>
                          <w:rFonts w:ascii="仿宋" w:hAnsi="仿宋" w:eastAsia="仿宋" w:cs="仿宋"/>
                          <w:color w:val="auto"/>
                          <w:kern w:val="2"/>
                        </w:rPr>
                      </w:pPr>
                      <w:r>
                        <w:rPr>
                          <w:rFonts w:hint="eastAsia" w:ascii="仿宋" w:hAnsi="仿宋" w:eastAsia="仿宋" w:cs="仿宋"/>
                          <w:b/>
                          <w:bCs/>
                        </w:rPr>
                        <w:t>1.环境治理：</w:t>
                      </w:r>
                      <w:r>
                        <w:rPr>
                          <w:rFonts w:hint="eastAsia" w:ascii="仿宋" w:hAnsi="仿宋" w:eastAsia="仿宋" w:cs="仿宋"/>
                        </w:rPr>
                        <w:t>龙胜县三门河整治、龙胜县饮用水水源保护区治理、龙胜县农村人居环境整治基础设施建设项目、</w:t>
                      </w:r>
                      <w:r>
                        <w:rPr>
                          <w:rFonts w:hint="eastAsia" w:ascii="仿宋" w:hAnsi="仿宋" w:eastAsia="仿宋" w:cs="仿宋"/>
                          <w:color w:val="auto"/>
                          <w:kern w:val="2"/>
                        </w:rPr>
                        <w:t>龙胜县南山草原生态修复项目、</w:t>
                      </w:r>
                      <w:r>
                        <w:rPr>
                          <w:rFonts w:hint="eastAsia" w:ascii="仿宋" w:hAnsi="仿宋" w:eastAsia="仿宋" w:cs="仿宋"/>
                        </w:rPr>
                        <w:t>龙胜县大气污染防治项目。</w:t>
                      </w:r>
                    </w:p>
                    <w:p>
                      <w:pPr>
                        <w:pStyle w:val="31"/>
                        <w:spacing w:line="360" w:lineRule="auto"/>
                        <w:rPr>
                          <w:rFonts w:ascii="仿宋" w:hAnsi="仿宋" w:eastAsia="仿宋" w:cs="仿宋"/>
                          <w:color w:val="auto"/>
                          <w:kern w:val="2"/>
                        </w:rPr>
                      </w:pPr>
                      <w:r>
                        <w:rPr>
                          <w:rFonts w:hint="eastAsia" w:ascii="仿宋" w:hAnsi="仿宋" w:eastAsia="仿宋" w:cs="仿宋"/>
                          <w:b/>
                          <w:bCs/>
                          <w:color w:val="auto"/>
                          <w:kern w:val="2"/>
                        </w:rPr>
                        <w:t>2.垃圾处理：</w:t>
                      </w:r>
                      <w:r>
                        <w:rPr>
                          <w:rFonts w:hint="eastAsia" w:ascii="仿宋" w:hAnsi="仿宋" w:eastAsia="仿宋" w:cs="仿宋"/>
                          <w:color w:val="auto"/>
                          <w:kern w:val="2"/>
                        </w:rPr>
                        <w:t>龙胜县拉麻垃圾场封场项目、龙胜县垃圾分类分拣综合处理中心项目、龙胜县城建筑垃圾消纳场建设项目。</w:t>
                      </w:r>
                    </w:p>
                    <w:p>
                      <w:pPr>
                        <w:pStyle w:val="31"/>
                        <w:spacing w:line="360" w:lineRule="auto"/>
                        <w:rPr>
                          <w:rFonts w:ascii="仿宋" w:hAnsi="仿宋" w:eastAsia="仿宋" w:cs="仿宋"/>
                          <w:color w:val="auto"/>
                          <w:kern w:val="2"/>
                        </w:rPr>
                      </w:pPr>
                      <w:r>
                        <w:rPr>
                          <w:rFonts w:hint="eastAsia" w:ascii="仿宋" w:hAnsi="仿宋" w:eastAsia="仿宋" w:cs="仿宋"/>
                          <w:b/>
                          <w:bCs/>
                          <w:color w:val="auto"/>
                          <w:kern w:val="2"/>
                        </w:rPr>
                        <w:t>3.污水处理：</w:t>
                      </w:r>
                      <w:r>
                        <w:rPr>
                          <w:rFonts w:hint="eastAsia" w:ascii="仿宋" w:hAnsi="仿宋" w:eastAsia="仿宋" w:cs="仿宋"/>
                          <w:color w:val="auto"/>
                          <w:kern w:val="2"/>
                        </w:rPr>
                        <w:t>龙胜县污水处理厂二期及配套管网工程、龙胜县乡镇污水设施建设项目、农村污水整治项目、龙胜县镇级污水处理厂新增官网项目。</w:t>
                      </w:r>
                    </w:p>
                  </w:txbxContent>
                </v:textbox>
                <w10:wrap type="square"/>
              </v:shape>
            </w:pict>
          </mc:Fallback>
        </mc:AlternateContent>
      </w:r>
      <w:r>
        <w:rPr>
          <w:rFonts w:hint="eastAsia" w:ascii="Times New Roman" w:hAnsi="Times New Roman" w:eastAsia="仿宋" w:cs="仿宋"/>
          <w:b/>
          <w:color w:val="000000" w:themeColor="text1"/>
          <w:sz w:val="28"/>
          <w:szCs w:val="28"/>
          <w14:textFill>
            <w14:solidFill>
              <w14:schemeClr w14:val="tx1"/>
            </w14:solidFill>
          </w14:textFill>
        </w:rPr>
        <w:t>专栏</w:t>
      </w:r>
      <w:r>
        <w:rPr>
          <w:rFonts w:ascii="Times New Roman" w:hAnsi="Times New Roman" w:eastAsia="仿宋" w:cs="仿宋"/>
          <w:b/>
          <w:color w:val="000000" w:themeColor="text1"/>
          <w:sz w:val="28"/>
          <w:szCs w:val="28"/>
          <w14:textFill>
            <w14:solidFill>
              <w14:schemeClr w14:val="tx1"/>
            </w14:solidFill>
          </w14:textFill>
        </w:rPr>
        <w:t>5</w:t>
      </w:r>
      <w:r>
        <w:rPr>
          <w:rFonts w:hint="eastAsia" w:ascii="Times New Roman" w:hAnsi="Times New Roman" w:eastAsia="仿宋" w:cs="仿宋"/>
          <w:b/>
          <w:color w:val="000000" w:themeColor="text1"/>
          <w:sz w:val="28"/>
          <w:szCs w:val="28"/>
          <w14:textFill>
            <w14:solidFill>
              <w14:schemeClr w14:val="tx1"/>
            </w14:solidFill>
          </w14:textFill>
        </w:rPr>
        <w:t xml:space="preserve">  环境保护和生态建设工程</w:t>
      </w:r>
    </w:p>
    <w:bookmarkEnd w:id="124"/>
    <w:bookmarkEnd w:id="125"/>
    <w:bookmarkEnd w:id="132"/>
    <w:p>
      <w:pPr>
        <w:pStyle w:val="4"/>
        <w:keepNext w:val="0"/>
        <w:keepLines w:val="0"/>
        <w:spacing w:before="0" w:after="0" w:line="560" w:lineRule="exact"/>
        <w:ind w:firstLine="640" w:firstLineChars="200"/>
        <w:jc w:val="center"/>
        <w:rPr>
          <w:rFonts w:ascii="仿宋_GB2312" w:hAnsi="仿宋_GB2312" w:eastAsia="仿宋_GB2312" w:cs="仿宋_GB2312"/>
          <w:b w:val="0"/>
          <w:color w:val="000000" w:themeColor="text1"/>
          <w14:textFill>
            <w14:solidFill>
              <w14:schemeClr w14:val="tx1"/>
            </w14:solidFill>
          </w14:textFill>
        </w:rPr>
      </w:pPr>
      <w:bookmarkStart w:id="141" w:name="_Toc27132"/>
      <w:bookmarkStart w:id="142" w:name="_Toc25215"/>
      <w:bookmarkStart w:id="143" w:name="_Toc61110796"/>
      <w:bookmarkStart w:id="144" w:name="_Toc19740"/>
      <w:bookmarkStart w:id="145" w:name="_Toc29119"/>
      <w:bookmarkStart w:id="146" w:name="_Toc25369"/>
    </w:p>
    <w:p>
      <w:pPr>
        <w:rPr>
          <w:rFonts w:ascii="仿宋_GB2312" w:hAnsi="仿宋_GB2312" w:eastAsia="仿宋_GB2312" w:cs="仿宋_GB2312"/>
          <w:bCs/>
          <w:color w:val="000000" w:themeColor="text1"/>
          <w:sz w:val="32"/>
          <w:szCs w:val="32"/>
          <w14:textFill>
            <w14:solidFill>
              <w14:schemeClr w14:val="tx1"/>
            </w14:solidFill>
          </w14:textFill>
        </w:rPr>
      </w:pPr>
    </w:p>
    <w:p>
      <w:pPr>
        <w:pStyle w:val="2"/>
        <w:rPr>
          <w:rFonts w:ascii="仿宋_GB2312" w:hAnsi="仿宋_GB2312" w:eastAsia="仿宋_GB2312" w:cs="仿宋_GB2312"/>
          <w:bCs/>
          <w:color w:val="000000" w:themeColor="text1"/>
          <w:sz w:val="32"/>
          <w:szCs w:val="32"/>
          <w14:textFill>
            <w14:solidFill>
              <w14:schemeClr w14:val="tx1"/>
            </w14:solidFill>
          </w14:textFill>
        </w:rPr>
      </w:pPr>
    </w:p>
    <w:p>
      <w:pPr>
        <w:rPr>
          <w:rFonts w:ascii="仿宋_GB2312" w:hAnsi="仿宋_GB2312" w:eastAsia="仿宋_GB2312" w:cs="仿宋_GB2312"/>
          <w:bCs/>
          <w:color w:val="000000" w:themeColor="text1"/>
          <w:sz w:val="32"/>
          <w:szCs w:val="32"/>
          <w14:textFill>
            <w14:solidFill>
              <w14:schemeClr w14:val="tx1"/>
            </w14:solidFill>
          </w14:textFill>
        </w:rPr>
      </w:pPr>
    </w:p>
    <w:p>
      <w:pPr>
        <w:pStyle w:val="2"/>
        <w:rPr>
          <w:rFonts w:ascii="仿宋_GB2312" w:hAnsi="仿宋_GB2312" w:eastAsia="仿宋_GB2312" w:cs="仿宋_GB2312"/>
          <w:bCs/>
          <w:color w:val="000000" w:themeColor="text1"/>
          <w:sz w:val="32"/>
          <w:szCs w:val="32"/>
          <w14:textFill>
            <w14:solidFill>
              <w14:schemeClr w14:val="tx1"/>
            </w14:solidFill>
          </w14:textFill>
        </w:rPr>
      </w:pPr>
    </w:p>
    <w:p>
      <w:pPr>
        <w:rPr>
          <w:rFonts w:ascii="仿宋_GB2312" w:hAnsi="仿宋_GB2312" w:eastAsia="仿宋_GB2312" w:cs="仿宋_GB2312"/>
          <w:bCs/>
          <w:color w:val="000000" w:themeColor="text1"/>
          <w:sz w:val="32"/>
          <w:szCs w:val="32"/>
          <w14:textFill>
            <w14:solidFill>
              <w14:schemeClr w14:val="tx1"/>
            </w14:solidFill>
          </w14:textFill>
        </w:rPr>
      </w:pPr>
    </w:p>
    <w:p>
      <w:pPr>
        <w:pStyle w:val="2"/>
        <w:rPr>
          <w:rFonts w:ascii="仿宋_GB2312" w:hAnsi="仿宋_GB2312" w:eastAsia="仿宋_GB2312" w:cs="仿宋_GB2312"/>
          <w:bCs/>
          <w:color w:val="000000" w:themeColor="text1"/>
          <w:sz w:val="32"/>
          <w:szCs w:val="32"/>
          <w14:textFill>
            <w14:solidFill>
              <w14:schemeClr w14:val="tx1"/>
            </w14:solidFill>
          </w14:textFill>
        </w:rPr>
      </w:pPr>
    </w:p>
    <w:p>
      <w:pPr>
        <w:rPr>
          <w:rFonts w:ascii="仿宋_GB2312" w:hAnsi="仿宋_GB2312" w:eastAsia="仿宋_GB2312" w:cs="仿宋_GB2312"/>
          <w:bCs/>
          <w:color w:val="000000" w:themeColor="text1"/>
          <w:sz w:val="32"/>
          <w:szCs w:val="32"/>
          <w14:textFill>
            <w14:solidFill>
              <w14:schemeClr w14:val="tx1"/>
            </w14:solidFill>
          </w14:textFill>
        </w:rPr>
      </w:pPr>
    </w:p>
    <w:p>
      <w:pPr>
        <w:pStyle w:val="2"/>
        <w:rPr>
          <w:rFonts w:ascii="仿宋_GB2312" w:hAnsi="仿宋_GB2312" w:eastAsia="仿宋_GB2312" w:cs="仿宋_GB2312"/>
          <w:bCs/>
          <w:color w:val="000000" w:themeColor="text1"/>
          <w:sz w:val="32"/>
          <w:szCs w:val="32"/>
          <w14:textFill>
            <w14:solidFill>
              <w14:schemeClr w14:val="tx1"/>
            </w14:solidFill>
          </w14:textFill>
        </w:rPr>
      </w:pPr>
    </w:p>
    <w:p>
      <w:pPr>
        <w:rPr>
          <w:rFonts w:ascii="仿宋_GB2312" w:hAnsi="仿宋_GB2312" w:eastAsia="仿宋_GB2312" w:cs="仿宋_GB2312"/>
          <w:bCs/>
          <w:color w:val="000000" w:themeColor="text1"/>
          <w:sz w:val="32"/>
          <w:szCs w:val="32"/>
          <w14:textFill>
            <w14:solidFill>
              <w14:schemeClr w14:val="tx1"/>
            </w14:solidFill>
          </w14:textFill>
        </w:rPr>
      </w:pPr>
    </w:p>
    <w:p>
      <w:pPr>
        <w:pStyle w:val="2"/>
      </w:pPr>
    </w:p>
    <w:p>
      <w:pPr>
        <w:pStyle w:val="4"/>
        <w:keepNext w:val="0"/>
        <w:keepLines w:val="0"/>
        <w:spacing w:before="0" w:after="0" w:line="560" w:lineRule="exact"/>
        <w:jc w:val="center"/>
        <w:rPr>
          <w:rFonts w:ascii="黑体" w:hAnsi="黑体" w:eastAsia="黑体" w:cs="黑体"/>
          <w:b w:val="0"/>
          <w:color w:val="000000" w:themeColor="text1"/>
          <w14:textFill>
            <w14:solidFill>
              <w14:schemeClr w14:val="tx1"/>
            </w14:solidFill>
          </w14:textFill>
        </w:rPr>
      </w:pPr>
      <w:r>
        <w:rPr>
          <w:rFonts w:hint="eastAsia" w:ascii="黑体" w:hAnsi="黑体" w:eastAsia="黑体" w:cs="黑体"/>
          <w:b w:val="0"/>
          <w:color w:val="000000" w:themeColor="text1"/>
          <w14:textFill>
            <w14:solidFill>
              <w14:schemeClr w14:val="tx1"/>
            </w14:solidFill>
          </w14:textFill>
        </w:rPr>
        <w:t>第八章  完善</w:t>
      </w:r>
      <w:bookmarkEnd w:id="141"/>
      <w:bookmarkEnd w:id="142"/>
      <w:r>
        <w:rPr>
          <w:rFonts w:hint="eastAsia" w:ascii="黑体" w:hAnsi="黑体" w:eastAsia="黑体" w:cs="黑体"/>
          <w:b w:val="0"/>
          <w:color w:val="000000" w:themeColor="text1"/>
          <w14:textFill>
            <w14:solidFill>
              <w14:schemeClr w14:val="tx1"/>
            </w14:solidFill>
          </w14:textFill>
        </w:rPr>
        <w:t>基础建设 提升发展支撑</w:t>
      </w:r>
      <w:bookmarkEnd w:id="143"/>
      <w:bookmarkEnd w:id="144"/>
    </w:p>
    <w:p>
      <w:pPr>
        <w:pBdr>
          <w:bottom w:val="single" w:color="FFFFFF" w:sz="4" w:space="15"/>
        </w:pBdr>
        <w:spacing w:line="560" w:lineRule="exact"/>
        <w:ind w:firstLine="640" w:firstLineChars="200"/>
        <w:jc w:val="center"/>
        <w:rPr>
          <w:rFonts w:ascii="仿宋_GB2312" w:hAnsi="仿宋_GB2312" w:eastAsia="仿宋_GB2312" w:cs="仿宋_GB2312"/>
          <w:color w:val="000000" w:themeColor="text1"/>
          <w:sz w:val="32"/>
          <w:szCs w:val="32"/>
          <w14:textFill>
            <w14:solidFill>
              <w14:schemeClr w14:val="tx1"/>
            </w14:solidFill>
          </w14:textFill>
        </w:rPr>
      </w:pPr>
      <w:bookmarkStart w:id="147" w:name="_Toc57045107"/>
      <w:bookmarkStart w:id="148" w:name="_Toc57045011"/>
    </w:p>
    <w:p>
      <w:pPr>
        <w:pBdr>
          <w:bottom w:val="single" w:color="FFFFFF" w:sz="4" w:space="15"/>
        </w:pBd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抓住交通强国建设和乡村振兴两个历史性机遇，坚持创新、协调、绿色、开放、共享的新发展理念，建设“四个交通”（综合交通、智慧交通、绿色交通和平安交通）。深入贯彻落实“精细化服务、精准化管理”的工作理念，推进“四好农村路”建设，为实现全域旅游提供坚实的交通运输保障。加速水利基础设施建设，新型基础设施建设和生活基础设施提质等。</w:t>
      </w:r>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bookmarkStart w:id="149" w:name="_Toc15524"/>
      <w:bookmarkStart w:id="150" w:name="_Toc61110797"/>
      <w:r>
        <w:rPr>
          <w:rFonts w:hint="eastAsia" w:ascii="楷体_GB2312" w:hAnsi="楷体_GB2312" w:eastAsia="楷体_GB2312" w:cs="楷体_GB2312"/>
          <w:b w:val="0"/>
          <w:color w:val="000000" w:themeColor="text1"/>
          <w14:textFill>
            <w14:solidFill>
              <w14:schemeClr w14:val="tx1"/>
            </w14:solidFill>
          </w14:textFill>
        </w:rPr>
        <w:t>第一节  强化交通基础设施建设</w:t>
      </w:r>
      <w:bookmarkEnd w:id="147"/>
      <w:bookmarkEnd w:id="148"/>
      <w:bookmarkEnd w:id="149"/>
      <w:bookmarkEnd w:id="150"/>
    </w:p>
    <w:p>
      <w:pPr>
        <w:spacing w:line="560" w:lineRule="exact"/>
        <w:ind w:firstLine="640" w:firstLineChars="200"/>
        <w:rPr>
          <w:rFonts w:ascii="仿宋_GB2312" w:hAnsi="仿宋_GB2312" w:eastAsia="仿宋_GB2312" w:cs="仿宋_GB2312"/>
          <w:bCs/>
          <w:color w:val="000000" w:themeColor="text1"/>
          <w:sz w:val="32"/>
          <w:szCs w:val="32"/>
          <w14:textFill>
            <w14:solidFill>
              <w14:schemeClr w14:val="tx1"/>
            </w14:solidFill>
          </w14:textFill>
        </w:rPr>
      </w:pPr>
    </w:p>
    <w:p>
      <w:pPr>
        <w:spacing w:line="560" w:lineRule="exact"/>
        <w:ind w:firstLine="643"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color w:val="000000" w:themeColor="text1"/>
          <w:sz w:val="32"/>
          <w:szCs w:val="32"/>
          <w14:textFill>
            <w14:solidFill>
              <w14:schemeClr w14:val="tx1"/>
            </w14:solidFill>
          </w14:textFill>
        </w:rPr>
        <w:t>（一）发挥大交通关键作用。</w:t>
      </w:r>
      <w:r>
        <w:rPr>
          <w:rFonts w:hint="eastAsia" w:ascii="仿宋_GB2312" w:hAnsi="仿宋_GB2312" w:eastAsia="仿宋_GB2312" w:cs="仿宋_GB2312"/>
          <w:color w:val="000000" w:themeColor="text1"/>
          <w:sz w:val="32"/>
          <w:szCs w:val="32"/>
          <w14:textFill>
            <w14:solidFill>
              <w14:schemeClr w14:val="tx1"/>
            </w14:solidFill>
          </w14:textFill>
        </w:rPr>
        <w:t>因势而谋、开拓思路、创新举措，建设功能完善的综合交通网络，营造良好的建设发展环境，加快龙胜交通基础设施建设步伐，发挥交通先行的带动作用。</w:t>
      </w:r>
      <w:r>
        <w:rPr>
          <w:rFonts w:hint="eastAsia" w:ascii="仿宋_GB2312" w:hAnsi="仿宋_GB2312" w:eastAsia="仿宋_GB2312" w:cs="仿宋_GB2312"/>
          <w:b/>
          <w:bCs/>
          <w:color w:val="000000" w:themeColor="text1"/>
          <w:sz w:val="32"/>
          <w:szCs w:val="32"/>
          <w14:textFill>
            <w14:solidFill>
              <w14:schemeClr w14:val="tx1"/>
            </w14:solidFill>
          </w14:textFill>
        </w:rPr>
        <w:t>一是</w:t>
      </w:r>
      <w:r>
        <w:rPr>
          <w:rFonts w:hint="eastAsia" w:ascii="仿宋_GB2312" w:hAnsi="仿宋_GB2312" w:eastAsia="仿宋_GB2312" w:cs="仿宋_GB2312"/>
          <w:color w:val="000000" w:themeColor="text1"/>
          <w:sz w:val="32"/>
          <w:szCs w:val="32"/>
          <w14:textFill>
            <w14:solidFill>
              <w14:schemeClr w14:val="tx1"/>
            </w14:solidFill>
          </w14:textFill>
        </w:rPr>
        <w:t>做好龙胜外循环和内循环两大方面的交通建设，打通西南地区交通出海口门户。争取张吉怀高铁南延至桂林（桂怀高铁）经过龙胜并设站点，串联鄂西、湘西、广西等地众多著名旅游风景区的黄金旅游线路，实现旅游产业和铁路运营效益共赢发展。</w:t>
      </w:r>
      <w:r>
        <w:rPr>
          <w:rFonts w:hint="eastAsia" w:ascii="仿宋_GB2312" w:hAnsi="仿宋_GB2312" w:eastAsia="仿宋_GB2312" w:cs="仿宋_GB2312"/>
          <w:b/>
          <w:bCs/>
          <w:color w:val="000000" w:themeColor="text1"/>
          <w:sz w:val="32"/>
          <w:szCs w:val="32"/>
          <w14:textFill>
            <w14:solidFill>
              <w14:schemeClr w14:val="tx1"/>
            </w14:solidFill>
          </w14:textFill>
        </w:rPr>
        <w:t>二是</w:t>
      </w:r>
      <w:r>
        <w:rPr>
          <w:rFonts w:hint="eastAsia" w:ascii="仿宋_GB2312" w:hAnsi="仿宋_GB2312" w:eastAsia="仿宋_GB2312" w:cs="仿宋_GB2312"/>
          <w:color w:val="000000" w:themeColor="text1"/>
          <w:sz w:val="32"/>
          <w:szCs w:val="32"/>
          <w14:textFill>
            <w14:solidFill>
              <w14:schemeClr w14:val="tx1"/>
            </w14:solidFill>
          </w14:textFill>
        </w:rPr>
        <w:t>重点抓好龙胜—峒中口岸高速公路（马堤芙蓉至县城段）、龙胜—峒中口岸高速公路（龙胜至融安段）、灌阳至湖南通道高速公路（江底至平等段）等重大交通项目建设，新增高速公路通车里程107公里，全县高速公路通车里程将累计达154公里以上。</w:t>
      </w:r>
      <w:r>
        <w:rPr>
          <w:rFonts w:hint="eastAsia" w:ascii="仿宋_GB2312" w:hAnsi="仿宋_GB2312" w:eastAsia="仿宋_GB2312" w:cs="仿宋_GB2312"/>
          <w:b/>
          <w:bCs/>
          <w:color w:val="000000" w:themeColor="text1"/>
          <w:sz w:val="32"/>
          <w:szCs w:val="32"/>
          <w14:textFill>
            <w14:solidFill>
              <w14:schemeClr w14:val="tx1"/>
            </w14:solidFill>
          </w14:textFill>
        </w:rPr>
        <w:t>三是</w:t>
      </w:r>
      <w:r>
        <w:rPr>
          <w:rFonts w:hint="eastAsia" w:ascii="仿宋_GB2312" w:hAnsi="仿宋_GB2312" w:eastAsia="仿宋_GB2312" w:cs="仿宋_GB2312"/>
          <w:color w:val="000000" w:themeColor="text1"/>
          <w:sz w:val="32"/>
          <w:szCs w:val="32"/>
          <w14:textFill>
            <w14:solidFill>
              <w14:schemeClr w14:val="tx1"/>
            </w14:solidFill>
          </w14:textFill>
        </w:rPr>
        <w:t>构建“全域旅游”互联互通的交通网络，加快推进瓢里至平等野牛坳公路、交洲至古坪矿区公路、龙脊旅游大环线公路、八滩至伟江二级公路等建设，推进与周边县铁路、公路等基础设施互联互通，构建联通内外、安全通畅的交通网络。加大县乡交通、物流枢纽等新型基础设施投资力度，形成与龙胜经济社会发展和各族人民美好生活水平相适应的交通网。到2025年对321国道高速路口至龙脊景区大门段，按一级公路标准扩宽改建，全长5.8公里；实施地方联网公路15条共334公里，以及实施江底乡、三门镇等乡镇绕城公路（二级路）建设。</w:t>
      </w:r>
    </w:p>
    <w:p>
      <w:pPr>
        <w:spacing w:line="560" w:lineRule="exact"/>
        <w:ind w:firstLine="643"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color w:val="000000" w:themeColor="text1"/>
          <w:sz w:val="32"/>
          <w:szCs w:val="32"/>
          <w14:textFill>
            <w14:solidFill>
              <w14:schemeClr w14:val="tx1"/>
            </w14:solidFill>
          </w14:textFill>
        </w:rPr>
        <w:t>（二）发展城市公共交通事业。</w:t>
      </w:r>
      <w:r>
        <w:rPr>
          <w:rFonts w:hint="eastAsia" w:ascii="仿宋_GB2312" w:hAnsi="仿宋_GB2312" w:eastAsia="仿宋_GB2312" w:cs="仿宋_GB2312"/>
          <w:color w:val="000000" w:themeColor="text1"/>
          <w:sz w:val="32"/>
          <w:szCs w:val="32"/>
          <w14:textFill>
            <w14:solidFill>
              <w14:schemeClr w14:val="tx1"/>
            </w14:solidFill>
          </w14:textFill>
        </w:rPr>
        <w:t>强化道路路网工程建设，发展公交系统和智能交通指挥系统。在旧城区改造和桑江北区加快公共停车系统建设，促进停车系统产业化发展。加快快速道路系统建设，加强次干路和支路改造建设，优化路网结构和功能，改善“微循环”系统，构筑等级合理的道路网络。加强路网交通系统智慧化建设，实现交通智能化管理。</w:t>
      </w:r>
    </w:p>
    <w:p>
      <w:pPr>
        <w:spacing w:line="560" w:lineRule="exact"/>
        <w:ind w:firstLine="643" w:firstLineChars="200"/>
        <w:rPr>
          <w:rFonts w:ascii="Times New Roman" w:hAnsi="Times New Roman" w:eastAsia="仿宋_GB2312"/>
          <w:color w:val="000000" w:themeColor="text1"/>
          <w:sz w:val="32"/>
          <w:szCs w:val="32"/>
          <w14:textFill>
            <w14:solidFill>
              <w14:schemeClr w14:val="tx1"/>
            </w14:solidFill>
          </w14:textFill>
        </w:rPr>
      </w:pPr>
      <w:r>
        <w:rPr>
          <w:rFonts w:hint="eastAsia" w:ascii="仿宋_GB2312" w:hAnsi="仿宋_GB2312" w:eastAsia="仿宋_GB2312" w:cs="仿宋_GB2312"/>
          <w:b/>
          <w:color w:val="000000" w:themeColor="text1"/>
          <w:sz w:val="32"/>
          <w:szCs w:val="32"/>
          <w14:textFill>
            <w14:solidFill>
              <w14:schemeClr w14:val="tx1"/>
            </w14:solidFill>
          </w14:textFill>
        </w:rPr>
        <w:t>（三）提升城乡干线通达能力。</w:t>
      </w:r>
      <w:r>
        <w:rPr>
          <w:rFonts w:hint="eastAsia" w:ascii="仿宋_GB2312" w:hAnsi="仿宋_GB2312" w:eastAsia="仿宋_GB2312" w:cs="仿宋_GB2312"/>
          <w:color w:val="000000" w:themeColor="text1"/>
          <w:sz w:val="32"/>
          <w:szCs w:val="32"/>
          <w14:textFill>
            <w14:solidFill>
              <w14:schemeClr w14:val="tx1"/>
            </w14:solidFill>
          </w14:textFill>
        </w:rPr>
        <w:t>完善县城对外运输通道，结合乡村振兴战略，科学统筹城乡线路，以“四好农村公路”建设为目标，推动“村村通硬化道路”建设项目基础上，向“组组通硬化道路”延伸，打通“最后一公里”；推进农村公路“改直加宽”及完善安全生命防护工程等建设，加快农村公路基础设施管护体制改革试点工作，推进“路长制”管养体系，确保安全畅通。推进龙胜生态旅游大环线建设，支持3A以上旅游景区通三级公路、4A以上旅游景区通二级路，提升全县旅游交通条件，打造一路一景、一村一特色等生态旅游扶贫公路路网，展现交通设施支撑龙胜全域旅游效率之韵味。</w:t>
      </w:r>
    </w:p>
    <w:p>
      <w:pPr>
        <w:rPr>
          <w:rFonts w:ascii="Times New Roman" w:hAnsi="Times New Roman" w:eastAsia="仿宋" w:cs="仿宋"/>
          <w:b/>
          <w:bCs/>
          <w:color w:val="000000" w:themeColor="text1"/>
          <w:sz w:val="28"/>
          <w:szCs w:val="28"/>
          <w14:textFill>
            <w14:solidFill>
              <w14:schemeClr w14:val="tx1"/>
            </w14:solidFill>
          </w14:textFill>
        </w:rPr>
      </w:pPr>
      <w:r>
        <w:rPr>
          <w:rFonts w:hint="eastAsia" w:ascii="Times New Roman" w:hAnsi="Times New Roman" w:eastAsia="仿宋" w:cs="仿宋"/>
          <w:b/>
          <w:bCs/>
          <w:color w:val="000000" w:themeColor="text1"/>
          <w:sz w:val="28"/>
          <w:szCs w:val="28"/>
          <w14:textFill>
            <w14:solidFill>
              <w14:schemeClr w14:val="tx1"/>
            </w14:solidFill>
          </w14:textFill>
        </w:rPr>
        <w:br w:type="page"/>
      </w:r>
    </w:p>
    <w:p>
      <w:pPr>
        <w:adjustRightInd w:val="0"/>
        <w:snapToGrid w:val="0"/>
        <w:spacing w:line="520" w:lineRule="exact"/>
        <w:ind w:firstLine="643" w:firstLineChars="200"/>
        <w:jc w:val="center"/>
        <w:rPr>
          <w:rFonts w:ascii="仿宋_GB2312" w:hAnsi="仿宋_GB2312" w:eastAsia="仿宋_GB2312" w:cs="仿宋_GB2312"/>
          <w:b/>
          <w:bCs/>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专栏6 交通基础设施重大项目工程</w:t>
      </w:r>
      <w:bookmarkStart w:id="151" w:name="_Toc61110798"/>
      <w:bookmarkStart w:id="152" w:name="_Toc17656"/>
      <w:bookmarkStart w:id="153" w:name="_Toc18150"/>
      <w:bookmarkStart w:id="154" w:name="_Toc57045108"/>
      <w:bookmarkStart w:id="155" w:name="_Toc30211"/>
      <w:bookmarkStart w:id="156" w:name="_Toc11874"/>
      <w:bookmarkStart w:id="157" w:name="_Toc24422"/>
      <w:bookmarkStart w:id="158" w:name="_Toc57045012"/>
    </w:p>
    <w:p>
      <w:pPr>
        <w:pStyle w:val="4"/>
        <w:adjustRightInd w:val="0"/>
        <w:snapToGrid w:val="0"/>
        <w:spacing w:before="0" w:after="0" w:line="520" w:lineRule="exact"/>
        <w:jc w:val="center"/>
        <w:rPr>
          <w:rFonts w:ascii="仿宋_GB2312" w:hAnsi="仿宋_GB2312" w:eastAsia="仿宋_GB2312" w:cs="仿宋_GB2312"/>
          <w:color w:val="000000" w:themeColor="text1"/>
          <w14:textFill>
            <w14:solidFill>
              <w14:schemeClr w14:val="tx1"/>
            </w14:solidFill>
          </w14:textFill>
        </w:rPr>
      </w:pPr>
      <w:r>
        <w:rPr>
          <w:rFonts w:hint="eastAsia" w:ascii="仿宋_GB2312" w:hAnsi="仿宋_GB2312" w:eastAsia="仿宋_GB2312" w:cs="仿宋_GB2312"/>
          <w:color w:val="000000" w:themeColor="text1"/>
          <w14:textFill>
            <w14:solidFill>
              <w14:schemeClr w14:val="tx1"/>
            </w14:solidFill>
          </w14:textFill>
        </w:rPr>
        <mc:AlternateContent>
          <mc:Choice Requires="wps">
            <w:drawing>
              <wp:anchor distT="0" distB="0" distL="114300" distR="114300" simplePos="0" relativeHeight="251669504" behindDoc="1" locked="0" layoutInCell="1" allowOverlap="1">
                <wp:simplePos x="0" y="0"/>
                <wp:positionH relativeFrom="margin">
                  <wp:posOffset>-27305</wp:posOffset>
                </wp:positionH>
                <wp:positionV relativeFrom="page">
                  <wp:posOffset>1447800</wp:posOffset>
                </wp:positionV>
                <wp:extent cx="5762625" cy="2781935"/>
                <wp:effectExtent l="4445" t="4445" r="5080" b="13970"/>
                <wp:wrapTopAndBottom/>
                <wp:docPr id="7" name="文本框 7"/>
                <wp:cNvGraphicFramePr/>
                <a:graphic xmlns:a="http://schemas.openxmlformats.org/drawingml/2006/main">
                  <a:graphicData uri="http://schemas.microsoft.com/office/word/2010/wordprocessingShape">
                    <wps:wsp>
                      <wps:cNvSpPr txBox="1"/>
                      <wps:spPr>
                        <a:xfrm>
                          <a:off x="0" y="0"/>
                          <a:ext cx="5762625" cy="27819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adjustRightInd w:val="0"/>
                              <w:spacing w:line="300" w:lineRule="auto"/>
                              <w:rPr>
                                <w:rFonts w:ascii="仿宋" w:hAnsi="仿宋" w:eastAsia="仿宋" w:cs="仿宋"/>
                                <w:b/>
                                <w:bCs/>
                                <w:sz w:val="24"/>
                              </w:rPr>
                            </w:pPr>
                            <w:r>
                              <w:rPr>
                                <w:rFonts w:hint="eastAsia" w:ascii="仿宋" w:hAnsi="仿宋" w:eastAsia="仿宋" w:cs="仿宋"/>
                                <w:b/>
                                <w:bCs/>
                                <w:sz w:val="24"/>
                              </w:rPr>
                              <w:t>1.高速铁路：</w:t>
                            </w:r>
                            <w:r>
                              <w:rPr>
                                <w:rFonts w:hint="eastAsia" w:ascii="仿宋" w:hAnsi="仿宋" w:eastAsia="仿宋" w:cs="仿宋"/>
                                <w:color w:val="000000"/>
                                <w:kern w:val="0"/>
                                <w:sz w:val="24"/>
                              </w:rPr>
                              <w:t>张吉怀高铁南延至桂林（怀桂高铁）客运专线项目。</w:t>
                            </w:r>
                          </w:p>
                          <w:p>
                            <w:pPr>
                              <w:pStyle w:val="31"/>
                              <w:spacing w:line="300" w:lineRule="auto"/>
                              <w:rPr>
                                <w:rFonts w:ascii="仿宋" w:hAnsi="仿宋" w:eastAsia="仿宋" w:cs="仿宋"/>
                              </w:rPr>
                            </w:pPr>
                            <w:r>
                              <w:rPr>
                                <w:rFonts w:ascii="仿宋" w:hAnsi="仿宋" w:eastAsia="仿宋" w:cs="仿宋"/>
                                <w:b/>
                                <w:bCs/>
                                <w:color w:val="auto"/>
                                <w:kern w:val="2"/>
                              </w:rPr>
                              <w:t>2</w:t>
                            </w:r>
                            <w:r>
                              <w:rPr>
                                <w:rFonts w:hint="eastAsia" w:ascii="仿宋" w:hAnsi="仿宋" w:eastAsia="仿宋" w:cs="仿宋"/>
                                <w:b/>
                                <w:bCs/>
                                <w:color w:val="auto"/>
                                <w:kern w:val="2"/>
                              </w:rPr>
                              <w:t>.高速公路：</w:t>
                            </w:r>
                            <w:r>
                              <w:rPr>
                                <w:rFonts w:hint="eastAsia" w:ascii="仿宋" w:hAnsi="仿宋" w:eastAsia="仿宋" w:cs="仿宋"/>
                                <w:color w:val="000000" w:themeColor="text1"/>
                                <w14:textFill>
                                  <w14:solidFill>
                                    <w14:schemeClr w14:val="tx1"/>
                                  </w14:solidFill>
                                </w14:textFill>
                              </w:rPr>
                              <w:t>龙胜-峒中口岸高速公路（马堤芙蓉至县城段）、龙胜-峒中口岸高速公路（龙胜至融安段）、灌阳至湖南通道高速公路（江底至平等段）。</w:t>
                            </w:r>
                          </w:p>
                          <w:p>
                            <w:pPr>
                              <w:pStyle w:val="31"/>
                              <w:spacing w:line="300" w:lineRule="auto"/>
                              <w:rPr>
                                <w:rFonts w:ascii="仿宋" w:hAnsi="仿宋" w:eastAsia="仿宋" w:cs="仿宋"/>
                              </w:rPr>
                            </w:pPr>
                            <w:r>
                              <w:rPr>
                                <w:rFonts w:ascii="仿宋" w:hAnsi="仿宋" w:eastAsia="仿宋" w:cs="仿宋"/>
                                <w:b/>
                                <w:bCs/>
                                <w:color w:val="auto"/>
                                <w:kern w:val="2"/>
                              </w:rPr>
                              <w:t>3</w:t>
                            </w:r>
                            <w:r>
                              <w:rPr>
                                <w:rFonts w:hint="eastAsia" w:ascii="仿宋" w:hAnsi="仿宋" w:eastAsia="仿宋" w:cs="仿宋"/>
                                <w:b/>
                                <w:bCs/>
                                <w:color w:val="auto"/>
                                <w:kern w:val="2"/>
                              </w:rPr>
                              <w:t>.其他公路交通设施：</w:t>
                            </w:r>
                            <w:r>
                              <w:rPr>
                                <w:rFonts w:hint="eastAsia" w:ascii="仿宋" w:hAnsi="仿宋" w:eastAsia="仿宋" w:cs="仿宋"/>
                              </w:rPr>
                              <w:t>龙胜县龙脊梯田风景名胜区大循环公路、龙胜县县城绕城公路、龙胜县生态旅游大环线公路、龙胜县瓢里至平等至野牛坳二级路、桂三高速公路龙胜县城段出口至龙脊景区大门一级公路、龙胜县瓢里交洲至区矿公路改建、龙胜县伟江潘寨至决支公路改造工程、龙胜县龙脊景区大门至大寨二级公路、龙胜县</w:t>
                            </w:r>
                            <w:r>
                              <w:rPr>
                                <w:rFonts w:hint="eastAsia" w:ascii="仿宋" w:hAnsi="仿宋" w:eastAsia="仿宋" w:cs="仿宋"/>
                                <w:color w:val="0000FF"/>
                              </w:rPr>
                              <w:t>龙甸</w:t>
                            </w:r>
                            <w:r>
                              <w:rPr>
                                <w:rFonts w:hint="eastAsia" w:ascii="仿宋" w:hAnsi="仿宋" w:eastAsia="仿宋" w:cs="仿宋"/>
                              </w:rPr>
                              <w:t>至伟江二级路、龙胜县江底渡江—彭祖坪—龙家公路改造工程、桂林市龙胜县江底至灵川青狮潭四级公路、龙胜县江底至兴安盐铺公路（龙胜段）、高速公路龙胜北出口至县城连接线（金龙桥至排坊）、龙胜县野牛坳—湖南二级路（小江）、龙胜县江底乡绕城公路、龙胜县三门镇绕城公路项目、马堤芙蓉横水至东升红军飞行会议旧址公路项目。</w:t>
                            </w:r>
                          </w:p>
                          <w:p>
                            <w:pPr>
                              <w:pStyle w:val="31"/>
                              <w:ind w:firstLine="562" w:firstLineChars="200"/>
                              <w:rPr>
                                <w:rFonts w:ascii="仿宋" w:hAnsi="仿宋" w:eastAsia="仿宋" w:cs="仿宋"/>
                                <w:b/>
                                <w:bCs/>
                                <w:color w:val="auto"/>
                                <w:kern w:val="2"/>
                                <w:sz w:val="28"/>
                                <w:szCs w:val="28"/>
                              </w:rPr>
                            </w:pPr>
                          </w:p>
                          <w:p>
                            <w:pPr>
                              <w:pStyle w:val="31"/>
                              <w:ind w:firstLine="562" w:firstLineChars="200"/>
                              <w:rPr>
                                <w:rFonts w:ascii="仿宋" w:hAnsi="仿宋" w:eastAsia="仿宋" w:cs="仿宋"/>
                                <w:b/>
                                <w:bCs/>
                                <w:color w:val="auto"/>
                                <w:kern w:val="2"/>
                                <w:sz w:val="28"/>
                                <w:szCs w:val="28"/>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5pt;margin-top:114pt;height:219.05pt;width:453.75pt;mso-position-horizontal-relative:margin;mso-position-vertical-relative:page;mso-wrap-distance-bottom:0pt;mso-wrap-distance-top:0pt;z-index:-251646976;mso-width-relative:page;mso-height-relative:page;" fillcolor="#FFFFFF [3201]" filled="t" stroked="t" coordsize="21600,21600" o:gfxdata="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rIwLrNcA&#10;AAAKAQAADwAAAAAAAAABACAAAAAiAAAAZHJzL2Rvd25yZXYueG1sUEsBAhQAFAAAAAgAh07iQOQ8&#10;VABZAgAAuAQAAA4AAAAAAAAAAQAgAAAAJgEAAGRycy9lMm9Eb2MueG1sUEsFBgAAAAAGAAYAWQEA&#10;APEFAAAAAA==&#10;">
                <v:fill on="t" focussize="0,0"/>
                <v:stroke weight="0.5pt" color="#000000 [3204]" joinstyle="round"/>
                <v:imagedata o:title=""/>
                <o:lock v:ext="edit" aspectratio="f"/>
                <v:textbox>
                  <w:txbxContent>
                    <w:p>
                      <w:pPr>
                        <w:adjustRightInd w:val="0"/>
                        <w:spacing w:line="300" w:lineRule="auto"/>
                        <w:rPr>
                          <w:rFonts w:ascii="仿宋" w:hAnsi="仿宋" w:eastAsia="仿宋" w:cs="仿宋"/>
                          <w:b/>
                          <w:bCs/>
                          <w:sz w:val="24"/>
                        </w:rPr>
                      </w:pPr>
                      <w:r>
                        <w:rPr>
                          <w:rFonts w:hint="eastAsia" w:ascii="仿宋" w:hAnsi="仿宋" w:eastAsia="仿宋" w:cs="仿宋"/>
                          <w:b/>
                          <w:bCs/>
                          <w:sz w:val="24"/>
                        </w:rPr>
                        <w:t>1.高速铁路：</w:t>
                      </w:r>
                      <w:r>
                        <w:rPr>
                          <w:rFonts w:hint="eastAsia" w:ascii="仿宋" w:hAnsi="仿宋" w:eastAsia="仿宋" w:cs="仿宋"/>
                          <w:color w:val="000000"/>
                          <w:kern w:val="0"/>
                          <w:sz w:val="24"/>
                        </w:rPr>
                        <w:t>张吉怀高铁南延至桂林（怀桂高铁）客运专线项目。</w:t>
                      </w:r>
                    </w:p>
                    <w:p>
                      <w:pPr>
                        <w:pStyle w:val="31"/>
                        <w:spacing w:line="300" w:lineRule="auto"/>
                        <w:rPr>
                          <w:rFonts w:ascii="仿宋" w:hAnsi="仿宋" w:eastAsia="仿宋" w:cs="仿宋"/>
                        </w:rPr>
                      </w:pPr>
                      <w:r>
                        <w:rPr>
                          <w:rFonts w:ascii="仿宋" w:hAnsi="仿宋" w:eastAsia="仿宋" w:cs="仿宋"/>
                          <w:b/>
                          <w:bCs/>
                          <w:color w:val="auto"/>
                          <w:kern w:val="2"/>
                        </w:rPr>
                        <w:t>2</w:t>
                      </w:r>
                      <w:r>
                        <w:rPr>
                          <w:rFonts w:hint="eastAsia" w:ascii="仿宋" w:hAnsi="仿宋" w:eastAsia="仿宋" w:cs="仿宋"/>
                          <w:b/>
                          <w:bCs/>
                          <w:color w:val="auto"/>
                          <w:kern w:val="2"/>
                        </w:rPr>
                        <w:t>.高速公路：</w:t>
                      </w:r>
                      <w:r>
                        <w:rPr>
                          <w:rFonts w:hint="eastAsia" w:ascii="仿宋" w:hAnsi="仿宋" w:eastAsia="仿宋" w:cs="仿宋"/>
                          <w:color w:val="000000" w:themeColor="text1"/>
                          <w14:textFill>
                            <w14:solidFill>
                              <w14:schemeClr w14:val="tx1"/>
                            </w14:solidFill>
                          </w14:textFill>
                        </w:rPr>
                        <w:t>龙胜-峒中口岸高速公路（马堤芙蓉至县城段）、龙胜-峒中口岸高速公路（龙胜至融安段）、灌阳至湖南通道高速公路（江底至平等段）。</w:t>
                      </w:r>
                    </w:p>
                    <w:p>
                      <w:pPr>
                        <w:pStyle w:val="31"/>
                        <w:spacing w:line="300" w:lineRule="auto"/>
                        <w:rPr>
                          <w:rFonts w:ascii="仿宋" w:hAnsi="仿宋" w:eastAsia="仿宋" w:cs="仿宋"/>
                        </w:rPr>
                      </w:pPr>
                      <w:r>
                        <w:rPr>
                          <w:rFonts w:ascii="仿宋" w:hAnsi="仿宋" w:eastAsia="仿宋" w:cs="仿宋"/>
                          <w:b/>
                          <w:bCs/>
                          <w:color w:val="auto"/>
                          <w:kern w:val="2"/>
                        </w:rPr>
                        <w:t>3</w:t>
                      </w:r>
                      <w:r>
                        <w:rPr>
                          <w:rFonts w:hint="eastAsia" w:ascii="仿宋" w:hAnsi="仿宋" w:eastAsia="仿宋" w:cs="仿宋"/>
                          <w:b/>
                          <w:bCs/>
                          <w:color w:val="auto"/>
                          <w:kern w:val="2"/>
                        </w:rPr>
                        <w:t>.其他公路交通设施：</w:t>
                      </w:r>
                      <w:r>
                        <w:rPr>
                          <w:rFonts w:hint="eastAsia" w:ascii="仿宋" w:hAnsi="仿宋" w:eastAsia="仿宋" w:cs="仿宋"/>
                        </w:rPr>
                        <w:t>龙胜县龙脊梯田风景名胜区大循环公路、龙胜县县城绕城公路、龙胜县生态旅游大环线公路、龙胜县瓢里至平等至野牛坳二级路、桂三高速公路龙胜县城段出口至龙脊景区大门一级公路、龙胜县瓢里交洲至区矿公路改建、龙胜县伟江潘寨至决支公路改造工程、龙胜县龙脊景区大门至大寨二级公路、龙胜县</w:t>
                      </w:r>
                      <w:r>
                        <w:rPr>
                          <w:rFonts w:hint="eastAsia" w:ascii="仿宋" w:hAnsi="仿宋" w:eastAsia="仿宋" w:cs="仿宋"/>
                          <w:color w:val="0000FF"/>
                        </w:rPr>
                        <w:t>龙甸</w:t>
                      </w:r>
                      <w:r>
                        <w:rPr>
                          <w:rFonts w:hint="eastAsia" w:ascii="仿宋" w:hAnsi="仿宋" w:eastAsia="仿宋" w:cs="仿宋"/>
                        </w:rPr>
                        <w:t>至伟江二级路、龙胜县江底渡江—彭祖坪—龙家公路改造工程、桂林市龙胜县江底至灵川青狮潭四级公路、龙胜县江底至兴安盐铺公路（龙胜段）、高速公路龙胜北出口至县城连接线（金龙桥至排坊）、龙胜县野牛坳—湖南二级路（小江）、龙胜县江底乡绕城公路、龙胜县三门镇绕城公路项目、马堤芙蓉横水至东升红军飞行会议旧址公路项目。</w:t>
                      </w:r>
                    </w:p>
                    <w:p>
                      <w:pPr>
                        <w:pStyle w:val="31"/>
                        <w:ind w:firstLine="562" w:firstLineChars="200"/>
                        <w:rPr>
                          <w:rFonts w:ascii="仿宋" w:hAnsi="仿宋" w:eastAsia="仿宋" w:cs="仿宋"/>
                          <w:b/>
                          <w:bCs/>
                          <w:color w:val="auto"/>
                          <w:kern w:val="2"/>
                          <w:sz w:val="28"/>
                          <w:szCs w:val="28"/>
                        </w:rPr>
                      </w:pPr>
                    </w:p>
                    <w:p>
                      <w:pPr>
                        <w:pStyle w:val="31"/>
                        <w:ind w:firstLine="562" w:firstLineChars="200"/>
                        <w:rPr>
                          <w:rFonts w:ascii="仿宋" w:hAnsi="仿宋" w:eastAsia="仿宋" w:cs="仿宋"/>
                          <w:b/>
                          <w:bCs/>
                          <w:color w:val="auto"/>
                          <w:kern w:val="2"/>
                          <w:sz w:val="28"/>
                          <w:szCs w:val="28"/>
                        </w:rPr>
                      </w:pPr>
                    </w:p>
                  </w:txbxContent>
                </v:textbox>
                <w10:wrap type="topAndBottom"/>
              </v:shape>
            </w:pict>
          </mc:Fallback>
        </mc:AlternateContent>
      </w:r>
    </w:p>
    <w:p>
      <w:pPr>
        <w:jc w:val="center"/>
        <w:rPr>
          <w:b/>
          <w:bCs/>
          <w:sz w:val="22"/>
          <w:szCs w:val="28"/>
        </w:rPr>
      </w:pPr>
      <w:r>
        <w:rPr>
          <w:rFonts w:hint="eastAsia" w:ascii="仿宋_GB2312" w:hAnsi="仿宋_GB2312" w:eastAsia="仿宋_GB2312" w:cs="仿宋_GB2312"/>
          <w:b/>
          <w:bCs/>
          <w:color w:val="000000" w:themeColor="text1"/>
          <w:sz w:val="36"/>
          <w:szCs w:val="28"/>
          <w14:textFill>
            <w14:solidFill>
              <w14:schemeClr w14:val="tx1"/>
            </w14:solidFill>
          </w14:textFill>
        </w:rPr>
        <w:t>龙胜县高铁高速示意图</w:t>
      </w:r>
    </w:p>
    <w:p>
      <w:pPr>
        <w:jc w:val="center"/>
        <w:rPr>
          <w:rFonts w:ascii="Times New Roman" w:hAnsi="Times New Roman" w:eastAsia="黑体" w:cs="黑体"/>
          <w:b/>
          <w:bCs/>
          <w:color w:val="000000" w:themeColor="text1"/>
          <w:sz w:val="32"/>
          <w:szCs w:val="32"/>
          <w14:textFill>
            <w14:solidFill>
              <w14:schemeClr w14:val="tx1"/>
            </w14:solidFill>
          </w14:textFill>
        </w:rPr>
      </w:pPr>
      <w:r>
        <w:rPr>
          <w:rFonts w:hint="eastAsia" w:ascii="Times New Roman" w:hAnsi="Times New Roman" w:eastAsia="黑体" w:cs="黑体"/>
          <w:b/>
          <w:bCs/>
          <w:color w:val="000000" w:themeColor="text1"/>
          <w:sz w:val="32"/>
          <w:szCs w:val="32"/>
          <w14:textFill>
            <w14:solidFill>
              <w14:schemeClr w14:val="tx1"/>
            </w14:solidFill>
          </w14:textFill>
        </w:rPr>
        <w:drawing>
          <wp:inline distT="0" distB="0" distL="114300" distR="114300">
            <wp:extent cx="5718175" cy="4692015"/>
            <wp:effectExtent l="0" t="0" r="15875" b="13335"/>
            <wp:docPr id="8" name="图片 8" descr="5bb700a69253ed178b12770a10a8b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5bb700a69253ed178b12770a10a8bf2"/>
                    <pic:cNvPicPr>
                      <a:picLocks noChangeAspect="1"/>
                    </pic:cNvPicPr>
                  </pic:nvPicPr>
                  <pic:blipFill>
                    <a:blip r:embed="rId11"/>
                    <a:srcRect t="4173"/>
                    <a:stretch>
                      <a:fillRect/>
                    </a:stretch>
                  </pic:blipFill>
                  <pic:spPr>
                    <a:xfrm>
                      <a:off x="0" y="0"/>
                      <a:ext cx="5718175" cy="4692015"/>
                    </a:xfrm>
                    <a:prstGeom prst="rect">
                      <a:avLst/>
                    </a:prstGeom>
                  </pic:spPr>
                </pic:pic>
              </a:graphicData>
            </a:graphic>
          </wp:inline>
        </w:drawing>
      </w:r>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第二节  补齐水利设施建设短板</w:t>
      </w:r>
      <w:bookmarkEnd w:id="151"/>
      <w:bookmarkEnd w:id="152"/>
      <w:bookmarkEnd w:id="153"/>
      <w:bookmarkEnd w:id="154"/>
      <w:bookmarkEnd w:id="155"/>
      <w:bookmarkEnd w:id="156"/>
      <w:bookmarkEnd w:id="157"/>
      <w:bookmarkEnd w:id="158"/>
    </w:p>
    <w:p>
      <w:pPr>
        <w:spacing w:line="560" w:lineRule="exact"/>
        <w:ind w:firstLine="640" w:firstLineChars="200"/>
        <w:rPr>
          <w:rFonts w:ascii="Times New Roman" w:hAnsi="Times New Roman" w:eastAsia="仿宋_GB2312"/>
          <w:color w:val="000000" w:themeColor="text1"/>
          <w:sz w:val="32"/>
          <w:szCs w:val="32"/>
          <w14:textFill>
            <w14:solidFill>
              <w14:schemeClr w14:val="tx1"/>
            </w14:solidFill>
          </w14:textFill>
        </w:rPr>
      </w:pPr>
    </w:p>
    <w:p>
      <w:pPr>
        <w:spacing w:line="560" w:lineRule="exact"/>
        <w:ind w:firstLine="640" w:firstLineChars="200"/>
        <w:rPr>
          <w:rFonts w:ascii="Times New Roman" w:hAnsi="Times New Roman" w:eastAsia="仿宋_GB2312"/>
          <w:color w:val="000000" w:themeColor="text1"/>
          <w:sz w:val="32"/>
          <w:szCs w:val="32"/>
          <w14:textFill>
            <w14:solidFill>
              <w14:schemeClr w14:val="tx1"/>
            </w14:solidFill>
          </w14:textFill>
        </w:rPr>
      </w:pPr>
      <w:r>
        <w:rPr>
          <w:rFonts w:hint="eastAsia" w:ascii="Times New Roman" w:hAnsi="Times New Roman" w:eastAsia="仿宋_GB2312"/>
          <w:color w:val="000000" w:themeColor="text1"/>
          <w:sz w:val="32"/>
          <w:szCs w:val="32"/>
          <w14:textFill>
            <w14:solidFill>
              <w14:schemeClr w14:val="tx1"/>
            </w14:solidFill>
          </w14:textFill>
        </w:rPr>
        <w:t>做好水源地保护、水土流失综合治理、农村饮水安全、中小河流治理、水资源保护等工作。</w:t>
      </w:r>
    </w:p>
    <w:p>
      <w:pPr>
        <w:spacing w:line="560" w:lineRule="exact"/>
        <w:ind w:firstLine="640" w:firstLineChars="200"/>
        <w:rPr>
          <w:rFonts w:ascii="Times New Roman" w:hAnsi="Times New Roman" w:eastAsia="仿宋_GB2312"/>
          <w:color w:val="000000" w:themeColor="text1"/>
          <w:sz w:val="32"/>
          <w:szCs w:val="32"/>
          <w14:textFill>
            <w14:solidFill>
              <w14:schemeClr w14:val="tx1"/>
            </w14:solidFill>
          </w14:textFill>
        </w:rPr>
      </w:pPr>
      <w:r>
        <w:rPr>
          <w:rFonts w:hint="eastAsia" w:ascii="Times New Roman" w:hAnsi="Times New Roman" w:eastAsia="楷体_GB2312" w:cs="楷体_GB2312"/>
          <w:color w:val="000000" w:themeColor="text1"/>
          <w:sz w:val="32"/>
          <w:szCs w:val="32"/>
          <w14:textFill>
            <w14:solidFill>
              <w14:schemeClr w14:val="tx1"/>
            </w14:solidFill>
          </w14:textFill>
        </w:rPr>
        <w:t>（一）</w:t>
      </w:r>
      <w:r>
        <w:rPr>
          <w:rFonts w:hint="eastAsia" w:ascii="Times New Roman" w:hAnsi="Times New Roman" w:eastAsia="仿宋_GB2312"/>
          <w:color w:val="000000" w:themeColor="text1"/>
          <w:sz w:val="32"/>
          <w:szCs w:val="32"/>
          <w14:textFill>
            <w14:solidFill>
              <w14:schemeClr w14:val="tx1"/>
            </w14:solidFill>
          </w14:textFill>
        </w:rPr>
        <w:t>加快乡镇应急备用水源等水资源工程建设，强化水资源配置能力和水安全保障能力。加强水生态保护与修复，加快中小河流治理、水源地保护建设，统筹推进山洪沟治理、重点涝区治理、农村水电增效扩容改造、小流域水土保持、水环境综合治理及水毁河堤修复等工程建设，完善防洪减灾体系，提升全县防汛减灾能力。</w:t>
      </w:r>
    </w:p>
    <w:p>
      <w:pPr>
        <w:spacing w:line="560" w:lineRule="exact"/>
        <w:ind w:firstLine="640" w:firstLineChars="200"/>
        <w:rPr>
          <w:rFonts w:ascii="Times New Roman" w:hAnsi="Times New Roman" w:eastAsia="仿宋_GB2312"/>
          <w:color w:val="000000" w:themeColor="text1"/>
          <w:sz w:val="32"/>
          <w:szCs w:val="32"/>
          <w14:textFill>
            <w14:solidFill>
              <w14:schemeClr w14:val="tx1"/>
            </w14:solidFill>
          </w14:textFill>
        </w:rPr>
      </w:pPr>
      <w:r>
        <w:rPr>
          <w:rFonts w:hint="eastAsia" w:ascii="Times New Roman" w:hAnsi="Times New Roman" w:eastAsia="楷体_GB2312" w:cs="楷体_GB2312"/>
          <w:color w:val="000000" w:themeColor="text1"/>
          <w:sz w:val="32"/>
          <w:szCs w:val="32"/>
          <w14:textFill>
            <w14:solidFill>
              <w14:schemeClr w14:val="tx1"/>
            </w14:solidFill>
          </w14:textFill>
        </w:rPr>
        <w:t>（二）</w:t>
      </w:r>
      <w:r>
        <w:rPr>
          <w:rFonts w:hint="eastAsia" w:ascii="Times New Roman" w:hAnsi="Times New Roman" w:eastAsia="仿宋_GB2312"/>
          <w:color w:val="000000" w:themeColor="text1"/>
          <w:sz w:val="32"/>
          <w:szCs w:val="32"/>
          <w14:textFill>
            <w14:solidFill>
              <w14:schemeClr w14:val="tx1"/>
            </w14:solidFill>
          </w14:textFill>
        </w:rPr>
        <w:t>加强乡（镇）、农村高标准自来水水厂建设，以城乡供水一体化、规模化建设为重点，推进农村供水工程提标升级。采取“抓两头带中间”的方式，“建大、并中、减小”，着力构建“一乡（镇）一网”、“多村一网”的农村供水格局，建立完善“从源头到龙头”的农村供水体系和管理体系，实现乡（镇）、农村饮水工程标准化、智能化、企业化建设管理，进一步提升供水保障水平。</w:t>
      </w:r>
    </w:p>
    <w:p>
      <w:pPr>
        <w:spacing w:line="560" w:lineRule="exact"/>
        <w:ind w:firstLine="640" w:firstLineChars="200"/>
        <w:rPr>
          <w:rFonts w:ascii="Times New Roman" w:hAnsi="Times New Roman" w:eastAsia="仿宋_GB2312"/>
          <w:color w:val="000000" w:themeColor="text1"/>
          <w:sz w:val="32"/>
          <w:szCs w:val="32"/>
          <w14:textFill>
            <w14:solidFill>
              <w14:schemeClr w14:val="tx1"/>
            </w14:solidFill>
          </w14:textFill>
        </w:rPr>
      </w:pPr>
      <w:r>
        <w:rPr>
          <w:rFonts w:hint="eastAsia" w:ascii="Times New Roman" w:hAnsi="Times New Roman" w:eastAsia="楷体_GB2312" w:cs="楷体_GB2312"/>
          <w:color w:val="000000" w:themeColor="text1"/>
          <w:sz w:val="32"/>
          <w:szCs w:val="32"/>
          <w14:textFill>
            <w14:solidFill>
              <w14:schemeClr w14:val="tx1"/>
            </w14:solidFill>
          </w14:textFill>
        </w:rPr>
        <w:t>（三）</w:t>
      </w:r>
      <w:r>
        <w:rPr>
          <w:rFonts w:hint="eastAsia" w:ascii="Times New Roman" w:hAnsi="Times New Roman" w:eastAsia="仿宋_GB2312" w:cs="仿宋_GB2312"/>
          <w:color w:val="000000" w:themeColor="text1"/>
          <w:sz w:val="32"/>
          <w:szCs w:val="32"/>
          <w14:textFill>
            <w14:solidFill>
              <w14:schemeClr w14:val="tx1"/>
            </w14:solidFill>
          </w14:textFill>
        </w:rPr>
        <w:t>加强水利行业监管设施体系建设。主要完善河流管理范围确权划界、增加信息化管理设施，完善河长制信息化管理系统平台；“空天地”一体化监测监控体系；</w:t>
      </w:r>
      <w:r>
        <w:rPr>
          <w:rFonts w:hint="eastAsia" w:ascii="Times New Roman" w:hAnsi="Times New Roman" w:eastAsia="仿宋_GB2312"/>
          <w:color w:val="000000" w:themeColor="text1"/>
          <w:sz w:val="32"/>
          <w:szCs w:val="32"/>
          <w14:textFill>
            <w14:solidFill>
              <w14:schemeClr w14:val="tx1"/>
            </w14:solidFill>
          </w14:textFill>
        </w:rPr>
        <w:t>加强农村饮水安全运行管理指导和监管及基层水利服务体系建设；加强山洪灾害防治系统运行维护，基层防汛抗旱组织体系建设，水利水电工程质量与安全管理能力建设；组织开展水利业务培训和水利行政法规宣传、教育等。建立水资源保护体系、水生态环境保护体系和水利发展服务体系，建设节水型社会，为全县经济建设和乡村振兴提供强有力的水利支撑。</w:t>
      </w:r>
    </w:p>
    <w:p>
      <w:pPr>
        <w:spacing w:line="560" w:lineRule="exact"/>
        <w:ind w:firstLine="640" w:firstLineChars="200"/>
        <w:rPr>
          <w:rFonts w:ascii="Times New Roman" w:hAnsi="Times New Roman" w:eastAsia="仿宋_GB2312"/>
          <w:color w:val="000000" w:themeColor="text1"/>
          <w:sz w:val="32"/>
          <w:szCs w:val="32"/>
          <w14:textFill>
            <w14:solidFill>
              <w14:schemeClr w14:val="tx1"/>
            </w14:solidFill>
          </w14:textFill>
        </w:rPr>
      </w:pPr>
      <w:r>
        <w:rPr>
          <w:rFonts w:hint="eastAsia" w:ascii="Times New Roman" w:hAnsi="Times New Roman" w:eastAsia="楷体_GB2312" w:cs="楷体_GB2312"/>
          <w:color w:val="000000" w:themeColor="text1"/>
          <w:sz w:val="32"/>
          <w:szCs w:val="32"/>
          <w14:textFill>
            <w14:solidFill>
              <w14:schemeClr w14:val="tx1"/>
            </w14:solidFill>
          </w14:textFill>
        </w:rPr>
        <w:t>（四）</w:t>
      </w:r>
      <w:r>
        <w:rPr>
          <w:rFonts w:hint="eastAsia" w:ascii="Times New Roman" w:hAnsi="Times New Roman" w:eastAsia="仿宋_GB2312"/>
          <w:color w:val="000000" w:themeColor="text1"/>
          <w:sz w:val="32"/>
          <w:szCs w:val="32"/>
          <w14:textFill>
            <w14:solidFill>
              <w14:schemeClr w14:val="tx1"/>
            </w14:solidFill>
          </w14:textFill>
        </w:rPr>
        <w:t>积极推行智慧水利建设，提升</w:t>
      </w:r>
      <w:r>
        <w:rPr>
          <w:rFonts w:hint="eastAsia" w:ascii="Times New Roman" w:hAnsi="Times New Roman" w:eastAsia="仿宋_GB2312" w:cs="仿宋_GB2312"/>
          <w:color w:val="000000" w:themeColor="text1"/>
          <w:sz w:val="32"/>
          <w:szCs w:val="32"/>
          <w14:textFill>
            <w14:solidFill>
              <w14:schemeClr w14:val="tx1"/>
            </w14:solidFill>
          </w14:textFill>
        </w:rPr>
        <w:t>水安全保障能力，促进水利事业发展</w:t>
      </w:r>
      <w:r>
        <w:rPr>
          <w:rFonts w:hint="eastAsia" w:ascii="Times New Roman" w:hAnsi="Times New Roman" w:eastAsia="仿宋_GB2312"/>
          <w:color w:val="000000" w:themeColor="text1"/>
          <w:sz w:val="32"/>
          <w:szCs w:val="32"/>
          <w14:textFill>
            <w14:solidFill>
              <w14:schemeClr w14:val="tx1"/>
            </w14:solidFill>
          </w14:textFill>
        </w:rPr>
        <w:t>。到2025年，治理中小河流河长达到52km以上，新建防洪堤、护岸分别达到9 km、45km以上，河道疏浚48km，治理山洪沟17km，重点涝区治理沟渠50km。对全县9个乡镇集镇区域建造应急备用水源，补充乡镇应急备用日供水量500m</w:t>
      </w:r>
      <w:r>
        <w:rPr>
          <w:rFonts w:hint="eastAsia" w:ascii="Times New Roman" w:hAnsi="Times New Roman" w:eastAsia="仿宋_GB2312"/>
          <w:color w:val="000000" w:themeColor="text1"/>
          <w:sz w:val="32"/>
          <w:szCs w:val="32"/>
          <w:vertAlign w:val="superscript"/>
          <w14:textFill>
            <w14:solidFill>
              <w14:schemeClr w14:val="tx1"/>
            </w14:solidFill>
          </w14:textFill>
        </w:rPr>
        <w:t>3</w:t>
      </w:r>
      <w:r>
        <w:rPr>
          <w:rFonts w:hint="eastAsia" w:ascii="Times New Roman" w:hAnsi="Times New Roman" w:eastAsia="仿宋_GB2312"/>
          <w:color w:val="000000" w:themeColor="text1"/>
          <w:sz w:val="32"/>
          <w:szCs w:val="32"/>
          <w14:textFill>
            <w14:solidFill>
              <w14:schemeClr w14:val="tx1"/>
            </w14:solidFill>
          </w14:textFill>
        </w:rPr>
        <w:t>；继续推广集中式规模供水，提高农村集中供水率和自来水普及率，提高农村群众的用水方便程度，进而提升农村生活环境卫生质量。加大实施农田水利水源设施及引水干渠建设等，补齐灌溉基础设施，调节和改良农田水分布和地区农田水利条件，使之满足农业生产发展的需要，促进农业增产与农民增收。农村水电增效扩容装机容量4870千瓦。实施9个生态清洁型小流域建设封育治理。实施生态护岸、截污管道、水源地保护、修复水毁护岸、水域岸线整治、水生态修复河等工程。</w:t>
      </w:r>
    </w:p>
    <w:p>
      <w:pPr>
        <w:pStyle w:val="31"/>
        <w:autoSpaceDE/>
        <w:autoSpaceDN/>
        <w:adjustRightInd/>
        <w:spacing w:line="560" w:lineRule="exact"/>
        <w:jc w:val="center"/>
        <w:rPr>
          <w:rFonts w:ascii="仿宋_GB2312" w:hAnsi="仿宋_GB2312" w:eastAsia="仿宋_GB2312" w:cs="仿宋_GB2312"/>
          <w:b/>
          <w:bCs/>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专栏7  水利基础设施重大项目工程专栏</w:t>
      </w:r>
    </w:p>
    <w:tbl>
      <w:tblPr>
        <w:tblStyle w:val="23"/>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54" w:type="dxa"/>
          </w:tcPr>
          <w:p>
            <w:pPr>
              <w:adjustRightInd w:val="0"/>
              <w:snapToGrid w:val="0"/>
              <w:spacing w:line="300" w:lineRule="auto"/>
              <w:rPr>
                <w:rFonts w:ascii="Times New Roman" w:hAnsi="Times New Roman" w:eastAsia="仿宋_GB2312" w:cs="仿宋_GB2312"/>
                <w:color w:val="000000" w:themeColor="text1"/>
                <w:sz w:val="24"/>
                <w14:textFill>
                  <w14:solidFill>
                    <w14:schemeClr w14:val="tx1"/>
                  </w14:solidFill>
                </w14:textFill>
              </w:rPr>
            </w:pPr>
            <w:bookmarkStart w:id="159" w:name="_Toc17539"/>
            <w:bookmarkStart w:id="160" w:name="_Toc21883"/>
            <w:bookmarkStart w:id="161" w:name="_Toc28457"/>
            <w:bookmarkStart w:id="162" w:name="_Toc20679"/>
            <w:bookmarkStart w:id="163" w:name="_Toc57045013"/>
            <w:bookmarkStart w:id="164" w:name="_Toc23936"/>
            <w:bookmarkStart w:id="165" w:name="_Toc57045109"/>
            <w:bookmarkStart w:id="166" w:name="_Toc61110799"/>
            <w:r>
              <w:rPr>
                <w:rFonts w:hint="eastAsia" w:ascii="Times New Roman" w:hAnsi="Times New Roman" w:eastAsia="仿宋_GB2312" w:cs="仿宋_GB2312"/>
                <w:b/>
                <w:bCs/>
                <w:color w:val="000000" w:themeColor="text1"/>
                <w:sz w:val="24"/>
                <w14:textFill>
                  <w14:solidFill>
                    <w14:schemeClr w14:val="tx1"/>
                  </w14:solidFill>
                </w14:textFill>
              </w:rPr>
              <w:t>1.中小河流治理：</w:t>
            </w:r>
            <w:r>
              <w:rPr>
                <w:rFonts w:hint="eastAsia" w:ascii="Times New Roman" w:hAnsi="Times New Roman" w:eastAsia="仿宋_GB2312" w:cs="仿宋_GB2312"/>
                <w:color w:val="000000" w:themeColor="text1"/>
                <w:sz w:val="24"/>
                <w14:textFill>
                  <w14:solidFill>
                    <w14:schemeClr w14:val="tx1"/>
                  </w14:solidFill>
                </w14:textFill>
              </w:rPr>
              <w:t>龙胜县中小河流治理、龙胜县流域河道疏浚项目。</w:t>
            </w:r>
          </w:p>
          <w:p>
            <w:pPr>
              <w:adjustRightInd w:val="0"/>
              <w:snapToGrid w:val="0"/>
              <w:spacing w:line="300" w:lineRule="auto"/>
              <w:rPr>
                <w:rFonts w:ascii="Times New Roman" w:hAnsi="Times New Roman" w:eastAsia="仿宋_GB2312" w:cs="仿宋_GB2312"/>
                <w:color w:val="000000" w:themeColor="text1"/>
                <w:sz w:val="24"/>
                <w14:textFill>
                  <w14:solidFill>
                    <w14:schemeClr w14:val="tx1"/>
                  </w14:solidFill>
                </w14:textFill>
              </w:rPr>
            </w:pPr>
            <w:r>
              <w:rPr>
                <w:rFonts w:hint="eastAsia" w:ascii="Times New Roman" w:hAnsi="Times New Roman" w:eastAsia="仿宋_GB2312" w:cs="仿宋_GB2312"/>
                <w:b/>
                <w:bCs/>
                <w:color w:val="000000" w:themeColor="text1"/>
                <w:sz w:val="24"/>
                <w14:textFill>
                  <w14:solidFill>
                    <w14:schemeClr w14:val="tx1"/>
                  </w14:solidFill>
                </w14:textFill>
              </w:rPr>
              <w:t>2.山洪灾害防治：</w:t>
            </w:r>
            <w:r>
              <w:rPr>
                <w:rFonts w:hint="eastAsia" w:ascii="Times New Roman" w:hAnsi="Times New Roman" w:eastAsia="仿宋_GB2312" w:cs="仿宋_GB2312"/>
                <w:color w:val="000000" w:themeColor="text1"/>
                <w:sz w:val="24"/>
                <w14:textFill>
                  <w14:solidFill>
                    <w14:schemeClr w14:val="tx1"/>
                  </w14:solidFill>
                </w14:textFill>
              </w:rPr>
              <w:t>龙胜县山洪沟防治治理项目。</w:t>
            </w:r>
          </w:p>
          <w:p>
            <w:pPr>
              <w:adjustRightInd w:val="0"/>
              <w:snapToGrid w:val="0"/>
              <w:spacing w:line="300" w:lineRule="auto"/>
              <w:rPr>
                <w:rFonts w:ascii="Times New Roman" w:hAnsi="Times New Roman" w:eastAsia="仿宋_GB2312" w:cs="仿宋_GB2312"/>
                <w:color w:val="000000" w:themeColor="text1"/>
                <w:sz w:val="24"/>
                <w14:textFill>
                  <w14:solidFill>
                    <w14:schemeClr w14:val="tx1"/>
                  </w14:solidFill>
                </w14:textFill>
              </w:rPr>
            </w:pPr>
            <w:r>
              <w:rPr>
                <w:rFonts w:hint="eastAsia" w:ascii="Times New Roman" w:hAnsi="Times New Roman" w:eastAsia="仿宋_GB2312" w:cs="仿宋_GB2312"/>
                <w:b/>
                <w:bCs/>
                <w:color w:val="000000" w:themeColor="text1"/>
                <w:sz w:val="24"/>
                <w14:textFill>
                  <w14:solidFill>
                    <w14:schemeClr w14:val="tx1"/>
                  </w14:solidFill>
                </w14:textFill>
              </w:rPr>
              <w:t>3.重点涝区治理：</w:t>
            </w:r>
            <w:r>
              <w:rPr>
                <w:rFonts w:hint="eastAsia" w:ascii="Times New Roman" w:hAnsi="Times New Roman" w:eastAsia="仿宋_GB2312" w:cs="仿宋_GB2312"/>
                <w:color w:val="000000" w:themeColor="text1"/>
                <w:sz w:val="24"/>
                <w14:textFill>
                  <w14:solidFill>
                    <w14:schemeClr w14:val="tx1"/>
                  </w14:solidFill>
                </w14:textFill>
              </w:rPr>
              <w:t>龙胜县重点涝区治理项目。</w:t>
            </w:r>
          </w:p>
          <w:p>
            <w:pPr>
              <w:adjustRightInd w:val="0"/>
              <w:snapToGrid w:val="0"/>
              <w:spacing w:line="300" w:lineRule="auto"/>
              <w:rPr>
                <w:rFonts w:ascii="Times New Roman" w:hAnsi="Times New Roman" w:eastAsia="仿宋_GB2312" w:cs="仿宋_GB2312"/>
                <w:color w:val="000000" w:themeColor="text1"/>
                <w:sz w:val="24"/>
                <w14:textFill>
                  <w14:solidFill>
                    <w14:schemeClr w14:val="tx1"/>
                  </w14:solidFill>
                </w14:textFill>
              </w:rPr>
            </w:pPr>
            <w:r>
              <w:rPr>
                <w:rFonts w:hint="eastAsia" w:ascii="Times New Roman" w:hAnsi="Times New Roman" w:eastAsia="仿宋_GB2312" w:cs="仿宋_GB2312"/>
                <w:b/>
                <w:bCs/>
                <w:color w:val="000000" w:themeColor="text1"/>
                <w:sz w:val="24"/>
                <w14:textFill>
                  <w14:solidFill>
                    <w14:schemeClr w14:val="tx1"/>
                  </w14:solidFill>
                </w14:textFill>
              </w:rPr>
              <w:t>4.水</w:t>
            </w:r>
            <w:r>
              <w:rPr>
                <w:rFonts w:hint="eastAsia" w:ascii="Times New Roman" w:hAnsi="Times New Roman" w:eastAsia="仿宋_GB2312" w:cs="仿宋_GB2312"/>
                <w:b/>
                <w:bCs/>
                <w:color w:val="000000" w:themeColor="text1"/>
                <w:sz w:val="24"/>
                <w:lang w:eastAsia="zh-CN"/>
                <w14:textFill>
                  <w14:solidFill>
                    <w14:schemeClr w14:val="tx1"/>
                  </w14:solidFill>
                </w14:textFill>
              </w:rPr>
              <w:t>资源配置</w:t>
            </w:r>
            <w:r>
              <w:rPr>
                <w:rFonts w:hint="eastAsia" w:ascii="Times New Roman" w:hAnsi="Times New Roman" w:eastAsia="仿宋_GB2312" w:cs="仿宋_GB2312"/>
                <w:color w:val="000000" w:themeColor="text1"/>
                <w:sz w:val="24"/>
                <w14:textFill>
                  <w14:solidFill>
                    <w14:schemeClr w14:val="tx1"/>
                  </w14:solidFill>
                </w14:textFill>
              </w:rPr>
              <w:t>：龙胜县乡（镇）应急备用水源项目。</w:t>
            </w:r>
          </w:p>
          <w:p>
            <w:pPr>
              <w:adjustRightInd w:val="0"/>
              <w:snapToGrid w:val="0"/>
              <w:spacing w:line="300" w:lineRule="auto"/>
              <w:rPr>
                <w:rFonts w:ascii="Times New Roman" w:hAnsi="Times New Roman" w:eastAsia="仿宋_GB2312" w:cs="仿宋_GB2312"/>
                <w:color w:val="000000" w:themeColor="text1"/>
                <w:sz w:val="24"/>
                <w14:textFill>
                  <w14:solidFill>
                    <w14:schemeClr w14:val="tx1"/>
                  </w14:solidFill>
                </w14:textFill>
              </w:rPr>
            </w:pPr>
            <w:r>
              <w:rPr>
                <w:rFonts w:hint="eastAsia" w:ascii="Times New Roman" w:hAnsi="Times New Roman" w:eastAsia="仿宋_GB2312" w:cs="仿宋_GB2312"/>
                <w:b/>
                <w:bCs/>
                <w:color w:val="000000" w:themeColor="text1"/>
                <w:sz w:val="24"/>
                <w14:textFill>
                  <w14:solidFill>
                    <w14:schemeClr w14:val="tx1"/>
                  </w14:solidFill>
                </w14:textFill>
              </w:rPr>
              <w:t>5.农村水利：</w:t>
            </w:r>
            <w:r>
              <w:rPr>
                <w:rFonts w:hint="eastAsia" w:ascii="Times New Roman" w:hAnsi="Times New Roman" w:eastAsia="仿宋_GB2312" w:cs="仿宋_GB2312"/>
                <w:color w:val="000000" w:themeColor="text1"/>
                <w:sz w:val="24"/>
                <w14:textFill>
                  <w14:solidFill>
                    <w14:schemeClr w14:val="tx1"/>
                  </w14:solidFill>
                </w14:textFill>
              </w:rPr>
              <w:t>龙胜县农村饮水安全巩固提升项目、龙胜县农田水利蓄水灌溉及引水干渠配套项目、龙胜县农村水电增效扩容改造项目。</w:t>
            </w:r>
          </w:p>
          <w:p>
            <w:pPr>
              <w:adjustRightInd w:val="0"/>
              <w:snapToGrid w:val="0"/>
              <w:spacing w:line="300" w:lineRule="auto"/>
              <w:rPr>
                <w:rFonts w:ascii="Times New Roman" w:hAnsi="Times New Roman" w:eastAsia="仿宋_GB2312" w:cs="仿宋_GB2312"/>
                <w:color w:val="000000" w:themeColor="text1"/>
                <w:sz w:val="24"/>
                <w14:textFill>
                  <w14:solidFill>
                    <w14:schemeClr w14:val="tx1"/>
                  </w14:solidFill>
                </w14:textFill>
              </w:rPr>
            </w:pPr>
            <w:r>
              <w:rPr>
                <w:rFonts w:hint="eastAsia" w:ascii="Times New Roman" w:hAnsi="Times New Roman" w:eastAsia="仿宋_GB2312" w:cs="仿宋_GB2312"/>
                <w:b/>
                <w:bCs/>
                <w:color w:val="000000" w:themeColor="text1"/>
                <w:sz w:val="24"/>
                <w14:textFill>
                  <w14:solidFill>
                    <w14:schemeClr w14:val="tx1"/>
                  </w14:solidFill>
                </w14:textFill>
              </w:rPr>
              <w:t>6.水资源保护与河湖生态修复：</w:t>
            </w:r>
            <w:r>
              <w:rPr>
                <w:rFonts w:hint="eastAsia" w:ascii="Times New Roman" w:hAnsi="Times New Roman" w:eastAsia="仿宋_GB2312" w:cs="仿宋_GB2312"/>
                <w:color w:val="000000" w:themeColor="text1"/>
                <w:sz w:val="24"/>
                <w14:textFill>
                  <w14:solidFill>
                    <w14:schemeClr w14:val="tx1"/>
                  </w14:solidFill>
                </w14:textFill>
              </w:rPr>
              <w:t>龙胜县小流域水土流失综合治理项目、龙胜县水毁修复项目、龙胜县水域岸线整治保护项目、龙胜县水生态修复项目。</w:t>
            </w:r>
          </w:p>
          <w:p>
            <w:pPr>
              <w:adjustRightInd w:val="0"/>
              <w:snapToGrid w:val="0"/>
              <w:spacing w:line="300" w:lineRule="auto"/>
              <w:rPr>
                <w:rFonts w:ascii="Times New Roman" w:hAnsi="Times New Roman" w:eastAsia="仿宋_GB2312" w:cs="仿宋_GB2312"/>
                <w:color w:val="000000" w:themeColor="text1"/>
                <w:kern w:val="0"/>
                <w:sz w:val="32"/>
                <w:szCs w:val="32"/>
                <w14:textFill>
                  <w14:solidFill>
                    <w14:schemeClr w14:val="tx1"/>
                  </w14:solidFill>
                </w14:textFill>
              </w:rPr>
            </w:pPr>
            <w:r>
              <w:rPr>
                <w:rFonts w:hint="eastAsia" w:ascii="Times New Roman" w:hAnsi="Times New Roman" w:eastAsia="仿宋_GB2312" w:cs="仿宋_GB2312"/>
                <w:b/>
                <w:bCs/>
                <w:color w:val="000000" w:themeColor="text1"/>
                <w:sz w:val="24"/>
                <w14:textFill>
                  <w14:solidFill>
                    <w14:schemeClr w14:val="tx1"/>
                  </w14:solidFill>
                </w14:textFill>
              </w:rPr>
              <w:t>7.水利行业能力提升：</w:t>
            </w:r>
            <w:r>
              <w:rPr>
                <w:rFonts w:hint="eastAsia" w:ascii="Times New Roman" w:hAnsi="Times New Roman" w:eastAsia="仿宋_GB2312" w:cs="仿宋_GB2312"/>
                <w:color w:val="000000" w:themeColor="text1"/>
                <w:sz w:val="24"/>
                <w14:textFill>
                  <w14:solidFill>
                    <w14:schemeClr w14:val="tx1"/>
                  </w14:solidFill>
                </w14:textFill>
              </w:rPr>
              <w:t>完善河流管理范围确权划界、增加信息化管理设施，河长制信息化管理系统平台；“空天地”一体化监测监控体系；基层水利服务体系建设；水利水电工程质量与安全管理能力建设等，建立水资源保护体系、水生态环境保护体系和水利发展服务体系。</w:t>
            </w:r>
          </w:p>
        </w:tc>
      </w:tr>
    </w:tbl>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第三节  推进新型基础设施建设</w:t>
      </w:r>
      <w:bookmarkEnd w:id="159"/>
      <w:bookmarkEnd w:id="160"/>
      <w:bookmarkEnd w:id="161"/>
      <w:bookmarkEnd w:id="162"/>
      <w:bookmarkEnd w:id="163"/>
      <w:bookmarkEnd w:id="164"/>
      <w:bookmarkEnd w:id="165"/>
      <w:bookmarkEnd w:id="166"/>
    </w:p>
    <w:p>
      <w:pPr>
        <w:spacing w:line="560" w:lineRule="exact"/>
        <w:ind w:firstLine="640" w:firstLineChars="200"/>
        <w:rPr>
          <w:rFonts w:ascii="Times New Roman" w:hAnsi="Times New Roman" w:eastAsia="仿宋_GB2312"/>
          <w:color w:val="000000" w:themeColor="text1"/>
          <w:sz w:val="32"/>
          <w:szCs w:val="32"/>
          <w14:textFill>
            <w14:solidFill>
              <w14:schemeClr w14:val="tx1"/>
            </w14:solidFill>
          </w14:textFill>
        </w:rPr>
      </w:pPr>
    </w:p>
    <w:p>
      <w:pPr>
        <w:spacing w:line="560" w:lineRule="exact"/>
        <w:ind w:firstLine="640" w:firstLineChars="200"/>
        <w:rPr>
          <w:rFonts w:ascii="Times New Roman" w:hAnsi="Times New Roman" w:eastAsia="仿宋_GB2312"/>
          <w:color w:val="000000" w:themeColor="text1"/>
          <w:sz w:val="32"/>
          <w:szCs w:val="32"/>
          <w14:textFill>
            <w14:solidFill>
              <w14:schemeClr w14:val="tx1"/>
            </w14:solidFill>
          </w14:textFill>
        </w:rPr>
      </w:pPr>
      <w:r>
        <w:rPr>
          <w:rFonts w:hint="eastAsia" w:ascii="Times New Roman" w:hAnsi="Times New Roman" w:eastAsia="仿宋_GB2312"/>
          <w:color w:val="000000" w:themeColor="text1"/>
          <w:sz w:val="32"/>
          <w:szCs w:val="32"/>
          <w14:textFill>
            <w14:solidFill>
              <w14:schemeClr w14:val="tx1"/>
            </w14:solidFill>
          </w14:textFill>
        </w:rPr>
        <w:t>适应新一代信息技术发展需求，推动信息基础设施与城市公共设施同部署同安排，促进全县信息管线、铁塔基站、室内分布系统等基础资源的开放和共享。加强光纤网络建设，提升宽带用户接入速率和普及水平，推进城乡深度覆盖4G网络，促进5G网络城市全覆盖、高速公路实现5G布局。大力发展人工智能、工业互联网、物联网、大数据中心、新能源汽车充电桩、特高压等新型基础设施，提升在线教育、远程医疗等新业态新模式的新基建支撑能力，强化基于IPv6</w:t>
      </w:r>
      <w:r>
        <w:rPr>
          <w:rStyle w:val="30"/>
          <w:rFonts w:hint="eastAsia" w:ascii="Times New Roman" w:hAnsi="Times New Roman" w:eastAsia="仿宋_GB2312"/>
          <w:color w:val="000000" w:themeColor="text1"/>
          <w:sz w:val="32"/>
          <w:szCs w:val="32"/>
          <w:vertAlign w:val="subscript"/>
          <w14:textFill>
            <w14:solidFill>
              <w14:schemeClr w14:val="tx1"/>
            </w14:solidFill>
          </w14:textFill>
        </w:rPr>
        <w:footnoteReference w:id="9"/>
      </w:r>
      <w:r>
        <w:rPr>
          <w:rFonts w:hint="eastAsia" w:ascii="Times New Roman" w:hAnsi="Times New Roman" w:eastAsia="仿宋_GB2312"/>
          <w:color w:val="000000" w:themeColor="text1"/>
          <w:sz w:val="32"/>
          <w:szCs w:val="32"/>
          <w14:textFill>
            <w14:solidFill>
              <w14:schemeClr w14:val="tx1"/>
            </w14:solidFill>
          </w14:textFill>
        </w:rPr>
        <w:t>网络的终端协同创新发展。打造物联、数联、智联三位一体的新型城域物联专网，推进物联应用服务创新。建设完善支撑本地数字政府、前沿数字产业发展、实体经济数字化应用的云数据中心。探索布局无人机、无人配送物流系统、无人化防疫系统等无人化配套设施，加快智慧城市、智慧乡村、智慧园区、智慧交通建设。</w:t>
      </w:r>
    </w:p>
    <w:p>
      <w:pPr>
        <w:pStyle w:val="4"/>
        <w:keepNext w:val="0"/>
        <w:keepLines w:val="0"/>
        <w:spacing w:before="0" w:after="0" w:line="560" w:lineRule="exact"/>
        <w:ind w:firstLine="643" w:firstLineChars="200"/>
        <w:rPr>
          <w:rFonts w:ascii="Times New Roman" w:hAnsi="Times New Roman" w:eastAsia="黑体" w:cs="黑体"/>
          <w:bCs w:val="0"/>
          <w:color w:val="000000" w:themeColor="text1"/>
          <w14:textFill>
            <w14:solidFill>
              <w14:schemeClr w14:val="tx1"/>
            </w14:solidFill>
          </w14:textFill>
        </w:rPr>
      </w:pPr>
      <w:bookmarkStart w:id="167" w:name="_Toc4239"/>
      <w:bookmarkStart w:id="168" w:name="_Toc3898"/>
      <w:bookmarkStart w:id="169" w:name="_Toc61110800"/>
      <w:bookmarkStart w:id="170" w:name="_Toc57045014"/>
      <w:bookmarkStart w:id="171" w:name="_Toc57045110"/>
      <w:bookmarkStart w:id="172" w:name="_Toc2224"/>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第四节  促进</w:t>
      </w:r>
      <w:bookmarkEnd w:id="167"/>
      <w:bookmarkEnd w:id="168"/>
      <w:r>
        <w:rPr>
          <w:rFonts w:hint="eastAsia" w:ascii="楷体_GB2312" w:hAnsi="楷体_GB2312" w:eastAsia="楷体_GB2312" w:cs="楷体_GB2312"/>
          <w:b w:val="0"/>
          <w:color w:val="000000" w:themeColor="text1"/>
          <w14:textFill>
            <w14:solidFill>
              <w14:schemeClr w14:val="tx1"/>
            </w14:solidFill>
          </w14:textFill>
        </w:rPr>
        <w:t>生活基础设施提质升级</w:t>
      </w:r>
      <w:bookmarkEnd w:id="169"/>
      <w:bookmarkEnd w:id="170"/>
      <w:bookmarkEnd w:id="171"/>
      <w:bookmarkEnd w:id="172"/>
    </w:p>
    <w:p>
      <w:pPr>
        <w:spacing w:line="560" w:lineRule="exact"/>
        <w:ind w:firstLine="640" w:firstLineChars="200"/>
        <w:rPr>
          <w:rFonts w:ascii="Times New Roman" w:hAnsi="Times New Roman" w:eastAsia="仿宋_GB2312"/>
          <w:color w:val="000000" w:themeColor="text1"/>
          <w:sz w:val="32"/>
          <w:szCs w:val="32"/>
          <w14:textFill>
            <w14:solidFill>
              <w14:schemeClr w14:val="tx1"/>
            </w14:solidFill>
          </w14:textFill>
        </w:rPr>
      </w:pPr>
    </w:p>
    <w:p>
      <w:pPr>
        <w:spacing w:line="560" w:lineRule="exact"/>
        <w:ind w:firstLine="640" w:firstLineChars="200"/>
        <w:rPr>
          <w:rFonts w:ascii="Times New Roman" w:hAnsi="Times New Roman" w:eastAsia="仿宋_GB2312"/>
          <w:color w:val="000000" w:themeColor="text1"/>
          <w:sz w:val="32"/>
          <w:szCs w:val="32"/>
          <w14:textFill>
            <w14:solidFill>
              <w14:schemeClr w14:val="tx1"/>
            </w14:solidFill>
          </w14:textFill>
        </w:rPr>
        <w:sectPr>
          <w:footerReference r:id="rId8" w:type="default"/>
          <w:footnotePr>
            <w:numFmt w:val="decimalEnclosedCircleChinese"/>
          </w:footnotePr>
          <w:pgSz w:w="11906" w:h="16838"/>
          <w:pgMar w:top="1587" w:right="1304" w:bottom="1304" w:left="1588" w:header="851" w:footer="850" w:gutter="0"/>
          <w:cols w:space="0" w:num="1"/>
          <w:docGrid w:type="lines" w:linePitch="312" w:charSpace="0"/>
        </w:sectPr>
      </w:pPr>
      <w:r>
        <w:rPr>
          <w:rFonts w:hint="eastAsia" w:ascii="Times New Roman" w:hAnsi="Times New Roman" w:eastAsia="仿宋_GB2312"/>
          <w:color w:val="000000" w:themeColor="text1"/>
          <w:sz w:val="32"/>
          <w:szCs w:val="32"/>
          <w14:textFill>
            <w14:solidFill>
              <w14:schemeClr w14:val="tx1"/>
            </w14:solidFill>
          </w14:textFill>
        </w:rPr>
        <w:t>按照“产业兴旺、生态宜居、乡村文明、治理有效、生活富裕”要求，精准施策，提升“龙胜”品质和人居环境质量。</w:t>
      </w:r>
      <w:r>
        <w:rPr>
          <w:rFonts w:hint="eastAsia" w:ascii="Times New Roman" w:hAnsi="Times New Roman" w:eastAsia="仿宋_GB2312"/>
          <w:b/>
          <w:bCs/>
          <w:color w:val="000000" w:themeColor="text1"/>
          <w:sz w:val="32"/>
          <w:szCs w:val="32"/>
          <w14:textFill>
            <w14:solidFill>
              <w14:schemeClr w14:val="tx1"/>
            </w14:solidFill>
          </w14:textFill>
        </w:rPr>
        <w:t>一是</w:t>
      </w:r>
      <w:r>
        <w:rPr>
          <w:rFonts w:hint="eastAsia" w:ascii="Times New Roman" w:hAnsi="Times New Roman" w:eastAsia="仿宋_GB2312"/>
          <w:color w:val="000000" w:themeColor="text1"/>
          <w:sz w:val="32"/>
          <w:szCs w:val="32"/>
          <w14:textFill>
            <w14:solidFill>
              <w14:schemeClr w14:val="tx1"/>
            </w14:solidFill>
          </w14:textFill>
        </w:rPr>
        <w:t>推进县城老城区基础设施改造提升、县城第二水厂（管网）、县污水处理厂二期、县城燃气储备站及市政供气燃气管道、充电桩等项目建设。</w:t>
      </w:r>
      <w:r>
        <w:rPr>
          <w:rFonts w:hint="eastAsia" w:ascii="Times New Roman" w:hAnsi="Times New Roman" w:eastAsia="仿宋_GB2312"/>
          <w:b/>
          <w:bCs/>
          <w:color w:val="000000" w:themeColor="text1"/>
          <w:sz w:val="32"/>
          <w:szCs w:val="32"/>
          <w14:textFill>
            <w14:solidFill>
              <w14:schemeClr w14:val="tx1"/>
            </w14:solidFill>
          </w14:textFill>
        </w:rPr>
        <w:t>二是</w:t>
      </w:r>
      <w:r>
        <w:rPr>
          <w:rFonts w:hint="eastAsia" w:ascii="Times New Roman" w:hAnsi="Times New Roman" w:eastAsia="仿宋_GB2312"/>
          <w:color w:val="000000" w:themeColor="text1"/>
          <w:sz w:val="32"/>
          <w:szCs w:val="32"/>
          <w14:textFill>
            <w14:solidFill>
              <w14:schemeClr w14:val="tx1"/>
            </w14:solidFill>
          </w14:textFill>
        </w:rPr>
        <w:t>全力推进盛园路、长田路棚户区改造项目，推动城中村、老旧小区升级改造。</w:t>
      </w:r>
      <w:r>
        <w:rPr>
          <w:rFonts w:hint="eastAsia" w:ascii="Times New Roman" w:hAnsi="Times New Roman" w:eastAsia="仿宋_GB2312"/>
          <w:b/>
          <w:bCs/>
          <w:color w:val="000000" w:themeColor="text1"/>
          <w:sz w:val="32"/>
          <w:szCs w:val="32"/>
          <w14:textFill>
            <w14:solidFill>
              <w14:schemeClr w14:val="tx1"/>
            </w14:solidFill>
          </w14:textFill>
        </w:rPr>
        <w:t>三是</w:t>
      </w:r>
      <w:r>
        <w:rPr>
          <w:rFonts w:hint="eastAsia" w:ascii="Times New Roman" w:hAnsi="Times New Roman" w:eastAsia="仿宋_GB2312"/>
          <w:color w:val="000000" w:themeColor="text1"/>
          <w:sz w:val="32"/>
          <w:szCs w:val="32"/>
          <w14:textFill>
            <w14:solidFill>
              <w14:schemeClr w14:val="tx1"/>
            </w14:solidFill>
          </w14:textFill>
        </w:rPr>
        <w:t>加快龙脊大道管网、路网、环卫设施、公共服务设施等建设，实现新区功能完善。</w:t>
      </w:r>
      <w:r>
        <w:rPr>
          <w:rFonts w:hint="eastAsia" w:ascii="Times New Roman" w:hAnsi="Times New Roman" w:eastAsia="仿宋_GB2312"/>
          <w:b/>
          <w:bCs/>
          <w:color w:val="000000" w:themeColor="text1"/>
          <w:sz w:val="32"/>
          <w:szCs w:val="32"/>
          <w14:textFill>
            <w14:solidFill>
              <w14:schemeClr w14:val="tx1"/>
            </w14:solidFill>
          </w14:textFill>
        </w:rPr>
        <w:t>四是</w:t>
      </w:r>
      <w:r>
        <w:rPr>
          <w:rFonts w:hint="eastAsia" w:ascii="Times New Roman" w:hAnsi="Times New Roman" w:eastAsia="仿宋_GB2312"/>
          <w:color w:val="000000" w:themeColor="text1"/>
          <w:sz w:val="32"/>
          <w:szCs w:val="32"/>
          <w14:textFill>
            <w14:solidFill>
              <w14:schemeClr w14:val="tx1"/>
            </w14:solidFill>
          </w14:textFill>
        </w:rPr>
        <w:t>做好城区环境卫生设施提级扩能、市政公用设施提档升级、公共服务设施提标扩面、产业配套设施提质增效工作，提升城区品质、环境质量和综合承载能力。</w:t>
      </w:r>
      <w:r>
        <w:rPr>
          <w:rFonts w:hint="eastAsia" w:ascii="Times New Roman" w:hAnsi="Times New Roman" w:eastAsia="仿宋_GB2312"/>
          <w:b/>
          <w:bCs/>
          <w:color w:val="000000" w:themeColor="text1"/>
          <w:sz w:val="32"/>
          <w:szCs w:val="32"/>
          <w14:textFill>
            <w14:solidFill>
              <w14:schemeClr w14:val="tx1"/>
            </w14:solidFill>
          </w14:textFill>
        </w:rPr>
        <w:t>五是</w:t>
      </w:r>
      <w:r>
        <w:rPr>
          <w:rFonts w:hint="eastAsia" w:ascii="Times New Roman" w:hAnsi="Times New Roman" w:eastAsia="仿宋_GB2312"/>
          <w:color w:val="000000" w:themeColor="text1"/>
          <w:sz w:val="32"/>
          <w:szCs w:val="32"/>
          <w14:textFill>
            <w14:solidFill>
              <w14:schemeClr w14:val="tx1"/>
            </w14:solidFill>
          </w14:textFill>
        </w:rPr>
        <w:t>建设覆盖全县城乡生活垃圾处理系统，探索城乡一体化垃圾处理运作模式，持续改善农村人居环境。</w:t>
      </w:r>
    </w:p>
    <w:p>
      <w:pPr>
        <w:pStyle w:val="4"/>
        <w:keepNext w:val="0"/>
        <w:keepLines w:val="0"/>
        <w:spacing w:before="0" w:after="0" w:line="560" w:lineRule="exact"/>
        <w:jc w:val="center"/>
        <w:rPr>
          <w:rFonts w:ascii="Times New Roman" w:hAnsi="Times New Roman" w:eastAsia="黑体" w:cs="黑体"/>
          <w:b w:val="0"/>
          <w:color w:val="000000" w:themeColor="text1"/>
          <w14:textFill>
            <w14:solidFill>
              <w14:schemeClr w14:val="tx1"/>
            </w14:solidFill>
          </w14:textFill>
        </w:rPr>
      </w:pPr>
      <w:bookmarkStart w:id="173" w:name="_Toc3718"/>
      <w:bookmarkStart w:id="174" w:name="_Toc61110801"/>
      <w:r>
        <w:rPr>
          <w:rFonts w:hint="eastAsia" w:ascii="Times New Roman" w:hAnsi="Times New Roman" w:eastAsia="黑体" w:cs="黑体"/>
          <w:b w:val="0"/>
          <w:color w:val="000000" w:themeColor="text1"/>
          <w14:textFill>
            <w14:solidFill>
              <w14:schemeClr w14:val="tx1"/>
            </w14:solidFill>
          </w14:textFill>
        </w:rPr>
        <w:t>第九章  强化城乡统筹 推进城乡融合</w:t>
      </w:r>
      <w:bookmarkEnd w:id="173"/>
      <w:bookmarkEnd w:id="174"/>
    </w:p>
    <w:p>
      <w:pPr>
        <w:spacing w:line="560" w:lineRule="exact"/>
        <w:ind w:firstLine="640" w:firstLineChars="200"/>
        <w:rPr>
          <w:rFonts w:ascii="Times New Roman" w:hAnsi="Times New Roman" w:eastAsia="仿宋_GB2312"/>
          <w:color w:val="000000" w:themeColor="text1"/>
          <w:sz w:val="32"/>
          <w:szCs w:val="32"/>
          <w14:textFill>
            <w14:solidFill>
              <w14:schemeClr w14:val="tx1"/>
            </w14:solidFill>
          </w14:textFill>
        </w:rPr>
      </w:pPr>
    </w:p>
    <w:p>
      <w:pPr>
        <w:spacing w:line="560" w:lineRule="exact"/>
        <w:ind w:firstLine="640" w:firstLineChars="200"/>
        <w:rPr>
          <w:rFonts w:ascii="Times New Roman" w:hAnsi="Times New Roman" w:eastAsia="仿宋_GB2312"/>
          <w:color w:val="000000" w:themeColor="text1"/>
          <w:sz w:val="32"/>
          <w:szCs w:val="32"/>
          <w14:textFill>
            <w14:solidFill>
              <w14:schemeClr w14:val="tx1"/>
            </w14:solidFill>
          </w14:textFill>
        </w:rPr>
      </w:pPr>
      <w:r>
        <w:rPr>
          <w:rFonts w:hint="eastAsia" w:ascii="Times New Roman" w:hAnsi="Times New Roman" w:eastAsia="仿宋_GB2312"/>
          <w:color w:val="000000" w:themeColor="text1"/>
          <w:sz w:val="32"/>
          <w:szCs w:val="32"/>
          <w14:textFill>
            <w14:solidFill>
              <w14:schemeClr w14:val="tx1"/>
            </w14:solidFill>
          </w14:textFill>
        </w:rPr>
        <w:t>加快构建以县城为主导的城镇体系建设，重点推进新型城镇化建设，提高小城镇综合承载能力，促进小城镇扩容提质，实现产城融合，增强城镇对乡村振兴的辐射带动力，以繁荣县域经济、建设美丽乡村，推动城乡共同繁荣发展。实施农业转移人口市民化行动、城乡统筹水平提升行动、产城融合促进行动、要素保障行动，实现城乡居民基本权益平等化、城乡公共服务均等化、城乡居民收入均衡化、城乡要素配置合理化和城乡产业发展融合化。到2025年，常住人口城镇化率达到40%以上。</w:t>
      </w:r>
      <w:bookmarkStart w:id="175" w:name="_Toc20310"/>
      <w:bookmarkStart w:id="176" w:name="_Toc23073"/>
    </w:p>
    <w:p>
      <w:pPr>
        <w:pStyle w:val="4"/>
        <w:keepNext w:val="0"/>
        <w:keepLines w:val="0"/>
        <w:spacing w:before="0" w:after="0" w:line="560" w:lineRule="exact"/>
        <w:ind w:firstLine="643" w:firstLineChars="200"/>
        <w:rPr>
          <w:rFonts w:ascii="Times New Roman" w:hAnsi="Times New Roman" w:eastAsia="黑体" w:cs="黑体"/>
          <w:bCs w:val="0"/>
          <w:color w:val="000000" w:themeColor="text1"/>
          <w14:textFill>
            <w14:solidFill>
              <w14:schemeClr w14:val="tx1"/>
            </w14:solidFill>
          </w14:textFill>
        </w:rPr>
      </w:pPr>
      <w:bookmarkStart w:id="177" w:name="_Toc16159"/>
      <w:bookmarkStart w:id="178" w:name="_Toc61110802"/>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第一节  提升县城核心功能</w:t>
      </w:r>
      <w:bookmarkEnd w:id="175"/>
      <w:bookmarkEnd w:id="176"/>
      <w:bookmarkEnd w:id="177"/>
      <w:bookmarkEnd w:id="178"/>
    </w:p>
    <w:p>
      <w:pPr>
        <w:spacing w:line="560" w:lineRule="exact"/>
        <w:ind w:firstLine="640" w:firstLineChars="200"/>
        <w:rPr>
          <w:rFonts w:ascii="Times New Roman" w:hAnsi="Times New Roman" w:eastAsia="仿宋_GB2312"/>
          <w:color w:val="000000" w:themeColor="text1"/>
          <w:sz w:val="32"/>
          <w:szCs w:val="32"/>
          <w14:textFill>
            <w14:solidFill>
              <w14:schemeClr w14:val="tx1"/>
            </w14:solidFill>
          </w14:textFill>
        </w:rPr>
      </w:pPr>
    </w:p>
    <w:p>
      <w:pPr>
        <w:spacing w:line="560" w:lineRule="exact"/>
        <w:ind w:firstLine="640" w:firstLineChars="200"/>
        <w:rPr>
          <w:rFonts w:ascii="Times New Roman" w:hAnsi="Times New Roman" w:eastAsia="仿宋_GB2312"/>
          <w:color w:val="000000" w:themeColor="text1"/>
          <w:sz w:val="32"/>
          <w:szCs w:val="32"/>
          <w14:textFill>
            <w14:solidFill>
              <w14:schemeClr w14:val="tx1"/>
            </w14:solidFill>
          </w14:textFill>
        </w:rPr>
      </w:pPr>
      <w:r>
        <w:rPr>
          <w:rFonts w:hint="eastAsia" w:ascii="Times New Roman" w:hAnsi="Times New Roman" w:eastAsia="仿宋_GB2312"/>
          <w:color w:val="000000" w:themeColor="text1"/>
          <w:sz w:val="32"/>
          <w:szCs w:val="32"/>
          <w14:textFill>
            <w14:solidFill>
              <w14:schemeClr w14:val="tx1"/>
            </w14:solidFill>
          </w14:textFill>
        </w:rPr>
        <w:t>实施扩大县城建设战略，突出生态特色、文化特色和民族特色，优化空间结构，加强基础设施建设，发展特色产业，强化产业、服务和居住等功能，促进经济发展和人口集聚, 推动县城环境大改善和品质大提升，把县城建成设施齐全、功能完善、经济活跃、环境优美、和谐宜居的中心县城，打造县城AAAA级景区。</w:t>
      </w:r>
    </w:p>
    <w:p>
      <w:pPr>
        <w:spacing w:line="560" w:lineRule="exact"/>
        <w:ind w:firstLine="643" w:firstLineChars="200"/>
        <w:rPr>
          <w:rFonts w:ascii="Times New Roman" w:hAnsi="Times New Roman" w:eastAsia="仿宋_GB2312" w:cs="仿宋"/>
          <w:color w:val="000000" w:themeColor="text1"/>
          <w:sz w:val="32"/>
          <w:szCs w:val="32"/>
          <w14:textFill>
            <w14:solidFill>
              <w14:schemeClr w14:val="tx1"/>
            </w14:solidFill>
          </w14:textFill>
        </w:rPr>
      </w:pPr>
      <w:r>
        <w:rPr>
          <w:rFonts w:hint="eastAsia" w:ascii="Times New Roman" w:hAnsi="Times New Roman" w:eastAsia="楷体_GB2312" w:cs="楷体_GB2312"/>
          <w:b/>
          <w:bCs/>
          <w:color w:val="000000" w:themeColor="text1"/>
          <w:sz w:val="32"/>
          <w:szCs w:val="32"/>
          <w14:textFill>
            <w14:solidFill>
              <w14:schemeClr w14:val="tx1"/>
            </w14:solidFill>
          </w14:textFill>
        </w:rPr>
        <w:t>（一）完善城市服务功能。</w:t>
      </w:r>
      <w:r>
        <w:rPr>
          <w:rFonts w:hint="eastAsia" w:ascii="Times New Roman" w:hAnsi="Times New Roman" w:eastAsia="仿宋_GB2312" w:cs="仿宋"/>
          <w:color w:val="000000" w:themeColor="text1"/>
          <w:sz w:val="32"/>
          <w:szCs w:val="32"/>
          <w14:textFill>
            <w14:solidFill>
              <w14:schemeClr w14:val="tx1"/>
            </w14:solidFill>
          </w14:textFill>
        </w:rPr>
        <w:t>始终把县城经济实力和其经济辐射功能放在首位，以优势产品和主导产业为龙头，增加县城民族文化元素，立足于“天蓝、地绿、水清、宜居、宜业、宜游、宜商”的产城融合、产城互动发展理念，加大县城的扩建改造力度，推进和带动特色经济的发展。发展以信息服务业、文化创意、商务服务为主的现代服务业集聚区和楼宇经济，提升游客接待能力和综合服务水平，重点建设基础设施，拉大县城框架，完善城市功能，增强县城综合承载能力。高标准规划建设县城龙脊大道新区及县城民族体育休闲公园。</w:t>
      </w:r>
    </w:p>
    <w:p>
      <w:pPr>
        <w:spacing w:line="560" w:lineRule="exact"/>
        <w:ind w:firstLine="643" w:firstLineChars="200"/>
        <w:rPr>
          <w:rFonts w:ascii="Times New Roman" w:hAnsi="Times New Roman" w:eastAsia="仿宋_GB2312" w:cs="仿宋"/>
          <w:color w:val="000000" w:themeColor="text1"/>
          <w:sz w:val="32"/>
          <w:szCs w:val="32"/>
          <w14:textFill>
            <w14:solidFill>
              <w14:schemeClr w14:val="tx1"/>
            </w14:solidFill>
          </w14:textFill>
        </w:rPr>
      </w:pPr>
      <w:r>
        <w:rPr>
          <w:rFonts w:hint="eastAsia" w:ascii="Times New Roman" w:hAnsi="Times New Roman" w:eastAsia="楷体_GB2312" w:cs="楷体_GB2312"/>
          <w:b/>
          <w:bCs/>
          <w:color w:val="000000" w:themeColor="text1"/>
          <w:sz w:val="32"/>
          <w:szCs w:val="32"/>
          <w14:textFill>
            <w14:solidFill>
              <w14:schemeClr w14:val="tx1"/>
            </w14:solidFill>
          </w14:textFill>
        </w:rPr>
        <w:t>（二）加强城市管理。</w:t>
      </w:r>
      <w:r>
        <w:rPr>
          <w:rFonts w:hint="eastAsia" w:ascii="Times New Roman" w:hAnsi="Times New Roman" w:eastAsia="仿宋_GB2312" w:cs="仿宋"/>
          <w:color w:val="000000" w:themeColor="text1"/>
          <w:sz w:val="32"/>
          <w:szCs w:val="32"/>
          <w14:textFill>
            <w14:solidFill>
              <w14:schemeClr w14:val="tx1"/>
            </w14:solidFill>
          </w14:textFill>
        </w:rPr>
        <w:t>加强城市园林绿化、路灯、景观灯、公厕、供排水、供电、排污、垃圾处理及通天然气等市政基础建设和管理，加大政府购买公共服务力度。推动管理扁平化，面向基层下沉管理职责、落实管理任务，实施社区网格化管理。提升城镇的综合承载力，利用大数据信息，推进智慧城市建设。加强城镇综合管理，规范交通经营秩序，改善施工现场环境，对违法行为探索共享监控系统，健全联席机制、举报奖励等</w:t>
      </w:r>
      <w:bookmarkStart w:id="179" w:name="_Toc22251"/>
      <w:bookmarkStart w:id="180" w:name="_Toc3180"/>
      <w:r>
        <w:rPr>
          <w:rFonts w:hint="eastAsia" w:ascii="Times New Roman" w:hAnsi="Times New Roman" w:eastAsia="仿宋_GB2312" w:cs="仿宋"/>
          <w:color w:val="000000" w:themeColor="text1"/>
          <w:sz w:val="32"/>
          <w:szCs w:val="32"/>
          <w14:textFill>
            <w14:solidFill>
              <w14:schemeClr w14:val="tx1"/>
            </w14:solidFill>
          </w14:textFill>
        </w:rPr>
        <w:t>制度。</w:t>
      </w:r>
    </w:p>
    <w:p>
      <w:pPr>
        <w:pStyle w:val="31"/>
        <w:autoSpaceDE/>
        <w:autoSpaceDN/>
        <w:adjustRightInd/>
        <w:spacing w:line="560" w:lineRule="exact"/>
        <w:jc w:val="center"/>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mc:AlternateContent>
          <mc:Choice Requires="wps">
            <w:drawing>
              <wp:anchor distT="0" distB="0" distL="114300" distR="114300" simplePos="0" relativeHeight="251660288" behindDoc="0" locked="0" layoutInCell="1" allowOverlap="1">
                <wp:simplePos x="0" y="0"/>
                <wp:positionH relativeFrom="column">
                  <wp:posOffset>1270</wp:posOffset>
                </wp:positionH>
                <wp:positionV relativeFrom="paragraph">
                  <wp:posOffset>416560</wp:posOffset>
                </wp:positionV>
                <wp:extent cx="5680710" cy="2676525"/>
                <wp:effectExtent l="0" t="0" r="15240" b="28575"/>
                <wp:wrapSquare wrapText="bothSides"/>
                <wp:docPr id="11" name="文本框 11"/>
                <wp:cNvGraphicFramePr/>
                <a:graphic xmlns:a="http://schemas.openxmlformats.org/drawingml/2006/main">
                  <a:graphicData uri="http://schemas.microsoft.com/office/word/2010/wordprocessingShape">
                    <wps:wsp>
                      <wps:cNvSpPr txBox="1"/>
                      <wps:spPr>
                        <a:xfrm>
                          <a:off x="0" y="0"/>
                          <a:ext cx="5680710" cy="267652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adjustRightInd w:val="0"/>
                              <w:snapToGrid w:val="0"/>
                              <w:spacing w:line="288" w:lineRule="auto"/>
                              <w:rPr>
                                <w:rFonts w:ascii="仿宋" w:hAnsi="仿宋" w:eastAsia="仿宋" w:cs="仿宋"/>
                                <w:sz w:val="24"/>
                              </w:rPr>
                            </w:pPr>
                            <w:r>
                              <w:rPr>
                                <w:rFonts w:hint="eastAsia" w:ascii="仿宋" w:hAnsi="仿宋" w:eastAsia="仿宋" w:cs="仿宋"/>
                                <w:b/>
                                <w:bCs/>
                                <w:sz w:val="24"/>
                              </w:rPr>
                              <w:t>1.市政道路（含管网）</w:t>
                            </w:r>
                            <w:r>
                              <w:rPr>
                                <w:rFonts w:hint="eastAsia" w:ascii="仿宋" w:hAnsi="仿宋" w:eastAsia="仿宋" w:cs="仿宋"/>
                                <w:sz w:val="24"/>
                              </w:rPr>
                              <w:t>：龙胜县城老城区市政基础设施建设项目；龙胜县寻江北岸污水管网建设工程(教厂至勒黄大桥段)；龙胜县污水管网工程(拐江大桥至高速路口段)；龙胜县老城区雨污管网整治工程；龙胜县桑江北岸片区雨污水混接整治项目。</w:t>
                            </w:r>
                          </w:p>
                          <w:p>
                            <w:pPr>
                              <w:adjustRightInd w:val="0"/>
                              <w:snapToGrid w:val="0"/>
                              <w:spacing w:line="288" w:lineRule="auto"/>
                              <w:rPr>
                                <w:rFonts w:ascii="仿宋" w:hAnsi="仿宋" w:eastAsia="仿宋" w:cs="仿宋"/>
                                <w:sz w:val="24"/>
                              </w:rPr>
                            </w:pPr>
                            <w:r>
                              <w:rPr>
                                <w:rFonts w:hint="eastAsia" w:ascii="仿宋" w:hAnsi="仿宋" w:eastAsia="仿宋" w:cs="仿宋"/>
                                <w:b/>
                                <w:bCs/>
                                <w:sz w:val="24"/>
                              </w:rPr>
                              <w:t>2.市政桥梁维护和改造：</w:t>
                            </w:r>
                            <w:r>
                              <w:rPr>
                                <w:rFonts w:hint="eastAsia" w:ascii="仿宋" w:hAnsi="仿宋" w:eastAsia="仿宋" w:cs="仿宋"/>
                                <w:sz w:val="24"/>
                              </w:rPr>
                              <w:t>龙胜县玉龙桥改建项目。</w:t>
                            </w:r>
                          </w:p>
                          <w:p>
                            <w:pPr>
                              <w:adjustRightInd w:val="0"/>
                              <w:snapToGrid w:val="0"/>
                              <w:spacing w:line="288" w:lineRule="auto"/>
                              <w:rPr>
                                <w:rFonts w:ascii="仿宋" w:hAnsi="仿宋" w:eastAsia="仿宋" w:cs="仿宋"/>
                                <w:sz w:val="24"/>
                              </w:rPr>
                            </w:pPr>
                            <w:r>
                              <w:rPr>
                                <w:rFonts w:hint="eastAsia" w:ascii="仿宋" w:hAnsi="仿宋" w:eastAsia="仿宋" w:cs="仿宋"/>
                                <w:b/>
                                <w:sz w:val="24"/>
                              </w:rPr>
                              <w:t>3.园林绿化：</w:t>
                            </w:r>
                            <w:r>
                              <w:rPr>
                                <w:rFonts w:hint="eastAsia" w:ascii="仿宋" w:hAnsi="仿宋" w:eastAsia="仿宋" w:cs="仿宋"/>
                                <w:sz w:val="24"/>
                              </w:rPr>
                              <w:t>龙胜县城沿江景观绿化建设改造项目。</w:t>
                            </w:r>
                          </w:p>
                          <w:p>
                            <w:pPr>
                              <w:adjustRightInd w:val="0"/>
                              <w:snapToGrid w:val="0"/>
                              <w:spacing w:line="288" w:lineRule="auto"/>
                              <w:rPr>
                                <w:rFonts w:ascii="仿宋" w:hAnsi="仿宋" w:eastAsia="仿宋" w:cs="仿宋"/>
                                <w:sz w:val="24"/>
                              </w:rPr>
                            </w:pPr>
                            <w:r>
                              <w:rPr>
                                <w:rFonts w:hint="eastAsia" w:ascii="仿宋" w:hAnsi="仿宋" w:eastAsia="仿宋" w:cs="仿宋"/>
                                <w:b/>
                                <w:bCs/>
                                <w:sz w:val="24"/>
                              </w:rPr>
                              <w:t>4.亮化照明节能</w:t>
                            </w:r>
                            <w:r>
                              <w:rPr>
                                <w:rFonts w:hint="eastAsia" w:ascii="仿宋" w:hAnsi="仿宋" w:eastAsia="仿宋" w:cs="仿宋"/>
                                <w:sz w:val="24"/>
                              </w:rPr>
                              <w:t>：龙胜县城景观亮化照明节能建设改造项目。</w:t>
                            </w:r>
                          </w:p>
                          <w:p>
                            <w:pPr>
                              <w:adjustRightInd w:val="0"/>
                              <w:snapToGrid w:val="0"/>
                              <w:spacing w:line="288" w:lineRule="auto"/>
                              <w:rPr>
                                <w:rFonts w:ascii="仿宋" w:hAnsi="仿宋" w:eastAsia="仿宋" w:cs="仿宋"/>
                                <w:sz w:val="24"/>
                              </w:rPr>
                            </w:pPr>
                            <w:r>
                              <w:rPr>
                                <w:rFonts w:hint="eastAsia" w:ascii="仿宋" w:hAnsi="仿宋" w:eastAsia="仿宋" w:cs="仿宋"/>
                                <w:b/>
                                <w:sz w:val="24"/>
                              </w:rPr>
                              <w:t>5.环卫设施：</w:t>
                            </w:r>
                            <w:r>
                              <w:rPr>
                                <w:rFonts w:hint="eastAsia" w:ascii="仿宋" w:hAnsi="仿宋" w:eastAsia="仿宋" w:cs="仿宋"/>
                                <w:sz w:val="24"/>
                              </w:rPr>
                              <w:t>龙脊大道垃圾中转站、龙胜县城公厕新（建）项目、龙胜县垃圾分类分拣综合处理中心项目。</w:t>
                            </w:r>
                          </w:p>
                          <w:p>
                            <w:pPr>
                              <w:adjustRightInd w:val="0"/>
                              <w:snapToGrid w:val="0"/>
                              <w:spacing w:line="288" w:lineRule="auto"/>
                              <w:rPr>
                                <w:rFonts w:ascii="仿宋" w:hAnsi="仿宋" w:eastAsia="仿宋" w:cs="仿宋"/>
                                <w:sz w:val="24"/>
                              </w:rPr>
                            </w:pPr>
                            <w:r>
                              <w:rPr>
                                <w:rFonts w:hint="eastAsia" w:ascii="仿宋" w:hAnsi="仿宋" w:eastAsia="仿宋" w:cs="仿宋"/>
                                <w:b/>
                                <w:bCs/>
                                <w:sz w:val="24"/>
                              </w:rPr>
                              <w:t>6.供气：</w:t>
                            </w:r>
                            <w:r>
                              <w:rPr>
                                <w:rFonts w:hint="eastAsia" w:ascii="仿宋" w:hAnsi="仿宋" w:eastAsia="仿宋" w:cs="仿宋"/>
                                <w:sz w:val="24"/>
                              </w:rPr>
                              <w:t>龙胜县天然气储备站和管网工程项目。</w:t>
                            </w:r>
                          </w:p>
                          <w:p>
                            <w:pPr>
                              <w:pStyle w:val="31"/>
                              <w:spacing w:line="288" w:lineRule="auto"/>
                              <w:rPr>
                                <w:rFonts w:ascii="仿宋" w:hAnsi="仿宋" w:eastAsia="仿宋" w:cs="仿宋"/>
                                <w:color w:val="auto"/>
                                <w:kern w:val="2"/>
                              </w:rPr>
                            </w:pPr>
                            <w:r>
                              <w:rPr>
                                <w:rFonts w:hint="eastAsia" w:ascii="仿宋" w:hAnsi="仿宋" w:eastAsia="仿宋" w:cs="仿宋"/>
                                <w:b/>
                                <w:bCs/>
                                <w:color w:val="auto"/>
                                <w:kern w:val="2"/>
                              </w:rPr>
                              <w:t>7.供水：</w:t>
                            </w:r>
                            <w:r>
                              <w:rPr>
                                <w:rFonts w:hint="eastAsia" w:ascii="仿宋" w:hAnsi="仿宋" w:eastAsia="仿宋" w:cs="仿宋"/>
                                <w:color w:val="auto"/>
                                <w:kern w:val="2"/>
                              </w:rPr>
                              <w:t>县城第二水厂及其管网项目。</w:t>
                            </w:r>
                          </w:p>
                          <w:p>
                            <w:pPr>
                              <w:pStyle w:val="31"/>
                              <w:spacing w:line="288" w:lineRule="auto"/>
                            </w:pPr>
                            <w:r>
                              <w:rPr>
                                <w:rFonts w:hint="eastAsia" w:ascii="仿宋" w:hAnsi="仿宋" w:eastAsia="仿宋" w:cs="仿宋"/>
                                <w:b/>
                                <w:color w:val="auto"/>
                                <w:kern w:val="2"/>
                              </w:rPr>
                              <w:t>8.智慧城市：</w:t>
                            </w:r>
                            <w:r>
                              <w:rPr>
                                <w:rFonts w:hint="eastAsia" w:ascii="仿宋" w:hAnsi="仿宋" w:eastAsia="仿宋" w:cs="仿宋"/>
                                <w:color w:val="auto"/>
                                <w:kern w:val="2"/>
                              </w:rPr>
                              <w:t>龙胜县城智慧城市建设项目。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1pt;margin-top:32.8pt;height:210.75pt;width:447.3pt;mso-wrap-distance-bottom:0pt;mso-wrap-distance-left:9pt;mso-wrap-distance-right:9pt;mso-wrap-distance-top:0pt;z-index:251660288;mso-width-relative:page;mso-height-relative:page;" fillcolor="#FFFFFF [3201]" filled="t" stroked="t" coordsize="21600,21600" o:gfxdata="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JUz+ZdUAAAAH&#10;AQAADwAAAAAAAAABACAAAAAiAAAAZHJzL2Rvd25yZXYueG1sUEsBAhQAFAAAAAgAh07iQH9RSRJY&#10;AgAAugQAAA4AAAAAAAAAAQAgAAAAJAEAAGRycy9lMm9Eb2MueG1sUEsFBgAAAAAGAAYAWQEAAO4F&#10;AAAAAA==&#10;">
                <v:fill on="t" focussize="0,0"/>
                <v:stroke weight="0.5pt" color="#000000 [3204]" joinstyle="round"/>
                <v:imagedata o:title=""/>
                <o:lock v:ext="edit" aspectratio="f"/>
                <v:textbox>
                  <w:txbxContent>
                    <w:p>
                      <w:pPr>
                        <w:adjustRightInd w:val="0"/>
                        <w:snapToGrid w:val="0"/>
                        <w:spacing w:line="288" w:lineRule="auto"/>
                        <w:rPr>
                          <w:rFonts w:ascii="仿宋" w:hAnsi="仿宋" w:eastAsia="仿宋" w:cs="仿宋"/>
                          <w:sz w:val="24"/>
                        </w:rPr>
                      </w:pPr>
                      <w:r>
                        <w:rPr>
                          <w:rFonts w:hint="eastAsia" w:ascii="仿宋" w:hAnsi="仿宋" w:eastAsia="仿宋" w:cs="仿宋"/>
                          <w:b/>
                          <w:bCs/>
                          <w:sz w:val="24"/>
                        </w:rPr>
                        <w:t>1.市政道路（含管网）</w:t>
                      </w:r>
                      <w:r>
                        <w:rPr>
                          <w:rFonts w:hint="eastAsia" w:ascii="仿宋" w:hAnsi="仿宋" w:eastAsia="仿宋" w:cs="仿宋"/>
                          <w:sz w:val="24"/>
                        </w:rPr>
                        <w:t>：龙胜县城老城区市政基础设施建设项目；龙胜县寻江北岸污水管网建设工程(教厂至勒黄大桥段)；龙胜县污水管网工程(拐江大桥至高速路口段)；龙胜县老城区雨污管网整治工程；龙胜县桑江北岸片区雨污水混接整治项目。</w:t>
                      </w:r>
                    </w:p>
                    <w:p>
                      <w:pPr>
                        <w:adjustRightInd w:val="0"/>
                        <w:snapToGrid w:val="0"/>
                        <w:spacing w:line="288" w:lineRule="auto"/>
                        <w:rPr>
                          <w:rFonts w:ascii="仿宋" w:hAnsi="仿宋" w:eastAsia="仿宋" w:cs="仿宋"/>
                          <w:sz w:val="24"/>
                        </w:rPr>
                      </w:pPr>
                      <w:r>
                        <w:rPr>
                          <w:rFonts w:hint="eastAsia" w:ascii="仿宋" w:hAnsi="仿宋" w:eastAsia="仿宋" w:cs="仿宋"/>
                          <w:b/>
                          <w:bCs/>
                          <w:sz w:val="24"/>
                        </w:rPr>
                        <w:t>2.市政桥梁维护和改造：</w:t>
                      </w:r>
                      <w:r>
                        <w:rPr>
                          <w:rFonts w:hint="eastAsia" w:ascii="仿宋" w:hAnsi="仿宋" w:eastAsia="仿宋" w:cs="仿宋"/>
                          <w:sz w:val="24"/>
                        </w:rPr>
                        <w:t>龙胜县玉龙桥改建项目。</w:t>
                      </w:r>
                    </w:p>
                    <w:p>
                      <w:pPr>
                        <w:adjustRightInd w:val="0"/>
                        <w:snapToGrid w:val="0"/>
                        <w:spacing w:line="288" w:lineRule="auto"/>
                        <w:rPr>
                          <w:rFonts w:ascii="仿宋" w:hAnsi="仿宋" w:eastAsia="仿宋" w:cs="仿宋"/>
                          <w:sz w:val="24"/>
                        </w:rPr>
                      </w:pPr>
                      <w:r>
                        <w:rPr>
                          <w:rFonts w:hint="eastAsia" w:ascii="仿宋" w:hAnsi="仿宋" w:eastAsia="仿宋" w:cs="仿宋"/>
                          <w:b/>
                          <w:sz w:val="24"/>
                        </w:rPr>
                        <w:t>3.园林绿化：</w:t>
                      </w:r>
                      <w:r>
                        <w:rPr>
                          <w:rFonts w:hint="eastAsia" w:ascii="仿宋" w:hAnsi="仿宋" w:eastAsia="仿宋" w:cs="仿宋"/>
                          <w:sz w:val="24"/>
                        </w:rPr>
                        <w:t>龙胜县城沿江景观绿化建设改造项目。</w:t>
                      </w:r>
                    </w:p>
                    <w:p>
                      <w:pPr>
                        <w:adjustRightInd w:val="0"/>
                        <w:snapToGrid w:val="0"/>
                        <w:spacing w:line="288" w:lineRule="auto"/>
                        <w:rPr>
                          <w:rFonts w:ascii="仿宋" w:hAnsi="仿宋" w:eastAsia="仿宋" w:cs="仿宋"/>
                          <w:sz w:val="24"/>
                        </w:rPr>
                      </w:pPr>
                      <w:r>
                        <w:rPr>
                          <w:rFonts w:hint="eastAsia" w:ascii="仿宋" w:hAnsi="仿宋" w:eastAsia="仿宋" w:cs="仿宋"/>
                          <w:b/>
                          <w:bCs/>
                          <w:sz w:val="24"/>
                        </w:rPr>
                        <w:t>4.亮化照明节能</w:t>
                      </w:r>
                      <w:r>
                        <w:rPr>
                          <w:rFonts w:hint="eastAsia" w:ascii="仿宋" w:hAnsi="仿宋" w:eastAsia="仿宋" w:cs="仿宋"/>
                          <w:sz w:val="24"/>
                        </w:rPr>
                        <w:t>：龙胜县城景观亮化照明节能建设改造项目。</w:t>
                      </w:r>
                    </w:p>
                    <w:p>
                      <w:pPr>
                        <w:adjustRightInd w:val="0"/>
                        <w:snapToGrid w:val="0"/>
                        <w:spacing w:line="288" w:lineRule="auto"/>
                        <w:rPr>
                          <w:rFonts w:ascii="仿宋" w:hAnsi="仿宋" w:eastAsia="仿宋" w:cs="仿宋"/>
                          <w:sz w:val="24"/>
                        </w:rPr>
                      </w:pPr>
                      <w:r>
                        <w:rPr>
                          <w:rFonts w:hint="eastAsia" w:ascii="仿宋" w:hAnsi="仿宋" w:eastAsia="仿宋" w:cs="仿宋"/>
                          <w:b/>
                          <w:sz w:val="24"/>
                        </w:rPr>
                        <w:t>5.环卫设施：</w:t>
                      </w:r>
                      <w:r>
                        <w:rPr>
                          <w:rFonts w:hint="eastAsia" w:ascii="仿宋" w:hAnsi="仿宋" w:eastAsia="仿宋" w:cs="仿宋"/>
                          <w:sz w:val="24"/>
                        </w:rPr>
                        <w:t>龙脊大道垃圾中转站、龙胜县城公厕新（建）项目、龙胜县垃圾分类分拣综合处理中心项目。</w:t>
                      </w:r>
                    </w:p>
                    <w:p>
                      <w:pPr>
                        <w:adjustRightInd w:val="0"/>
                        <w:snapToGrid w:val="0"/>
                        <w:spacing w:line="288" w:lineRule="auto"/>
                        <w:rPr>
                          <w:rFonts w:ascii="仿宋" w:hAnsi="仿宋" w:eastAsia="仿宋" w:cs="仿宋"/>
                          <w:sz w:val="24"/>
                        </w:rPr>
                      </w:pPr>
                      <w:r>
                        <w:rPr>
                          <w:rFonts w:hint="eastAsia" w:ascii="仿宋" w:hAnsi="仿宋" w:eastAsia="仿宋" w:cs="仿宋"/>
                          <w:b/>
                          <w:bCs/>
                          <w:sz w:val="24"/>
                        </w:rPr>
                        <w:t>6.供气：</w:t>
                      </w:r>
                      <w:r>
                        <w:rPr>
                          <w:rFonts w:hint="eastAsia" w:ascii="仿宋" w:hAnsi="仿宋" w:eastAsia="仿宋" w:cs="仿宋"/>
                          <w:sz w:val="24"/>
                        </w:rPr>
                        <w:t>龙胜县天然气储备站和管网工程项目。</w:t>
                      </w:r>
                    </w:p>
                    <w:p>
                      <w:pPr>
                        <w:pStyle w:val="31"/>
                        <w:spacing w:line="288" w:lineRule="auto"/>
                        <w:rPr>
                          <w:rFonts w:ascii="仿宋" w:hAnsi="仿宋" w:eastAsia="仿宋" w:cs="仿宋"/>
                          <w:color w:val="auto"/>
                          <w:kern w:val="2"/>
                        </w:rPr>
                      </w:pPr>
                      <w:r>
                        <w:rPr>
                          <w:rFonts w:hint="eastAsia" w:ascii="仿宋" w:hAnsi="仿宋" w:eastAsia="仿宋" w:cs="仿宋"/>
                          <w:b/>
                          <w:bCs/>
                          <w:color w:val="auto"/>
                          <w:kern w:val="2"/>
                        </w:rPr>
                        <w:t>7.供水：</w:t>
                      </w:r>
                      <w:r>
                        <w:rPr>
                          <w:rFonts w:hint="eastAsia" w:ascii="仿宋" w:hAnsi="仿宋" w:eastAsia="仿宋" w:cs="仿宋"/>
                          <w:color w:val="auto"/>
                          <w:kern w:val="2"/>
                        </w:rPr>
                        <w:t>县城第二水厂及其管网项目。</w:t>
                      </w:r>
                    </w:p>
                    <w:p>
                      <w:pPr>
                        <w:pStyle w:val="31"/>
                        <w:spacing w:line="288" w:lineRule="auto"/>
                      </w:pPr>
                      <w:r>
                        <w:rPr>
                          <w:rFonts w:hint="eastAsia" w:ascii="仿宋" w:hAnsi="仿宋" w:eastAsia="仿宋" w:cs="仿宋"/>
                          <w:b/>
                          <w:color w:val="auto"/>
                          <w:kern w:val="2"/>
                        </w:rPr>
                        <w:t>8.智慧城市：</w:t>
                      </w:r>
                      <w:r>
                        <w:rPr>
                          <w:rFonts w:hint="eastAsia" w:ascii="仿宋" w:hAnsi="仿宋" w:eastAsia="仿宋" w:cs="仿宋"/>
                          <w:color w:val="auto"/>
                          <w:kern w:val="2"/>
                        </w:rPr>
                        <w:t>龙胜县城智慧城市建设项目。</w:t>
                      </w:r>
                    </w:p>
                  </w:txbxContent>
                </v:textbox>
                <w10:wrap type="square"/>
              </v:shape>
            </w:pict>
          </mc:Fallback>
        </mc:AlternateContent>
      </w:r>
      <w:r>
        <w:rPr>
          <w:rFonts w:hint="eastAsia" w:ascii="仿宋_GB2312" w:hAnsi="仿宋_GB2312" w:eastAsia="仿宋_GB2312" w:cs="仿宋_GB2312"/>
          <w:b/>
          <w:bCs/>
          <w:color w:val="000000" w:themeColor="text1"/>
          <w:sz w:val="32"/>
          <w:szCs w:val="32"/>
          <w14:textFill>
            <w14:solidFill>
              <w14:schemeClr w14:val="tx1"/>
            </w14:solidFill>
          </w14:textFill>
        </w:rPr>
        <w:t>专栏8  市政基础设施重大建设工程</w:t>
      </w:r>
      <w:bookmarkStart w:id="181" w:name="_Toc61110803"/>
      <w:bookmarkStart w:id="182" w:name="_Toc31604"/>
    </w:p>
    <w:p>
      <w:pPr>
        <w:spacing w:line="560" w:lineRule="exact"/>
        <w:rPr>
          <w:color w:val="000000" w:themeColor="text1"/>
          <w14:textFill>
            <w14:solidFill>
              <w14:schemeClr w14:val="tx1"/>
            </w14:solidFill>
          </w14:textFill>
        </w:rPr>
      </w:pPr>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第二节  加速重点城镇建设</w:t>
      </w:r>
      <w:bookmarkEnd w:id="179"/>
      <w:bookmarkEnd w:id="180"/>
      <w:bookmarkEnd w:id="181"/>
      <w:bookmarkEnd w:id="182"/>
    </w:p>
    <w:p>
      <w:pPr>
        <w:spacing w:line="560" w:lineRule="exact"/>
        <w:rPr>
          <w:rFonts w:ascii="Times New Roman" w:hAnsi="Times New Roman" w:eastAsia="仿宋_GB2312" w:cs="仿宋"/>
          <w:color w:val="000000" w:themeColor="text1"/>
          <w:sz w:val="32"/>
          <w:szCs w:val="32"/>
          <w14:textFill>
            <w14:solidFill>
              <w14:schemeClr w14:val="tx1"/>
            </w14:solidFill>
          </w14:textFill>
        </w:rPr>
      </w:pPr>
    </w:p>
    <w:p>
      <w:pPr>
        <w:spacing w:line="560" w:lineRule="exact"/>
        <w:ind w:firstLine="640" w:firstLineChars="200"/>
        <w:rPr>
          <w:rFonts w:ascii="Times New Roman" w:hAnsi="Times New Roman" w:eastAsia="仿宋_GB2312" w:cs="仿宋"/>
          <w:color w:val="000000" w:themeColor="text1"/>
          <w:sz w:val="32"/>
          <w:szCs w:val="32"/>
          <w14:textFill>
            <w14:solidFill>
              <w14:schemeClr w14:val="tx1"/>
            </w14:solidFill>
          </w14:textFill>
        </w:rPr>
      </w:pPr>
      <w:r>
        <w:rPr>
          <w:rFonts w:hint="eastAsia" w:ascii="Times New Roman" w:hAnsi="Times New Roman" w:eastAsia="仿宋_GB2312" w:cs="仿宋"/>
          <w:color w:val="000000" w:themeColor="text1"/>
          <w:sz w:val="32"/>
          <w:szCs w:val="32"/>
          <w14:textFill>
            <w14:solidFill>
              <w14:schemeClr w14:val="tx1"/>
            </w14:solidFill>
          </w14:textFill>
        </w:rPr>
        <w:t>打造特色乡镇，做到规模适度、布局合理、结构协调，综合考虑城镇的资源环境承受能力和产业承载能力，以乡镇所在地为重点，加快重点城镇建设。其它各乡镇结合发展基础和潜力，按照主体功能区规划要求，遵循城镇发展规律，加快城镇基础设施和公共服务设施建设，完善小城镇服务功能。增强特色小城镇对乡村发展的支持和带动作用。重点聚焦文化旅游、商贸物流、休闲旅居康养等特色产业，促进产镇融合发展。编制示范城镇建设总体规划，拉大小城镇骨架，把特色产业作为推动重点镇加快发展的主要抓手，建设特色产业小镇。</w:t>
      </w:r>
    </w:p>
    <w:p>
      <w:pPr>
        <w:pStyle w:val="31"/>
        <w:autoSpaceDE/>
        <w:autoSpaceDN/>
        <w:adjustRightInd/>
        <w:spacing w:line="560" w:lineRule="exact"/>
        <w:jc w:val="center"/>
        <w:rPr>
          <w:rFonts w:ascii="仿宋_GB2312" w:hAnsi="仿宋_GB2312" w:eastAsia="仿宋_GB2312" w:cs="仿宋_GB2312"/>
          <w:b/>
          <w:bCs/>
          <w:color w:val="000000" w:themeColor="text1"/>
          <w:sz w:val="32"/>
          <w:szCs w:val="32"/>
          <w14:textFill>
            <w14:solidFill>
              <w14:schemeClr w14:val="tx1"/>
            </w14:solidFill>
          </w14:textFill>
        </w:rPr>
      </w:pPr>
      <w:r>
        <w:rPr>
          <w:rFonts w:hint="eastAsia" w:ascii="仿宋_GB2312" w:hAnsi="仿宋_GB2312" w:eastAsia="仿宋_GB2312" w:cs="仿宋_GB2312"/>
          <w:bCs/>
          <w:color w:val="000000" w:themeColor="text1"/>
          <w:sz w:val="32"/>
          <w:szCs w:val="32"/>
          <w14:textFill>
            <w14:solidFill>
              <w14:schemeClr w14:val="tx1"/>
            </w14:solidFill>
          </w14:textFill>
        </w:rPr>
        <mc:AlternateContent>
          <mc:Choice Requires="wps">
            <w:drawing>
              <wp:anchor distT="0" distB="0" distL="114300" distR="114300" simplePos="0" relativeHeight="251662336" behindDoc="0" locked="0" layoutInCell="1" allowOverlap="1">
                <wp:simplePos x="0" y="0"/>
                <wp:positionH relativeFrom="column">
                  <wp:posOffset>29845</wp:posOffset>
                </wp:positionH>
                <wp:positionV relativeFrom="paragraph">
                  <wp:posOffset>464820</wp:posOffset>
                </wp:positionV>
                <wp:extent cx="5734050" cy="723900"/>
                <wp:effectExtent l="0" t="0" r="19050" b="19050"/>
                <wp:wrapSquare wrapText="bothSides"/>
                <wp:docPr id="13" name="文本框 13"/>
                <wp:cNvGraphicFramePr/>
                <a:graphic xmlns:a="http://schemas.openxmlformats.org/drawingml/2006/main">
                  <a:graphicData uri="http://schemas.microsoft.com/office/word/2010/wordprocessingShape">
                    <wps:wsp>
                      <wps:cNvSpPr txBox="1"/>
                      <wps:spPr>
                        <a:xfrm>
                          <a:off x="0" y="0"/>
                          <a:ext cx="5734050" cy="7239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spacing w:line="360" w:lineRule="auto"/>
                              <w:rPr>
                                <w:rFonts w:ascii="仿宋" w:hAnsi="仿宋" w:eastAsia="仿宋" w:cs="仿宋"/>
                                <w:sz w:val="24"/>
                              </w:rPr>
                            </w:pPr>
                            <w:r>
                              <w:rPr>
                                <w:rFonts w:hint="eastAsia" w:ascii="仿宋" w:hAnsi="仿宋" w:eastAsia="仿宋" w:cs="仿宋"/>
                                <w:b/>
                                <w:bCs/>
                                <w:sz w:val="24"/>
                              </w:rPr>
                              <w:t>1.重点镇：</w:t>
                            </w:r>
                            <w:r>
                              <w:rPr>
                                <w:rFonts w:hint="eastAsia" w:ascii="仿宋" w:hAnsi="仿宋" w:eastAsia="仿宋" w:cs="仿宋"/>
                                <w:sz w:val="24"/>
                              </w:rPr>
                              <w:t>龙胜镇、龙脊镇、三门镇、瓢里镇。</w:t>
                            </w:r>
                          </w:p>
                          <w:p>
                            <w:pPr>
                              <w:pStyle w:val="31"/>
                              <w:spacing w:line="360" w:lineRule="auto"/>
                              <w:rPr>
                                <w:rFonts w:ascii="仿宋" w:hAnsi="仿宋" w:eastAsia="仿宋" w:cs="仿宋"/>
                                <w:sz w:val="28"/>
                                <w:szCs w:val="28"/>
                              </w:rPr>
                            </w:pPr>
                            <w:r>
                              <w:rPr>
                                <w:rFonts w:ascii="仿宋" w:hAnsi="仿宋" w:eastAsia="仿宋" w:cs="仿宋"/>
                                <w:b/>
                                <w:bCs/>
                                <w:color w:val="auto"/>
                                <w:kern w:val="2"/>
                              </w:rPr>
                              <w:t>2</w:t>
                            </w:r>
                            <w:r>
                              <w:rPr>
                                <w:rFonts w:hint="eastAsia" w:ascii="仿宋" w:hAnsi="仿宋" w:eastAsia="仿宋" w:cs="仿宋"/>
                                <w:b/>
                                <w:bCs/>
                                <w:color w:val="auto"/>
                                <w:kern w:val="2"/>
                              </w:rPr>
                              <w:t>.特色魅力（乡）镇：</w:t>
                            </w:r>
                            <w:r>
                              <w:rPr>
                                <w:rFonts w:hint="eastAsia" w:ascii="仿宋" w:hAnsi="仿宋" w:eastAsia="仿宋" w:cs="仿宋"/>
                              </w:rPr>
                              <w:t>平等镇、乐江镇、泗水乡、马堤乡、伟江乡、江底乡。</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5pt;margin-top:36.6pt;height:57pt;width:451.5pt;mso-wrap-distance-bottom:0pt;mso-wrap-distance-left:9pt;mso-wrap-distance-right:9pt;mso-wrap-distance-top:0pt;z-index:251662336;mso-width-relative:page;mso-height-relative:page;" fillcolor="#FFFFFF [3201]" filled="t" stroked="t" coordsize="21600,21600" o:gfxdata="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kPqvw9QAAAAI&#10;AQAADwAAAAAAAAABACAAAAAiAAAAZHJzL2Rvd25yZXYueG1sUEsBAhQAFAAAAAgAh07iQKI6srlZ&#10;AgAAuQQAAA4AAAAAAAAAAQAgAAAAIwEAAGRycy9lMm9Eb2MueG1sUEsFBgAAAAAGAAYAWQEAAO4F&#10;AAAAAA==&#10;">
                <v:fill on="t" focussize="0,0"/>
                <v:stroke weight="0.5pt" color="#000000 [3204]" joinstyle="round"/>
                <v:imagedata o:title=""/>
                <o:lock v:ext="edit" aspectratio="f"/>
                <v:textbox>
                  <w:txbxContent>
                    <w:p>
                      <w:pPr>
                        <w:spacing w:line="360" w:lineRule="auto"/>
                        <w:rPr>
                          <w:rFonts w:ascii="仿宋" w:hAnsi="仿宋" w:eastAsia="仿宋" w:cs="仿宋"/>
                          <w:sz w:val="24"/>
                        </w:rPr>
                      </w:pPr>
                      <w:r>
                        <w:rPr>
                          <w:rFonts w:hint="eastAsia" w:ascii="仿宋" w:hAnsi="仿宋" w:eastAsia="仿宋" w:cs="仿宋"/>
                          <w:b/>
                          <w:bCs/>
                          <w:sz w:val="24"/>
                        </w:rPr>
                        <w:t>1.重点镇：</w:t>
                      </w:r>
                      <w:r>
                        <w:rPr>
                          <w:rFonts w:hint="eastAsia" w:ascii="仿宋" w:hAnsi="仿宋" w:eastAsia="仿宋" w:cs="仿宋"/>
                          <w:sz w:val="24"/>
                        </w:rPr>
                        <w:t>龙胜镇、龙脊镇、三门镇、瓢里镇。</w:t>
                      </w:r>
                    </w:p>
                    <w:p>
                      <w:pPr>
                        <w:pStyle w:val="31"/>
                        <w:spacing w:line="360" w:lineRule="auto"/>
                        <w:rPr>
                          <w:rFonts w:ascii="仿宋" w:hAnsi="仿宋" w:eastAsia="仿宋" w:cs="仿宋"/>
                          <w:sz w:val="28"/>
                          <w:szCs w:val="28"/>
                        </w:rPr>
                      </w:pPr>
                      <w:r>
                        <w:rPr>
                          <w:rFonts w:ascii="仿宋" w:hAnsi="仿宋" w:eastAsia="仿宋" w:cs="仿宋"/>
                          <w:b/>
                          <w:bCs/>
                          <w:color w:val="auto"/>
                          <w:kern w:val="2"/>
                        </w:rPr>
                        <w:t>2</w:t>
                      </w:r>
                      <w:r>
                        <w:rPr>
                          <w:rFonts w:hint="eastAsia" w:ascii="仿宋" w:hAnsi="仿宋" w:eastAsia="仿宋" w:cs="仿宋"/>
                          <w:b/>
                          <w:bCs/>
                          <w:color w:val="auto"/>
                          <w:kern w:val="2"/>
                        </w:rPr>
                        <w:t>.特色魅力（乡）镇：</w:t>
                      </w:r>
                      <w:r>
                        <w:rPr>
                          <w:rFonts w:hint="eastAsia" w:ascii="仿宋" w:hAnsi="仿宋" w:eastAsia="仿宋" w:cs="仿宋"/>
                        </w:rPr>
                        <w:t>平等镇、乐江镇、泗水乡、马堤乡、伟江乡、江底乡。</w:t>
                      </w:r>
                    </w:p>
                  </w:txbxContent>
                </v:textbox>
                <w10:wrap type="square"/>
              </v:shape>
            </w:pict>
          </mc:Fallback>
        </mc:AlternateContent>
      </w:r>
      <w:r>
        <w:rPr>
          <w:rFonts w:hint="eastAsia" w:ascii="仿宋_GB2312" w:hAnsi="仿宋_GB2312" w:eastAsia="仿宋_GB2312" w:cs="仿宋_GB2312"/>
          <w:b/>
          <w:bCs/>
          <w:color w:val="000000" w:themeColor="text1"/>
          <w:sz w:val="32"/>
          <w:szCs w:val="32"/>
          <w14:textFill>
            <w14:solidFill>
              <w14:schemeClr w14:val="tx1"/>
            </w14:solidFill>
          </w14:textFill>
        </w:rPr>
        <w:t>专栏9  重点城镇及魅力城镇建设工程</w:t>
      </w:r>
    </w:p>
    <w:p>
      <w:pPr>
        <w:pStyle w:val="4"/>
        <w:keepNext w:val="0"/>
        <w:keepLines w:val="0"/>
        <w:spacing w:before="0" w:after="0" w:line="560" w:lineRule="exact"/>
        <w:ind w:firstLine="643" w:firstLineChars="200"/>
        <w:rPr>
          <w:rFonts w:ascii="仿宋_GB2312" w:hAnsi="仿宋_GB2312" w:eastAsia="仿宋_GB2312" w:cs="仿宋_GB2312"/>
          <w:bCs w:val="0"/>
          <w:color w:val="000000" w:themeColor="text1"/>
          <w14:textFill>
            <w14:solidFill>
              <w14:schemeClr w14:val="tx1"/>
            </w14:solidFill>
          </w14:textFill>
        </w:rPr>
      </w:pPr>
      <w:bookmarkStart w:id="183" w:name="_Toc61110804"/>
      <w:bookmarkStart w:id="184" w:name="_Toc24259"/>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bookmarkStart w:id="185" w:name="_Toc31132"/>
      <w:bookmarkStart w:id="186" w:name="_Toc7447"/>
      <w:r>
        <w:rPr>
          <w:rFonts w:hint="eastAsia" w:ascii="楷体_GB2312" w:hAnsi="楷体_GB2312" w:eastAsia="楷体_GB2312" w:cs="楷体_GB2312"/>
          <w:b w:val="0"/>
          <w:color w:val="000000" w:themeColor="text1"/>
          <w14:textFill>
            <w14:solidFill>
              <w14:schemeClr w14:val="tx1"/>
            </w14:solidFill>
          </w14:textFill>
        </w:rPr>
        <w:t>第三节  促进城乡联动发展</w:t>
      </w:r>
      <w:bookmarkEnd w:id="183"/>
      <w:bookmarkEnd w:id="184"/>
      <w:bookmarkEnd w:id="185"/>
      <w:bookmarkEnd w:id="186"/>
      <w:bookmarkStart w:id="187" w:name="_Toc29509"/>
    </w:p>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p>
    <w:p>
      <w:pPr>
        <w:spacing w:line="560" w:lineRule="exact"/>
        <w:ind w:firstLine="643"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（一）推进农业转移人口市民化</w:t>
      </w:r>
      <w:bookmarkEnd w:id="187"/>
      <w:r>
        <w:rPr>
          <w:rFonts w:hint="eastAsia" w:ascii="仿宋_GB2312" w:hAnsi="仿宋_GB2312" w:eastAsia="仿宋_GB2312" w:cs="仿宋_GB2312"/>
          <w:b/>
          <w:bCs/>
          <w:color w:val="000000" w:themeColor="text1"/>
          <w:sz w:val="32"/>
          <w:szCs w:val="32"/>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实施农业转移人口市民化行动、城乡统筹水平提升行动、产城融合促进行动、要素保障行动。突破城乡分割的体制机制束缚，促进城乡生产要素与资源自由流动、合理配置，逐步实现城乡居民基本权益平等化、城乡公共服务均等化、城乡居民收入均衡化、城乡要素配置合理化、城乡产业发展融合化。提升农业转移人口市民化质量。</w:t>
      </w:r>
      <w:bookmarkStart w:id="188" w:name="_Toc6514"/>
    </w:p>
    <w:p>
      <w:pPr>
        <w:spacing w:line="560" w:lineRule="exact"/>
        <w:ind w:firstLine="643"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（二）推动城乡要素合理互动</w:t>
      </w:r>
      <w:bookmarkEnd w:id="188"/>
      <w:r>
        <w:rPr>
          <w:rFonts w:hint="eastAsia" w:ascii="仿宋_GB2312" w:hAnsi="仿宋_GB2312" w:eastAsia="仿宋_GB2312" w:cs="仿宋_GB2312"/>
          <w:b/>
          <w:bCs/>
          <w:color w:val="000000" w:themeColor="text1"/>
          <w:sz w:val="32"/>
          <w:szCs w:val="32"/>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有序推进集体经营性建设用地制度改革；提升金融服务乡村振兴能力；构建以企业与资本下乡、青壮年农民工返乡、农家子弟学成回乡“三乡”为主体的乡村人才、资本汇聚机制。</w:t>
      </w:r>
    </w:p>
    <w:p>
      <w:pPr>
        <w:spacing w:line="560" w:lineRule="exact"/>
        <w:ind w:firstLine="643" w:firstLineChars="200"/>
        <w:rPr>
          <w:rFonts w:ascii="仿宋_GB2312" w:hAnsi="仿宋_GB2312" w:eastAsia="仿宋_GB2312" w:cs="仿宋_GB2312"/>
          <w:color w:val="000000" w:themeColor="text1"/>
          <w:sz w:val="32"/>
          <w:szCs w:val="32"/>
          <w14:textFill>
            <w14:solidFill>
              <w14:schemeClr w14:val="tx1"/>
            </w14:solidFill>
          </w14:textFill>
        </w:rPr>
      </w:pPr>
      <w:bookmarkStart w:id="189" w:name="_Toc1443"/>
      <w:r>
        <w:rPr>
          <w:rFonts w:hint="eastAsia" w:ascii="仿宋_GB2312" w:hAnsi="仿宋_GB2312" w:eastAsia="仿宋_GB2312" w:cs="仿宋_GB2312"/>
          <w:b/>
          <w:bCs/>
          <w:color w:val="000000" w:themeColor="text1"/>
          <w:sz w:val="32"/>
          <w:szCs w:val="32"/>
          <w14:textFill>
            <w14:solidFill>
              <w14:schemeClr w14:val="tx1"/>
            </w14:solidFill>
          </w14:textFill>
        </w:rPr>
        <w:t>（三）城乡公共服务普惠共享</w:t>
      </w:r>
      <w:bookmarkEnd w:id="189"/>
      <w:r>
        <w:rPr>
          <w:rFonts w:hint="eastAsia" w:ascii="仿宋_GB2312" w:hAnsi="仿宋_GB2312" w:eastAsia="仿宋_GB2312" w:cs="仿宋_GB2312"/>
          <w:b/>
          <w:bCs/>
          <w:color w:val="000000" w:themeColor="text1"/>
          <w:sz w:val="32"/>
          <w:szCs w:val="32"/>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推动公共服务向农村延伸、社会事业向农村覆盖，健全全民覆盖、普惠共享、城乡一体的基本公共服务体系，稳步提高城乡基本公共服务均等化水平。</w:t>
      </w:r>
    </w:p>
    <w:p>
      <w:pPr>
        <w:spacing w:line="560" w:lineRule="exact"/>
        <w:ind w:firstLine="643" w:firstLineChars="200"/>
        <w:rPr>
          <w:rFonts w:ascii="Times New Roman" w:hAnsi="Times New Roman" w:eastAsia="仿宋_GB2312" w:cs="仿宋"/>
          <w:color w:val="000000" w:themeColor="text1"/>
          <w:sz w:val="32"/>
          <w:szCs w:val="32"/>
          <w14:textFill>
            <w14:solidFill>
              <w14:schemeClr w14:val="tx1"/>
            </w14:solidFill>
          </w14:textFill>
        </w:rPr>
        <w:sectPr>
          <w:footnotePr>
            <w:numFmt w:val="decimalEnclosedCircleChinese"/>
          </w:footnotePr>
          <w:pgSz w:w="11906" w:h="16838"/>
          <w:pgMar w:top="1587" w:right="1304" w:bottom="1304" w:left="1588" w:header="851" w:footer="850" w:gutter="0"/>
          <w:cols w:space="0" w:num="1"/>
          <w:docGrid w:type="lines" w:linePitch="312" w:charSpace="0"/>
        </w:sectPr>
      </w:pPr>
      <w:r>
        <w:rPr>
          <w:rFonts w:hint="eastAsia" w:ascii="仿宋_GB2312" w:hAnsi="仿宋_GB2312" w:eastAsia="仿宋_GB2312" w:cs="仿宋_GB2312"/>
          <w:b/>
          <w:bCs/>
          <w:color w:val="000000" w:themeColor="text1"/>
          <w:sz w:val="32"/>
          <w:szCs w:val="32"/>
          <w14:textFill>
            <w14:solidFill>
              <w14:schemeClr w14:val="tx1"/>
            </w14:solidFill>
          </w14:textFill>
        </w:rPr>
        <w:t>（四）统筹城乡产业发展。</w:t>
      </w:r>
      <w:r>
        <w:rPr>
          <w:rFonts w:hint="eastAsia" w:ascii="仿宋_GB2312" w:hAnsi="仿宋_GB2312" w:eastAsia="仿宋_GB2312" w:cs="仿宋_GB2312"/>
          <w:color w:val="000000" w:themeColor="text1"/>
          <w:sz w:val="32"/>
          <w:szCs w:val="32"/>
          <w14:textFill>
            <w14:solidFill>
              <w14:schemeClr w14:val="tx1"/>
            </w14:solidFill>
          </w14:textFill>
        </w:rPr>
        <w:t>加快农村产业经济的发展，形成“以城带乡”的经济一体化发展格局；统筹社会事业发展，改善农村人居环境，大力实施“污垃”处理工程，完善景区景点、村屯相关规划，保护特色村和传统村落。引导农村住宅和居民点布局，支持农村完善村寨基础设施和公共设施，美化绿化村寨环境，推进“美丽龙胜、生态乡村”建设。</w:t>
      </w:r>
    </w:p>
    <w:p>
      <w:pPr>
        <w:pStyle w:val="4"/>
        <w:keepNext w:val="0"/>
        <w:keepLines w:val="0"/>
        <w:spacing w:before="0" w:after="0" w:line="560" w:lineRule="exact"/>
        <w:jc w:val="center"/>
        <w:rPr>
          <w:rFonts w:ascii="黑体" w:hAnsi="黑体" w:eastAsia="黑体" w:cs="黑体"/>
          <w:b w:val="0"/>
          <w:color w:val="000000" w:themeColor="text1"/>
          <w14:textFill>
            <w14:solidFill>
              <w14:schemeClr w14:val="tx1"/>
            </w14:solidFill>
          </w14:textFill>
        </w:rPr>
      </w:pPr>
      <w:bookmarkStart w:id="190" w:name="_Toc61110805"/>
      <w:bookmarkStart w:id="191" w:name="_Toc9183"/>
      <w:r>
        <w:rPr>
          <w:rFonts w:hint="eastAsia" w:ascii="黑体" w:hAnsi="黑体" w:eastAsia="黑体" w:cs="黑体"/>
          <w:b w:val="0"/>
          <w:color w:val="000000" w:themeColor="text1"/>
          <w14:textFill>
            <w14:solidFill>
              <w14:schemeClr w14:val="tx1"/>
            </w14:solidFill>
          </w14:textFill>
        </w:rPr>
        <w:t>第十章  优化营商环境</w:t>
      </w:r>
      <w:bookmarkEnd w:id="145"/>
      <w:bookmarkEnd w:id="146"/>
      <w:r>
        <w:rPr>
          <w:rFonts w:hint="eastAsia" w:ascii="黑体" w:hAnsi="黑体" w:eastAsia="黑体" w:cs="黑体"/>
          <w:b w:val="0"/>
          <w:color w:val="000000" w:themeColor="text1"/>
          <w14:textFill>
            <w14:solidFill>
              <w14:schemeClr w14:val="tx1"/>
            </w14:solidFill>
          </w14:textFill>
        </w:rPr>
        <w:t xml:space="preserve"> 加速招商引资</w:t>
      </w:r>
      <w:bookmarkEnd w:id="190"/>
      <w:bookmarkEnd w:id="191"/>
    </w:p>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p>
    <w:p>
      <w:pPr>
        <w:spacing w:line="60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明确责任主体，齐抓共管、形成合力，创新行政审批体制机制，全面推进“双容双承诺”“放管服”“简易办”等优化服务改革，对全县所有审批事项进行整合，加强和规范事中事后监督，全面实现政务平台有效整合和互联互通。健全行政执行系统，提高政府抓落实的能力，解决政策落地“最后一公里”。改善企业发展过程中的建设经营、融资、人才、税费、信用、法治等环境，营造一流的亲商、爱商、护商的营商环境，降低全社会各类营商成本。深化工程建设项目审批制度改革，完善重大项目容缺审批、联审联批等机制。实行审慎监管和综合执法，保护各类市场主体的创新权益、财产权和经营权，最大限度激发市场活力和社会创造力，增强发展动力。</w:t>
      </w:r>
      <w:bookmarkStart w:id="192" w:name="_Toc20020"/>
      <w:bookmarkStart w:id="193" w:name="_Toc9569"/>
    </w:p>
    <w:p>
      <w:pPr>
        <w:pStyle w:val="4"/>
        <w:keepNext w:val="0"/>
        <w:keepLines w:val="0"/>
        <w:spacing w:before="0" w:after="0" w:line="600" w:lineRule="exact"/>
        <w:ind w:firstLine="643" w:firstLineChars="200"/>
        <w:rPr>
          <w:rFonts w:ascii="仿宋_GB2312" w:hAnsi="仿宋_GB2312" w:eastAsia="仿宋_GB2312" w:cs="仿宋_GB2312"/>
          <w:bCs w:val="0"/>
          <w:color w:val="000000" w:themeColor="text1"/>
          <w14:textFill>
            <w14:solidFill>
              <w14:schemeClr w14:val="tx1"/>
            </w14:solidFill>
          </w14:textFill>
        </w:rPr>
      </w:pPr>
      <w:bookmarkStart w:id="194" w:name="_Toc61110806"/>
      <w:bookmarkStart w:id="195" w:name="_Toc8098"/>
    </w:p>
    <w:p>
      <w:pPr>
        <w:pStyle w:val="4"/>
        <w:keepNext w:val="0"/>
        <w:keepLines w:val="0"/>
        <w:spacing w:before="0" w:after="0" w:line="60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第一节  提升政府服务效能</w:t>
      </w:r>
      <w:bookmarkEnd w:id="192"/>
      <w:bookmarkEnd w:id="193"/>
      <w:bookmarkEnd w:id="194"/>
      <w:bookmarkEnd w:id="195"/>
    </w:p>
    <w:p>
      <w:pPr>
        <w:spacing w:line="60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p>
    <w:p>
      <w:pPr>
        <w:spacing w:line="60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完善营商环境体制机制。持续深化“放管服”改革，推进政务服务“简易办”，优化再造流程，精简各项审批办理环节，健全部门协同工作机制。统筹谋划全面招商引资工作，加强一体化平台建设，推进数据资源整合和开放共享。编制并公布政务服务事项清单，实现政务服务事项线上“一网通办”。加快水电气审批系统建设，实现与工程建设项目审批管理系统对接。推进政务信息在企业开办、缴纳税费、人才引进、招标投标等领域共享，实现企业在“一窗通”平台并联办理银行基本户开办业务，提高涉税服务事项网上办理率。提高政府服务办事效率、推进企业办理业务实现从“最多跑一次”到“一次不用跑”目标。完善各类市场主体公平竞争的法治环境，以企业需求为导向，建立健全企业对营商环境的建议、评价、反馈机制，构建健康的新型政商关系。通过电话、微信、邮件、走访等方式，主动衔接前期对接的意向投资企业，按照“保姆式”服务标准，做好各项服务工作。加强与投资方的深度沟通，设身处地帮企业解难题，想方设法为企业消顾虑，以优质亲情式服务增强企业投资信心。</w:t>
      </w:r>
      <w:bookmarkStart w:id="196" w:name="_Toc26497"/>
      <w:bookmarkStart w:id="197" w:name="_Toc1535"/>
    </w:p>
    <w:p>
      <w:pPr>
        <w:pStyle w:val="4"/>
        <w:keepNext w:val="0"/>
        <w:keepLines w:val="0"/>
        <w:spacing w:before="0" w:after="0" w:line="600" w:lineRule="exact"/>
        <w:ind w:firstLine="643" w:firstLineChars="200"/>
        <w:rPr>
          <w:rFonts w:ascii="仿宋_GB2312" w:hAnsi="仿宋_GB2312" w:eastAsia="仿宋_GB2312" w:cs="仿宋_GB2312"/>
          <w:bCs w:val="0"/>
          <w:color w:val="000000" w:themeColor="text1"/>
          <w14:textFill>
            <w14:solidFill>
              <w14:schemeClr w14:val="tx1"/>
            </w14:solidFill>
          </w14:textFill>
        </w:rPr>
      </w:pPr>
      <w:bookmarkStart w:id="198" w:name="_Toc17029"/>
      <w:bookmarkStart w:id="199" w:name="_Toc61110807"/>
    </w:p>
    <w:p>
      <w:pPr>
        <w:pStyle w:val="4"/>
        <w:keepNext w:val="0"/>
        <w:keepLines w:val="0"/>
        <w:spacing w:before="0" w:after="0" w:line="60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第二节  降低企业经营成本</w:t>
      </w:r>
      <w:bookmarkEnd w:id="196"/>
      <w:bookmarkEnd w:id="197"/>
      <w:bookmarkEnd w:id="198"/>
      <w:bookmarkEnd w:id="199"/>
    </w:p>
    <w:p>
      <w:pPr>
        <w:spacing w:line="60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p>
    <w:p>
      <w:pPr>
        <w:spacing w:line="60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主动创新作为，科学调整方式，关注国家投资政策动态，抢抓国家对民生基础项目政策倾斜机遇，贯彻落实上级出台的相关减税降费政策，减轻市场主体的税费负担，遏制违规收费行为；加强中介收费规范管理，降低中介收费。减少小微企业参与政府采购费用；严格落实供水、供电、供气、通讯、邮政等公用事业服务收费公示制度，降低企业用能成本；制定市场准入、产业发展、招商引资、招标投标、政府采购、资质标准等与市场主体生产经营活动密切相关的规范性文件；建立常态化的市场主体意见征集机制，搭建政企沟通网上平台，抓好惠企政策兑现；加大新科技项目的策划包装和招引力度，补齐龙胜新科技产业短板。</w:t>
      </w:r>
    </w:p>
    <w:p>
      <w:pPr>
        <w:pStyle w:val="4"/>
        <w:keepNext w:val="0"/>
        <w:keepLines w:val="0"/>
        <w:spacing w:before="0" w:after="0" w:line="560" w:lineRule="exact"/>
        <w:ind w:firstLine="643" w:firstLineChars="200"/>
        <w:rPr>
          <w:rFonts w:ascii="仿宋_GB2312" w:hAnsi="仿宋_GB2312" w:eastAsia="仿宋_GB2312" w:cs="仿宋_GB2312"/>
          <w:bCs w:val="0"/>
          <w:color w:val="000000" w:themeColor="text1"/>
          <w14:textFill>
            <w14:solidFill>
              <w14:schemeClr w14:val="tx1"/>
            </w14:solidFill>
          </w14:textFill>
        </w:rPr>
      </w:pPr>
      <w:bookmarkStart w:id="200" w:name="_Toc28938"/>
      <w:bookmarkStart w:id="201" w:name="_Toc61110808"/>
      <w:bookmarkStart w:id="202" w:name="_Toc16338"/>
      <w:bookmarkStart w:id="203" w:name="_Toc23584"/>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第三节  创新监管方式方法</w:t>
      </w:r>
      <w:bookmarkEnd w:id="200"/>
      <w:bookmarkEnd w:id="201"/>
      <w:bookmarkEnd w:id="202"/>
      <w:bookmarkEnd w:id="203"/>
    </w:p>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p>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完善对新业态的包容审慎监管，建立企业“容错”机制，制定对新产业、新业态、新模式首次轻微违法行为的不予处罚清单、减轻处罚清单和从轻处罚清单等“三张清单”；加强信用体系建设的广度和深度，推动各部门基础信用信息全面共享，优化完善公共信用信息系统功能，提高平台网站服务水平；完善信用评价、联合奖惩等机制，推进在审批事项和市场行为中的应用，加强社会应用需求分析和响应；构建信用为基础的新型监管机制意见的各项工作，促进信用体系建设形成创新特色。</w:t>
      </w:r>
    </w:p>
    <w:p>
      <w:pPr>
        <w:pStyle w:val="4"/>
        <w:keepNext w:val="0"/>
        <w:keepLines w:val="0"/>
        <w:spacing w:before="0" w:after="0" w:line="560" w:lineRule="exact"/>
        <w:ind w:firstLine="643" w:firstLineChars="200"/>
        <w:rPr>
          <w:rFonts w:ascii="仿宋_GB2312" w:hAnsi="仿宋_GB2312" w:eastAsia="仿宋_GB2312" w:cs="仿宋_GB2312"/>
          <w:bCs w:val="0"/>
          <w:color w:val="000000" w:themeColor="text1"/>
          <w14:textFill>
            <w14:solidFill>
              <w14:schemeClr w14:val="tx1"/>
            </w14:solidFill>
          </w14:textFill>
        </w:rPr>
      </w:pPr>
      <w:bookmarkStart w:id="204" w:name="_Toc21212"/>
      <w:bookmarkStart w:id="205" w:name="_Toc61110809"/>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第四节  加大</w:t>
      </w:r>
      <w:bookmarkEnd w:id="204"/>
      <w:r>
        <w:rPr>
          <w:rFonts w:hint="eastAsia" w:ascii="楷体_GB2312" w:hAnsi="楷体_GB2312" w:eastAsia="楷体_GB2312" w:cs="楷体_GB2312"/>
          <w:b w:val="0"/>
          <w:color w:val="000000" w:themeColor="text1"/>
          <w14:textFill>
            <w14:solidFill>
              <w14:schemeClr w14:val="tx1"/>
            </w14:solidFill>
          </w14:textFill>
        </w:rPr>
        <w:t>招商引资力度</w:t>
      </w:r>
      <w:bookmarkEnd w:id="205"/>
    </w:p>
    <w:p>
      <w:pPr>
        <w:pBdr>
          <w:top w:val="single" w:color="FFFFFF" w:sz="4" w:space="0"/>
          <w:left w:val="single" w:color="FFFFFF" w:sz="4" w:space="31"/>
          <w:bottom w:val="single" w:color="FFFFFF" w:sz="4" w:space="30"/>
          <w:right w:val="single" w:color="FFFFFF" w:sz="4" w:space="2"/>
        </w:pBd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bookmarkStart w:id="206" w:name="_Toc61110810"/>
      <w:bookmarkStart w:id="207" w:name="_Toc3191"/>
      <w:bookmarkStart w:id="208" w:name="_Toc25309"/>
      <w:bookmarkStart w:id="209" w:name="_Toc6943"/>
    </w:p>
    <w:p>
      <w:pPr>
        <w:pBdr>
          <w:top w:val="single" w:color="FFFFFF" w:sz="4" w:space="0"/>
          <w:left w:val="single" w:color="FFFFFF" w:sz="4" w:space="31"/>
          <w:bottom w:val="single" w:color="FFFFFF" w:sz="4" w:space="30"/>
          <w:right w:val="single" w:color="FFFFFF" w:sz="4" w:space="2"/>
        </w:pBd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在做好营商环境的基础上，坚持“大招商、招大商”，围绕稳链、强链、补链，精心策划滑石、“两茶两果+特色养殖”产业、旅游等主导产业招商引资项目，建立企业信息库，搭建与各类行业协会合作平台。充分利用“大数据招商云”平台，组建招商专班，创新工作机制，整合招商资源，创新招商模式，持续开展园区大招商、部门产业大招商、产业小分队大招商、驻点产业大招商、委托产业大招商“五大”行动，实现点线面结合、全方位大招商。积极对接“三企入桂”，继续把珠三角、长三角、港澳台等作为重点区域，赴广东、浙江、福建等省份开展精准招商，大力引进领军企业、关联企业、衍生企业。坚持数量、质量并重，经济效益、生态效益并重，紧盯投资实力强、产业前景好、科技水平高、安全环保优、税收贡献大的项目开展招商。强化引进项目后续跟踪服务、提高协议履约率、资金到位率、项目开工率和竣工投产率。“十四五”时期力争实现招商引资项目50个以上，力争利用招商引资到位资金年均增长达到10%以上。</w:t>
      </w:r>
    </w:p>
    <w:p>
      <w:pPr>
        <w:spacing w:line="560" w:lineRule="exact"/>
        <w:ind w:firstLine="640" w:firstLineChars="200"/>
        <w:rPr>
          <w:rFonts w:ascii="仿宋_GB2312" w:hAnsi="仿宋_GB2312" w:eastAsia="仿宋_GB2312" w:cs="仿宋_GB2312"/>
          <w:bCs/>
          <w:color w:val="000000" w:themeColor="text1"/>
          <w:sz w:val="32"/>
          <w:szCs w:val="32"/>
          <w14:textFill>
            <w14:solidFill>
              <w14:schemeClr w14:val="tx1"/>
            </w14:solidFill>
          </w14:textFill>
        </w:rPr>
      </w:pPr>
      <w:r>
        <w:rPr>
          <w:rFonts w:hint="eastAsia" w:ascii="仿宋_GB2312" w:hAnsi="仿宋_GB2312" w:eastAsia="仿宋_GB2312" w:cs="仿宋_GB2312"/>
          <w:bCs/>
          <w:color w:val="000000" w:themeColor="text1"/>
          <w:sz w:val="32"/>
          <w:szCs w:val="32"/>
          <w14:textFill>
            <w14:solidFill>
              <w14:schemeClr w14:val="tx1"/>
            </w14:solidFill>
          </w14:textFill>
        </w:rPr>
        <w:br w:type="page"/>
      </w:r>
    </w:p>
    <w:p>
      <w:pPr>
        <w:pStyle w:val="4"/>
        <w:keepNext w:val="0"/>
        <w:keepLines w:val="0"/>
        <w:spacing w:before="0" w:after="0" w:line="580" w:lineRule="exact"/>
        <w:jc w:val="center"/>
        <w:rPr>
          <w:rFonts w:ascii="黑体" w:hAnsi="黑体" w:eastAsia="黑体" w:cs="黑体"/>
          <w:b w:val="0"/>
          <w:color w:val="000000" w:themeColor="text1"/>
          <w14:textFill>
            <w14:solidFill>
              <w14:schemeClr w14:val="tx1"/>
            </w14:solidFill>
          </w14:textFill>
        </w:rPr>
      </w:pPr>
      <w:r>
        <w:rPr>
          <w:rFonts w:hint="eastAsia" w:ascii="黑体" w:hAnsi="黑体" w:eastAsia="黑体" w:cs="黑体"/>
          <w:b w:val="0"/>
          <w:color w:val="000000" w:themeColor="text1"/>
          <w14:textFill>
            <w14:solidFill>
              <w14:schemeClr w14:val="tx1"/>
            </w14:solidFill>
          </w14:textFill>
        </w:rPr>
        <w:t>第十一章  全面深化改革 构建共治体系</w:t>
      </w:r>
      <w:bookmarkEnd w:id="206"/>
      <w:bookmarkEnd w:id="207"/>
      <w:bookmarkStart w:id="210" w:name="_Toc23686"/>
    </w:p>
    <w:p>
      <w:pPr>
        <w:spacing w:line="58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p>
    <w:p>
      <w:pPr>
        <w:spacing w:line="58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扩大开放合作，激发经济社会发展活力。在“巩固、增强、提升、畅通”上下功夫，不断提升政府治理能力现代化水平，充分释放市场活力和改革红利。</w:t>
      </w:r>
      <w:bookmarkStart w:id="211" w:name="_Toc32228"/>
      <w:bookmarkStart w:id="212" w:name="_Toc5629"/>
      <w:bookmarkStart w:id="213" w:name="_Toc2785"/>
      <w:bookmarkStart w:id="214" w:name="_Toc51619404"/>
    </w:p>
    <w:p>
      <w:pPr>
        <w:pStyle w:val="4"/>
        <w:keepNext w:val="0"/>
        <w:keepLines w:val="0"/>
        <w:spacing w:before="0" w:after="0" w:line="580" w:lineRule="exact"/>
        <w:ind w:firstLine="643" w:firstLineChars="200"/>
        <w:rPr>
          <w:rFonts w:ascii="仿宋_GB2312" w:hAnsi="仿宋_GB2312" w:eastAsia="仿宋_GB2312" w:cs="仿宋_GB2312"/>
          <w:bCs w:val="0"/>
          <w:color w:val="000000" w:themeColor="text1"/>
          <w14:textFill>
            <w14:solidFill>
              <w14:schemeClr w14:val="tx1"/>
            </w14:solidFill>
          </w14:textFill>
        </w:rPr>
      </w:pPr>
      <w:bookmarkStart w:id="215" w:name="_Toc25739"/>
      <w:bookmarkStart w:id="216" w:name="_Toc61110811"/>
    </w:p>
    <w:p>
      <w:pPr>
        <w:pStyle w:val="4"/>
        <w:keepNext w:val="0"/>
        <w:keepLines w:val="0"/>
        <w:spacing w:before="0" w:after="0" w:line="58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第一节  要素资源市场化改革</w:t>
      </w:r>
      <w:bookmarkEnd w:id="211"/>
      <w:bookmarkEnd w:id="212"/>
      <w:bookmarkEnd w:id="213"/>
      <w:bookmarkEnd w:id="214"/>
      <w:bookmarkEnd w:id="215"/>
      <w:bookmarkEnd w:id="216"/>
    </w:p>
    <w:p>
      <w:pPr>
        <w:pStyle w:val="53"/>
        <w:spacing w:line="580" w:lineRule="exact"/>
        <w:ind w:firstLine="640"/>
        <w:rPr>
          <w:rFonts w:ascii="仿宋_GB2312" w:hAnsi="仿宋_GB2312" w:eastAsia="仿宋_GB2312" w:cs="仿宋_GB2312"/>
          <w:color w:val="000000" w:themeColor="text1"/>
          <w:sz w:val="32"/>
          <w:szCs w:val="32"/>
          <w14:textFill>
            <w14:solidFill>
              <w14:schemeClr w14:val="tx1"/>
            </w14:solidFill>
          </w14:textFill>
        </w:rPr>
      </w:pPr>
      <w:bookmarkStart w:id="217" w:name="_Toc51619405"/>
      <w:bookmarkStart w:id="218" w:name="_Toc5007"/>
      <w:bookmarkStart w:id="219" w:name="_Toc1820"/>
      <w:bookmarkStart w:id="220" w:name="_Toc2800"/>
    </w:p>
    <w:p>
      <w:pPr>
        <w:pStyle w:val="53"/>
        <w:spacing w:line="580" w:lineRule="exact"/>
        <w:ind w:firstLine="643"/>
        <w:rPr>
          <w:rFonts w:ascii="仿宋_GB2312" w:hAnsi="仿宋_GB2312" w:eastAsia="仿宋_GB2312" w:cs="仿宋_GB2312"/>
          <w:b/>
          <w:bCs/>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（一）创新土地要素市场</w:t>
      </w:r>
      <w:bookmarkEnd w:id="217"/>
      <w:bookmarkEnd w:id="218"/>
      <w:bookmarkEnd w:id="219"/>
      <w:bookmarkEnd w:id="220"/>
      <w:r>
        <w:rPr>
          <w:rFonts w:hint="eastAsia" w:ascii="仿宋_GB2312" w:hAnsi="仿宋_GB2312" w:eastAsia="仿宋_GB2312" w:cs="仿宋_GB2312"/>
          <w:b/>
          <w:bCs/>
          <w:color w:val="000000" w:themeColor="text1"/>
          <w:sz w:val="32"/>
          <w:szCs w:val="32"/>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土地要素市场化配置改革。加快建设城乡统一的建设用地市场，推动可连片开发区域土地依法合规整治入市，有效拓展城镇、工业及乡村振兴发展空间。优先保障城镇内部基础设施和公共服务设施用地需求，城镇空间土地主导用途为城镇建设、工业园区建设，探索实施多元化工业用地供给方式。开展工业用地“亩产效益”综合评价，倒逼落后产能和严重过剩产能退出，引导低效产业转型，提高土地利用效率。落实第二轮土地承包到期后再延长三十年政策，推进农村集体经营性建设用地、农村宅基地、征地制度等改革。农村土地集体所有制的有效实现形式，落实集体所有权、稳定农户承包权、放活土地经营权，盘活农村闲置房屋、集体建设用地、“四荒地</w:t>
      </w:r>
      <w:r>
        <w:rPr>
          <w:rFonts w:hint="eastAsia" w:ascii="仿宋_GB2312" w:hAnsi="仿宋_GB2312" w:eastAsia="仿宋_GB2312" w:cs="仿宋_GB2312"/>
          <w:color w:val="000000" w:themeColor="text1"/>
          <w:sz w:val="32"/>
          <w:szCs w:val="32"/>
          <w:vertAlign w:val="subscript"/>
          <w14:textFill>
            <w14:solidFill>
              <w14:schemeClr w14:val="tx1"/>
            </w14:solidFill>
          </w14:textFill>
        </w:rPr>
        <w:footnoteReference w:id="10"/>
      </w:r>
      <w:r>
        <w:rPr>
          <w:rFonts w:hint="eastAsia" w:ascii="仿宋_GB2312" w:hAnsi="仿宋_GB2312" w:eastAsia="仿宋_GB2312" w:cs="仿宋_GB2312"/>
          <w:color w:val="000000" w:themeColor="text1"/>
          <w:sz w:val="32"/>
          <w:szCs w:val="32"/>
          <w14:textFill>
            <w14:solidFill>
              <w14:schemeClr w14:val="tx1"/>
            </w14:solidFill>
          </w14:textFill>
        </w:rPr>
        <w:t>”、可用林场和水面等资产资源发展休闲农业、乡村旅游和健康养老。健全土地流转规范管理制度，引导承包地经营权有序流转，促进农村土地规模化经营。</w:t>
      </w:r>
    </w:p>
    <w:p>
      <w:pPr>
        <w:pStyle w:val="53"/>
        <w:spacing w:line="560" w:lineRule="exact"/>
        <w:ind w:firstLine="643"/>
        <w:rPr>
          <w:rFonts w:ascii="仿宋_GB2312" w:hAnsi="仿宋_GB2312" w:eastAsia="仿宋_GB2312" w:cs="仿宋_GB2312"/>
          <w:b/>
          <w:bCs/>
          <w:color w:val="000000" w:themeColor="text1"/>
          <w:sz w:val="32"/>
          <w:szCs w:val="32"/>
          <w14:textFill>
            <w14:solidFill>
              <w14:schemeClr w14:val="tx1"/>
            </w14:solidFill>
          </w14:textFill>
        </w:rPr>
      </w:pPr>
      <w:bookmarkStart w:id="221" w:name="_Toc7502"/>
      <w:bookmarkStart w:id="222" w:name="_Toc51619406"/>
      <w:bookmarkStart w:id="223" w:name="_Toc13335"/>
      <w:bookmarkStart w:id="224" w:name="_Toc19885"/>
      <w:r>
        <w:rPr>
          <w:rFonts w:hint="eastAsia" w:ascii="仿宋_GB2312" w:hAnsi="仿宋_GB2312" w:eastAsia="仿宋_GB2312" w:cs="仿宋_GB2312"/>
          <w:b/>
          <w:bCs/>
          <w:color w:val="000000" w:themeColor="text1"/>
          <w:sz w:val="32"/>
          <w:szCs w:val="32"/>
          <w14:textFill>
            <w14:solidFill>
              <w14:schemeClr w14:val="tx1"/>
            </w14:solidFill>
          </w14:textFill>
        </w:rPr>
        <w:t>（二）增强金融服务</w:t>
      </w:r>
      <w:bookmarkEnd w:id="221"/>
      <w:bookmarkEnd w:id="222"/>
      <w:bookmarkEnd w:id="223"/>
      <w:bookmarkEnd w:id="224"/>
      <w:r>
        <w:rPr>
          <w:rFonts w:hint="eastAsia" w:ascii="仿宋_GB2312" w:hAnsi="仿宋_GB2312" w:eastAsia="仿宋_GB2312" w:cs="仿宋_GB2312"/>
          <w:b/>
          <w:bCs/>
          <w:color w:val="000000" w:themeColor="text1"/>
          <w:sz w:val="32"/>
          <w:szCs w:val="32"/>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促进政银、政企、银企关系良性互动，健全普惠金融服务体系，完善支持小微型企业的财税金融政策。完善金融、科技、产业精准融合对接机制，用好政府投资基金、专项基金重点支持成长型中小企业、民营企业、传统产业重大技改和战略性新兴产业培育发展。引导各类专项基金重点支持成长型中小制造业企业、农村规模经营主体、传统产业重大技改、生态环保产业和战略性新兴产业培育发展。支持金融机构扩大“稳企贷”覆盖面，积极发展供应链金融。围绕企业差异化投融资需求，构建企业全生命周期的一站式金融服务。完善直接融资奖补政策，开展直接融资创新试点。提升实体经济直接融资比重，促进企业融资便利。对接政府专项债券政策，做好重大项目配套融资工作，建立健全金融风险防范处置体制机制。</w:t>
      </w:r>
    </w:p>
    <w:p>
      <w:pPr>
        <w:pStyle w:val="53"/>
        <w:spacing w:line="560" w:lineRule="exact"/>
        <w:ind w:firstLine="643"/>
        <w:rPr>
          <w:rFonts w:ascii="仿宋_GB2312" w:hAnsi="仿宋_GB2312" w:eastAsia="仿宋_GB2312" w:cs="仿宋_GB2312"/>
          <w:b/>
          <w:bCs/>
          <w:color w:val="000000" w:themeColor="text1"/>
          <w:sz w:val="32"/>
          <w:szCs w:val="32"/>
          <w14:textFill>
            <w14:solidFill>
              <w14:schemeClr w14:val="tx1"/>
            </w14:solidFill>
          </w14:textFill>
        </w:rPr>
      </w:pPr>
      <w:bookmarkStart w:id="225" w:name="_Toc31317"/>
      <w:bookmarkStart w:id="226" w:name="_Toc7723"/>
      <w:bookmarkStart w:id="227" w:name="_Toc3321"/>
      <w:bookmarkStart w:id="228" w:name="_Toc51619407"/>
      <w:r>
        <w:rPr>
          <w:rFonts w:hint="eastAsia" w:ascii="仿宋_GB2312" w:hAnsi="仿宋_GB2312" w:eastAsia="仿宋_GB2312" w:cs="仿宋_GB2312"/>
          <w:b/>
          <w:bCs/>
          <w:color w:val="000000" w:themeColor="text1"/>
          <w:sz w:val="32"/>
          <w:szCs w:val="32"/>
          <w14:textFill>
            <w14:solidFill>
              <w14:schemeClr w14:val="tx1"/>
            </w14:solidFill>
          </w14:textFill>
        </w:rPr>
        <w:t>（三）培育数据要素</w:t>
      </w:r>
      <w:bookmarkEnd w:id="225"/>
      <w:bookmarkEnd w:id="226"/>
      <w:bookmarkEnd w:id="227"/>
      <w:bookmarkEnd w:id="228"/>
      <w:r>
        <w:rPr>
          <w:rFonts w:hint="eastAsia" w:ascii="仿宋_GB2312" w:hAnsi="仿宋_GB2312" w:eastAsia="仿宋_GB2312" w:cs="仿宋_GB2312"/>
          <w:b/>
          <w:bCs/>
          <w:color w:val="000000" w:themeColor="text1"/>
          <w:sz w:val="32"/>
          <w:szCs w:val="32"/>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加强数据资源体系建设。</w:t>
      </w:r>
      <w:r>
        <w:rPr>
          <w:rFonts w:hint="eastAsia" w:ascii="仿宋_GB2312" w:hAnsi="仿宋_GB2312" w:eastAsia="仿宋_GB2312" w:cs="仿宋_GB2312"/>
          <w:b/>
          <w:color w:val="000000" w:themeColor="text1"/>
          <w:sz w:val="32"/>
          <w:szCs w:val="32"/>
          <w14:textFill>
            <w14:solidFill>
              <w14:schemeClr w14:val="tx1"/>
            </w14:solidFill>
          </w14:textFill>
        </w:rPr>
        <w:t>一是</w:t>
      </w:r>
      <w:r>
        <w:rPr>
          <w:rFonts w:hint="eastAsia" w:ascii="仿宋_GB2312" w:hAnsi="仿宋_GB2312" w:eastAsia="仿宋_GB2312" w:cs="仿宋_GB2312"/>
          <w:color w:val="000000" w:themeColor="text1"/>
          <w:sz w:val="32"/>
          <w:szCs w:val="32"/>
          <w14:textFill>
            <w14:solidFill>
              <w14:schemeClr w14:val="tx1"/>
            </w14:solidFill>
          </w14:textFill>
        </w:rPr>
        <w:t>构建数据标准体系、数据规范体系、数据管理体系、数字经济运行数据监测与任务考核体系，开发利用各类数据管理与应用的工具与平台，为数据的汇聚、流转、共享与利用奠定基础。</w:t>
      </w:r>
      <w:r>
        <w:rPr>
          <w:rFonts w:hint="eastAsia" w:ascii="仿宋_GB2312" w:hAnsi="仿宋_GB2312" w:eastAsia="仿宋_GB2312" w:cs="仿宋_GB2312"/>
          <w:b/>
          <w:color w:val="000000" w:themeColor="text1"/>
          <w:sz w:val="32"/>
          <w:szCs w:val="32"/>
          <w14:textFill>
            <w14:solidFill>
              <w14:schemeClr w14:val="tx1"/>
            </w14:solidFill>
          </w14:textFill>
        </w:rPr>
        <w:t>二是</w:t>
      </w:r>
      <w:r>
        <w:rPr>
          <w:rFonts w:hint="eastAsia" w:ascii="仿宋_GB2312" w:hAnsi="仿宋_GB2312" w:eastAsia="仿宋_GB2312" w:cs="仿宋_GB2312"/>
          <w:color w:val="000000" w:themeColor="text1"/>
          <w:sz w:val="32"/>
          <w:szCs w:val="32"/>
          <w14:textFill>
            <w14:solidFill>
              <w14:schemeClr w14:val="tx1"/>
            </w14:solidFill>
          </w14:textFill>
        </w:rPr>
        <w:t>推动数据资源汇聚、开放与共享。推动政务数据资源管理与应用规范文件出台，建立政务数据权属主体认定制度，制定数据开放共享标准，出台数据共享责任清单，加快公共数据开放平台、数据共享交换平台推广应用，推动各部门间数据共享交换，逐步推进数据资源汇聚，合理推动潜在价值大、社会需求旺盛的公共机构数据对社会开放，促进各行业的数据共享，最大限度挖掘和提升数据价值。</w:t>
      </w:r>
    </w:p>
    <w:p>
      <w:pPr>
        <w:spacing w:line="560" w:lineRule="exact"/>
        <w:ind w:firstLine="643"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color w:val="000000" w:themeColor="text1"/>
          <w:sz w:val="32"/>
          <w:szCs w:val="32"/>
          <w14:textFill>
            <w14:solidFill>
              <w14:schemeClr w14:val="tx1"/>
            </w14:solidFill>
          </w14:textFill>
        </w:rPr>
        <w:t>三是</w:t>
      </w:r>
      <w:r>
        <w:rPr>
          <w:rFonts w:hint="eastAsia" w:ascii="仿宋_GB2312" w:hAnsi="仿宋_GB2312" w:eastAsia="仿宋_GB2312" w:cs="仿宋_GB2312"/>
          <w:color w:val="000000" w:themeColor="text1"/>
          <w:sz w:val="32"/>
          <w:szCs w:val="32"/>
          <w14:textFill>
            <w14:solidFill>
              <w14:schemeClr w14:val="tx1"/>
            </w14:solidFill>
          </w14:textFill>
        </w:rPr>
        <w:t>加强数据资源整合和安全保护。探索建立数据隐私保护和安全审查制度，提高数据质量和规范性，丰富数据产品。推动完善数据分类分级安全保护制度，加强对政务数据、企业商业秘密和个人数据的保护。</w:t>
      </w:r>
    </w:p>
    <w:p>
      <w:pPr>
        <w:pStyle w:val="53"/>
        <w:spacing w:line="560" w:lineRule="exact"/>
        <w:ind w:firstLine="643"/>
        <w:rPr>
          <w:rFonts w:ascii="仿宋_GB2312" w:hAnsi="仿宋_GB2312" w:eastAsia="仿宋_GB2312" w:cs="仿宋_GB2312"/>
          <w:b/>
          <w:bCs/>
          <w:color w:val="000000" w:themeColor="text1"/>
          <w:sz w:val="32"/>
          <w:szCs w:val="32"/>
          <w14:textFill>
            <w14:solidFill>
              <w14:schemeClr w14:val="tx1"/>
            </w14:solidFill>
          </w14:textFill>
        </w:rPr>
      </w:pPr>
      <w:bookmarkStart w:id="229" w:name="_Toc17256"/>
      <w:r>
        <w:rPr>
          <w:rFonts w:hint="eastAsia" w:ascii="仿宋_GB2312" w:hAnsi="仿宋_GB2312" w:eastAsia="仿宋_GB2312" w:cs="仿宋_GB2312"/>
          <w:b/>
          <w:bCs/>
          <w:color w:val="000000" w:themeColor="text1"/>
          <w:sz w:val="32"/>
          <w:szCs w:val="32"/>
          <w14:textFill>
            <w14:solidFill>
              <w14:schemeClr w14:val="tx1"/>
            </w14:solidFill>
          </w14:textFill>
        </w:rPr>
        <w:t>（四）劳动力流动有序</w:t>
      </w:r>
      <w:bookmarkEnd w:id="229"/>
      <w:r>
        <w:rPr>
          <w:rFonts w:hint="eastAsia" w:ascii="仿宋_GB2312" w:hAnsi="仿宋_GB2312" w:eastAsia="仿宋_GB2312" w:cs="仿宋_GB2312"/>
          <w:b/>
          <w:bCs/>
          <w:color w:val="000000" w:themeColor="text1"/>
          <w:sz w:val="32"/>
          <w:szCs w:val="32"/>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深化户籍制度改革，全面放开城镇落户条件，完善户口迁移政策，简化落户手续，放宽居住证申领条件。畅通劳动力和人才社会性流动渠道。健全统一规范的人力资源市场体系，完善技术技能评价制度。以职业能力为核心制定职业标准，进一步打破户籍、地域、身份、档案、人事关系等制约，畅通非公有制经济组织、社会组织、自由职业专业技术人员职称申报渠道。</w:t>
      </w:r>
    </w:p>
    <w:p>
      <w:pPr>
        <w:pStyle w:val="53"/>
        <w:spacing w:line="560" w:lineRule="exact"/>
        <w:ind w:firstLine="643"/>
        <w:rPr>
          <w:rFonts w:ascii="仿宋_GB2312" w:hAnsi="仿宋_GB2312" w:eastAsia="仿宋_GB2312" w:cs="仿宋_GB2312"/>
          <w:b/>
          <w:bCs/>
          <w:color w:val="000000" w:themeColor="text1"/>
          <w:sz w:val="32"/>
          <w:szCs w:val="32"/>
          <w14:textFill>
            <w14:solidFill>
              <w14:schemeClr w14:val="tx1"/>
            </w14:solidFill>
          </w14:textFill>
        </w:rPr>
      </w:pPr>
      <w:bookmarkStart w:id="230" w:name="_Toc24909"/>
      <w:r>
        <w:rPr>
          <w:rFonts w:hint="eastAsia" w:ascii="仿宋_GB2312" w:hAnsi="仿宋_GB2312" w:eastAsia="仿宋_GB2312" w:cs="仿宋_GB2312"/>
          <w:b/>
          <w:bCs/>
          <w:color w:val="000000" w:themeColor="text1"/>
          <w:sz w:val="32"/>
          <w:szCs w:val="32"/>
          <w14:textFill>
            <w14:solidFill>
              <w14:schemeClr w14:val="tx1"/>
            </w14:solidFill>
          </w14:textFill>
        </w:rPr>
        <w:t>（五）技术要素市场</w:t>
      </w:r>
      <w:bookmarkEnd w:id="230"/>
      <w:r>
        <w:rPr>
          <w:rFonts w:hint="eastAsia" w:ascii="仿宋_GB2312" w:hAnsi="仿宋_GB2312" w:eastAsia="仿宋_GB2312" w:cs="仿宋_GB2312"/>
          <w:b/>
          <w:bCs/>
          <w:color w:val="000000" w:themeColor="text1"/>
          <w:sz w:val="32"/>
          <w:szCs w:val="32"/>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健全职务科技成果产权制度。完善职务科技成果转化收益分配制度、科技创新资源配置方式以及完善科技计划管理体系。鼓励自筹经费参与科研项目实施，激励全社会加大研发投入。扩大科研项目经费使用包干制试点，在技术攻关类和成果转化类等项目中试行揭榜制。推进技术转移人才培养基地建设，支持各类技术人员兼职从事技术转移工作，加大市场化、专业化技术经理人培养。</w:t>
      </w:r>
    </w:p>
    <w:p>
      <w:pPr>
        <w:pStyle w:val="4"/>
        <w:keepNext w:val="0"/>
        <w:keepLines w:val="0"/>
        <w:spacing w:before="0" w:after="0" w:line="560" w:lineRule="exact"/>
        <w:ind w:firstLine="643" w:firstLineChars="200"/>
        <w:rPr>
          <w:rFonts w:ascii="仿宋_GB2312" w:hAnsi="仿宋_GB2312" w:eastAsia="仿宋_GB2312" w:cs="仿宋_GB2312"/>
          <w:bCs w:val="0"/>
          <w:color w:val="000000" w:themeColor="text1"/>
          <w14:textFill>
            <w14:solidFill>
              <w14:schemeClr w14:val="tx1"/>
            </w14:solidFill>
          </w14:textFill>
        </w:rPr>
      </w:pPr>
      <w:bookmarkStart w:id="231" w:name="_Toc22047"/>
      <w:bookmarkStart w:id="232" w:name="_Toc24545"/>
      <w:bookmarkStart w:id="233" w:name="_Toc28861"/>
      <w:bookmarkStart w:id="234" w:name="_Toc61110812"/>
      <w:bookmarkStart w:id="235" w:name="_Toc31752"/>
      <w:bookmarkStart w:id="236" w:name="_Toc51619409"/>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第二节  推进重点领域改革</w:t>
      </w:r>
      <w:bookmarkEnd w:id="231"/>
      <w:bookmarkEnd w:id="232"/>
      <w:bookmarkEnd w:id="233"/>
      <w:bookmarkEnd w:id="234"/>
      <w:bookmarkEnd w:id="235"/>
      <w:bookmarkEnd w:id="236"/>
    </w:p>
    <w:p>
      <w:pPr>
        <w:pStyle w:val="56"/>
        <w:spacing w:line="560" w:lineRule="exact"/>
        <w:ind w:firstLine="640"/>
        <w:rPr>
          <w:rFonts w:ascii="仿宋_GB2312" w:hAnsi="仿宋_GB2312" w:eastAsia="仿宋_GB2312" w:cs="仿宋_GB2312"/>
          <w:color w:val="000000" w:themeColor="text1"/>
          <w:sz w:val="32"/>
          <w:szCs w:val="32"/>
          <w14:textFill>
            <w14:solidFill>
              <w14:schemeClr w14:val="tx1"/>
            </w14:solidFill>
          </w14:textFill>
        </w:rPr>
      </w:pPr>
      <w:bookmarkStart w:id="237" w:name="_Toc25917"/>
      <w:bookmarkStart w:id="238" w:name="_Toc32119"/>
      <w:bookmarkStart w:id="239" w:name="_Toc24385"/>
      <w:bookmarkStart w:id="240" w:name="_Toc51619410"/>
    </w:p>
    <w:p>
      <w:pPr>
        <w:pStyle w:val="56"/>
        <w:spacing w:line="560" w:lineRule="exact"/>
        <w:ind w:firstLine="643"/>
        <w:rPr>
          <w:rFonts w:ascii="仿宋_GB2312" w:hAnsi="仿宋_GB2312" w:eastAsia="仿宋_GB2312" w:cs="仿宋_GB2312"/>
          <w:b/>
          <w:bCs/>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（一）深化财税体制改革</w:t>
      </w:r>
      <w:bookmarkEnd w:id="237"/>
      <w:bookmarkEnd w:id="238"/>
      <w:bookmarkEnd w:id="239"/>
      <w:bookmarkEnd w:id="240"/>
      <w:r>
        <w:rPr>
          <w:rFonts w:hint="eastAsia" w:ascii="仿宋_GB2312" w:hAnsi="仿宋_GB2312" w:eastAsia="仿宋_GB2312" w:cs="仿宋_GB2312"/>
          <w:b/>
          <w:bCs/>
          <w:color w:val="000000" w:themeColor="text1"/>
          <w:sz w:val="32"/>
          <w:szCs w:val="32"/>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完善政府采购，实施电子化政府采购“政采云”平台建设，促进政府采购领域公平竞争、优化营商环境，严格执行公平竞争审查制度；推进财政项目预结算评审工作，强化评审政策落实；推进财政信息公开，通过报纸、网络等媒体公开县本级预决算和部门预决算；推进预算绩效管理，拓展绩效评价的广度和深度，提高财政资金支出绩效；推行国库集中支付电子化改革，减少部门财务违规操支付，建立起“安全网”。</w:t>
      </w:r>
    </w:p>
    <w:p>
      <w:pPr>
        <w:pStyle w:val="56"/>
        <w:spacing w:line="560" w:lineRule="exact"/>
        <w:ind w:firstLine="643"/>
        <w:rPr>
          <w:rFonts w:ascii="仿宋_GB2312" w:hAnsi="仿宋_GB2312" w:eastAsia="仿宋_GB2312" w:cs="仿宋_GB2312"/>
          <w:b/>
          <w:bCs/>
          <w:color w:val="000000" w:themeColor="text1"/>
          <w:sz w:val="32"/>
          <w:szCs w:val="32"/>
          <w14:textFill>
            <w14:solidFill>
              <w14:schemeClr w14:val="tx1"/>
            </w14:solidFill>
          </w14:textFill>
        </w:rPr>
      </w:pPr>
      <w:bookmarkStart w:id="241" w:name="_Toc32118"/>
      <w:bookmarkStart w:id="242" w:name="_Toc26187"/>
      <w:bookmarkStart w:id="243" w:name="_Toc51619411"/>
      <w:bookmarkStart w:id="244" w:name="_Toc8359"/>
      <w:r>
        <w:rPr>
          <w:rFonts w:hint="eastAsia" w:ascii="仿宋_GB2312" w:hAnsi="仿宋_GB2312" w:eastAsia="仿宋_GB2312" w:cs="仿宋_GB2312"/>
          <w:b/>
          <w:bCs/>
          <w:color w:val="000000" w:themeColor="text1"/>
          <w:sz w:val="32"/>
          <w:szCs w:val="32"/>
          <w14:textFill>
            <w14:solidFill>
              <w14:schemeClr w14:val="tx1"/>
            </w14:solidFill>
          </w14:textFill>
        </w:rPr>
        <w:t>（二）深化投融资体制改革</w:t>
      </w:r>
      <w:bookmarkEnd w:id="241"/>
      <w:bookmarkEnd w:id="242"/>
      <w:bookmarkEnd w:id="243"/>
      <w:bookmarkEnd w:id="244"/>
      <w:r>
        <w:rPr>
          <w:rFonts w:hint="eastAsia" w:ascii="仿宋_GB2312" w:hAnsi="仿宋_GB2312" w:eastAsia="仿宋_GB2312" w:cs="仿宋_GB2312"/>
          <w:b/>
          <w:bCs/>
          <w:color w:val="000000" w:themeColor="text1"/>
          <w:sz w:val="32"/>
          <w:szCs w:val="32"/>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深化投融资体制改革。发挥好政府投资的引导和带动作用，吸引社会资金参与县城和重点乡镇扩容提质、乡村振兴、社会民生事业、重大基础设施项目建设。多管齐下改革投融资体制，发挥好政府投资的引导和带动作用，激活民间投资，鼓励民间资本参与基础设施补短板重点领域建设，确立企业投资主体地位，吸引更多社会资金参与中心城区扩容提质、乡村振兴、社会民生事业、重大基础设施项目建设；建立健全金融服务实体经济体制机制，搭建新型金融发展平台，构建市、区、县联动的新型政策性融资担保体系，缓解中小企业融资难、融资贵等问题。健全地方金融风险监测、预警和处置机制；推动政府和社会资本合作（PPP）项目融资建设，积极引入新型融资工具，根据不同项目的特点，选取不同的投融资模式。</w:t>
      </w:r>
      <w:bookmarkStart w:id="245" w:name="_Toc11402"/>
      <w:bookmarkStart w:id="246" w:name="_Toc51619412"/>
      <w:bookmarkStart w:id="247" w:name="_Toc9448"/>
      <w:r>
        <w:rPr>
          <w:rFonts w:hint="eastAsia" w:ascii="仿宋_GB2312" w:hAnsi="仿宋_GB2312" w:eastAsia="仿宋_GB2312" w:cs="仿宋_GB2312"/>
          <w:color w:val="000000" w:themeColor="text1"/>
          <w:sz w:val="32"/>
          <w:szCs w:val="32"/>
          <w14:textFill>
            <w14:solidFill>
              <w14:schemeClr w14:val="tx1"/>
            </w14:solidFill>
          </w14:textFill>
        </w:rPr>
        <w:t>有效利用国外优惠贷款，支持生态修复、环境保护、职业教育等项目建设，推动龙胜企业与外资企业开展投资、品牌与技术合作。</w:t>
      </w:r>
      <w:bookmarkEnd w:id="245"/>
      <w:bookmarkEnd w:id="246"/>
      <w:bookmarkEnd w:id="247"/>
      <w:bookmarkStart w:id="248" w:name="_Toc5922"/>
      <w:bookmarkStart w:id="249" w:name="_Toc51619413"/>
      <w:bookmarkStart w:id="250" w:name="_Toc25400"/>
      <w:bookmarkStart w:id="251" w:name="_Toc16295"/>
    </w:p>
    <w:p>
      <w:pPr>
        <w:pStyle w:val="56"/>
        <w:spacing w:line="560" w:lineRule="exact"/>
        <w:ind w:firstLine="643"/>
        <w:rPr>
          <w:rFonts w:ascii="仿宋_GB2312" w:hAnsi="仿宋_GB2312" w:eastAsia="仿宋_GB2312" w:cs="仿宋_GB2312"/>
          <w:b/>
          <w:bCs/>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（三）激活非公经济</w:t>
      </w:r>
      <w:bookmarkEnd w:id="248"/>
      <w:bookmarkEnd w:id="249"/>
      <w:bookmarkEnd w:id="250"/>
      <w:bookmarkEnd w:id="251"/>
      <w:r>
        <w:rPr>
          <w:rFonts w:hint="eastAsia" w:ascii="仿宋_GB2312" w:hAnsi="仿宋_GB2312" w:eastAsia="仿宋_GB2312" w:cs="仿宋_GB2312"/>
          <w:b/>
          <w:bCs/>
          <w:color w:val="000000" w:themeColor="text1"/>
          <w:sz w:val="32"/>
          <w:szCs w:val="32"/>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建立公平开放透明的市场规则，实行统一的市场准入制度，清理和废除妨碍统一市场和公平竞争的规定和做法。实施市场准入负面清单制度，拓宽民间投资的领域和范围，充分合理考虑个体、民营、外资企业的合法权益和合理诉求。健全现代产权制度，推进产权保护法制化，依法保护各种所有制经济产权和合法利益。完善现代市场体系，形成企业自主经营、公平竞争，消费者自由选择、自主消费，商品和要素自由流动、平等交换的现代市场体系，清除各类市场壁垒，提高资源配置效率和公平性。鼓励民营企业、外资企业依法进入能源、交通、水利、电信、教育、文化等行业和领域，全面推行以竞争性方式确定项目投资主体，平等享受市场准入待遇和公共服务资源、公平获得生产要素。</w:t>
      </w:r>
    </w:p>
    <w:p>
      <w:pPr>
        <w:pStyle w:val="4"/>
        <w:keepNext w:val="0"/>
        <w:keepLines w:val="0"/>
        <w:spacing w:before="0" w:after="0" w:line="560" w:lineRule="exact"/>
        <w:ind w:firstLine="643" w:firstLineChars="200"/>
        <w:rPr>
          <w:rFonts w:ascii="仿宋_GB2312" w:hAnsi="仿宋_GB2312" w:eastAsia="仿宋_GB2312" w:cs="仿宋_GB2312"/>
          <w:bCs w:val="0"/>
          <w:color w:val="000000" w:themeColor="text1"/>
          <w14:textFill>
            <w14:solidFill>
              <w14:schemeClr w14:val="tx1"/>
            </w14:solidFill>
          </w14:textFill>
        </w:rPr>
      </w:pPr>
      <w:bookmarkStart w:id="252" w:name="_Toc61110813"/>
      <w:bookmarkStart w:id="253" w:name="_Toc30956"/>
      <w:bookmarkStart w:id="254" w:name="_Toc51619414"/>
      <w:bookmarkStart w:id="255" w:name="_Toc18821"/>
      <w:bookmarkStart w:id="256" w:name="_Toc21476"/>
      <w:bookmarkStart w:id="257" w:name="_Toc11509"/>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第三节  提升政府治理能力</w:t>
      </w:r>
      <w:bookmarkEnd w:id="252"/>
      <w:bookmarkEnd w:id="253"/>
      <w:bookmarkEnd w:id="254"/>
      <w:bookmarkEnd w:id="255"/>
      <w:bookmarkEnd w:id="256"/>
      <w:bookmarkEnd w:id="257"/>
    </w:p>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bookmarkStart w:id="258" w:name="_Toc29198"/>
      <w:bookmarkStart w:id="259" w:name="_Toc13651"/>
      <w:bookmarkStart w:id="260" w:name="_Toc10375"/>
      <w:bookmarkStart w:id="261" w:name="_Toc51619415"/>
    </w:p>
    <w:p>
      <w:pPr>
        <w:spacing w:line="560" w:lineRule="exact"/>
        <w:ind w:firstLine="643"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（一）提高政府治理效能。</w:t>
      </w:r>
      <w:r>
        <w:rPr>
          <w:rFonts w:hint="eastAsia" w:ascii="仿宋_GB2312" w:hAnsi="仿宋_GB2312" w:eastAsia="仿宋_GB2312" w:cs="仿宋_GB2312"/>
          <w:color w:val="000000" w:themeColor="text1"/>
          <w:sz w:val="32"/>
          <w:szCs w:val="32"/>
          <w14:textFill>
            <w14:solidFill>
              <w14:schemeClr w14:val="tx1"/>
            </w14:solidFill>
          </w14:textFill>
        </w:rPr>
        <w:t>转变政府治理理念、创新行政方式、优化行政流程，正确履行政府职能，处理好政府和市场的关系，提高政府施政能力和水平，建设人民满意的服务型政府。</w:t>
      </w:r>
    </w:p>
    <w:p>
      <w:pPr>
        <w:spacing w:line="560" w:lineRule="exact"/>
        <w:ind w:firstLine="643"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（二）健全公共安全体系。</w:t>
      </w:r>
      <w:r>
        <w:rPr>
          <w:rFonts w:hint="eastAsia" w:ascii="仿宋_GB2312" w:hAnsi="仿宋_GB2312" w:eastAsia="仿宋_GB2312" w:cs="仿宋_GB2312"/>
          <w:color w:val="000000" w:themeColor="text1"/>
          <w:sz w:val="32"/>
          <w:szCs w:val="32"/>
          <w14:textFill>
            <w14:solidFill>
              <w14:schemeClr w14:val="tx1"/>
            </w14:solidFill>
          </w14:textFill>
        </w:rPr>
        <w:t>建立立体化、信息化社会治安防控体系，大力推进雪亮工程等政法基础设施建设，依法严厉打击各类违法活动。</w:t>
      </w:r>
    </w:p>
    <w:p>
      <w:pPr>
        <w:pStyle w:val="31"/>
        <w:autoSpaceDE/>
        <w:autoSpaceDN/>
        <w:adjustRightInd/>
        <w:spacing w:line="560" w:lineRule="exact"/>
        <w:ind w:firstLine="643" w:firstLineChars="200"/>
        <w:jc w:val="both"/>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kern w:val="2"/>
          <w:sz w:val="32"/>
          <w:szCs w:val="32"/>
          <w14:textFill>
            <w14:solidFill>
              <w14:schemeClr w14:val="tx1"/>
            </w14:solidFill>
          </w14:textFill>
        </w:rPr>
        <w:t>（三）提升应急和防灾减灾能力。</w:t>
      </w:r>
      <w:r>
        <w:rPr>
          <w:rFonts w:hint="eastAsia" w:ascii="仿宋_GB2312" w:hAnsi="仿宋_GB2312" w:eastAsia="仿宋_GB2312" w:cs="仿宋_GB2312"/>
          <w:color w:val="000000" w:themeColor="text1"/>
          <w:sz w:val="32"/>
          <w:szCs w:val="32"/>
          <w14:textFill>
            <w14:solidFill>
              <w14:schemeClr w14:val="tx1"/>
            </w14:solidFill>
          </w14:textFill>
        </w:rPr>
        <w:t>完善防灾减灾救灾和应急管理体制机制，加强综合应急基础设施和救援队伍建设，全面提升各类灾害事故的应急救援能力。</w:t>
      </w:r>
      <w:r>
        <w:rPr>
          <w:rFonts w:hint="eastAsia" w:ascii="仿宋_GB2312" w:hAnsi="仿宋_GB2312" w:eastAsia="仿宋_GB2312" w:cs="仿宋_GB2312"/>
          <w:color w:val="000000" w:themeColor="text1"/>
          <w:kern w:val="2"/>
          <w:sz w:val="32"/>
          <w:szCs w:val="32"/>
          <w14:textFill>
            <w14:solidFill>
              <w14:schemeClr w14:val="tx1"/>
            </w14:solidFill>
          </w14:textFill>
        </w:rPr>
        <w:t>结合人防进行城市建设，完善人防相关设施，建立人民防空体系，保障战时人民生命财产安全。</w:t>
      </w:r>
    </w:p>
    <w:p>
      <w:pPr>
        <w:spacing w:line="560" w:lineRule="exact"/>
        <w:ind w:firstLine="643" w:firstLineChars="200"/>
        <w:rPr>
          <w:rFonts w:ascii="仿宋_GB2312" w:hAnsi="仿宋_GB2312" w:eastAsia="仿宋_GB2312" w:cs="仿宋_GB2312"/>
          <w:color w:val="000000" w:themeColor="text1"/>
          <w:sz w:val="32"/>
          <w:szCs w:val="32"/>
          <w14:textFill>
            <w14:solidFill>
              <w14:schemeClr w14:val="tx1"/>
            </w14:solidFill>
          </w14:textFill>
        </w:rPr>
        <w:sectPr>
          <w:footnotePr>
            <w:numFmt w:val="decimalEnclosedCircleChinese"/>
          </w:footnotePr>
          <w:pgSz w:w="11906" w:h="16838"/>
          <w:pgMar w:top="1587" w:right="1304" w:bottom="1304" w:left="1587" w:header="851" w:footer="850" w:gutter="0"/>
          <w:cols w:space="0" w:num="1"/>
          <w:docGrid w:type="lines" w:linePitch="312" w:charSpace="0"/>
        </w:sectPr>
      </w:pPr>
      <w:r>
        <w:rPr>
          <w:rFonts w:hint="eastAsia" w:ascii="仿宋_GB2312" w:hAnsi="仿宋_GB2312" w:eastAsia="仿宋_GB2312" w:cs="仿宋_GB2312"/>
          <w:b/>
          <w:bCs/>
          <w:color w:val="000000" w:themeColor="text1"/>
          <w:sz w:val="32"/>
          <w:szCs w:val="32"/>
          <w14:textFill>
            <w14:solidFill>
              <w14:schemeClr w14:val="tx1"/>
            </w14:solidFill>
          </w14:textFill>
        </w:rPr>
        <w:t>（四）支持国防和军队建设。</w:t>
      </w:r>
      <w:r>
        <w:rPr>
          <w:rFonts w:hint="eastAsia" w:ascii="仿宋_GB2312" w:hAnsi="仿宋_GB2312" w:eastAsia="仿宋_GB2312" w:cs="仿宋_GB2312"/>
          <w:color w:val="000000" w:themeColor="text1"/>
          <w:sz w:val="32"/>
          <w:szCs w:val="32"/>
          <w14:textFill>
            <w14:solidFill>
              <w14:schemeClr w14:val="tx1"/>
            </w14:solidFill>
          </w14:textFill>
        </w:rPr>
        <w:t>全面落实军事政策制度改革有关法律法规，助力驻龙胜军队部队现代化建设和练兵备战，聚力完善国防动员体系。贯彻党管武装根本原则，巩固深化民兵调整改革成果，落实军人军属和民兵待遇保障政策，推动军民融合深度发展，巩固军政军民团结。加强国防动员力量建设，提高国防动员各类专业保障队伍建设质量。加强国家安全人民防线建设，增强全民国家安全意识，提高防范抵御国家安全风险能力。</w:t>
      </w:r>
    </w:p>
    <w:bookmarkEnd w:id="210"/>
    <w:bookmarkEnd w:id="258"/>
    <w:bookmarkEnd w:id="259"/>
    <w:bookmarkEnd w:id="260"/>
    <w:bookmarkEnd w:id="261"/>
    <w:p>
      <w:pPr>
        <w:pStyle w:val="4"/>
        <w:keepNext w:val="0"/>
        <w:keepLines w:val="0"/>
        <w:spacing w:before="0" w:after="0" w:line="560" w:lineRule="exact"/>
        <w:jc w:val="center"/>
        <w:rPr>
          <w:rFonts w:ascii="黑体" w:hAnsi="黑体" w:eastAsia="黑体" w:cs="黑体"/>
          <w:b w:val="0"/>
          <w:color w:val="000000" w:themeColor="text1"/>
          <w14:textFill>
            <w14:solidFill>
              <w14:schemeClr w14:val="tx1"/>
            </w14:solidFill>
          </w14:textFill>
        </w:rPr>
      </w:pPr>
      <w:bookmarkStart w:id="262" w:name="_Toc61110814"/>
      <w:bookmarkStart w:id="263" w:name="_Toc26496"/>
      <w:r>
        <w:rPr>
          <w:rFonts w:hint="eastAsia" w:ascii="黑体" w:hAnsi="黑体" w:eastAsia="黑体" w:cs="黑体"/>
          <w:b w:val="0"/>
          <w:color w:val="000000" w:themeColor="text1"/>
          <w14:textFill>
            <w14:solidFill>
              <w14:schemeClr w14:val="tx1"/>
            </w14:solidFill>
          </w14:textFill>
        </w:rPr>
        <w:t>第十二章  打造服务集聚 提升服务水平</w:t>
      </w:r>
      <w:bookmarkEnd w:id="262"/>
      <w:bookmarkEnd w:id="263"/>
    </w:p>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p>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坚持“生态立县，绿色发展”理念，积极创建全域旅游示范区、打造国际旅游目的地和旅游康养示范基地。发展生态旅游、休闲度假、康养运动、农耕文化、民俗文化、红色文化、康养文化等促进旅游转型；发展生态工农业、商贸、现代物流、科教信息等服务业。以高端要素集聚、产城融合发展、国际合作共建、服务功能升级为导向，建设具有特色现代服务业集聚区，拓展服务领域，提升服务业层次和水平，推进龙胜与粤桂黔湘、港澳台及东盟各国等地区和国际现代服务业领域的交流与合作，健全现代服务业体系，增强龙胜服务业竞争力。全县服务业增加值力争年均增长6.0%以上。</w:t>
      </w:r>
    </w:p>
    <w:p>
      <w:pPr>
        <w:pStyle w:val="4"/>
        <w:keepNext w:val="0"/>
        <w:keepLines w:val="0"/>
        <w:spacing w:before="0" w:after="0" w:line="560" w:lineRule="exact"/>
        <w:ind w:firstLine="643" w:firstLineChars="200"/>
        <w:rPr>
          <w:rFonts w:ascii="仿宋_GB2312" w:hAnsi="仿宋_GB2312" w:eastAsia="仿宋_GB2312" w:cs="仿宋_GB2312"/>
          <w:bCs w:val="0"/>
          <w:color w:val="000000" w:themeColor="text1"/>
          <w14:textFill>
            <w14:solidFill>
              <w14:schemeClr w14:val="tx1"/>
            </w14:solidFill>
          </w14:textFill>
        </w:rPr>
      </w:pPr>
      <w:bookmarkStart w:id="264" w:name="_Toc14037"/>
      <w:bookmarkStart w:id="265" w:name="_Toc5585"/>
      <w:bookmarkStart w:id="266" w:name="_Toc21393"/>
      <w:bookmarkStart w:id="267" w:name="_Toc13913"/>
      <w:bookmarkStart w:id="268" w:name="_Toc26134"/>
      <w:bookmarkStart w:id="269" w:name="_Toc7692"/>
      <w:bookmarkStart w:id="270" w:name="_Toc61110815"/>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 xml:space="preserve">第一节 </w:t>
      </w:r>
      <w:bookmarkEnd w:id="264"/>
      <w:bookmarkEnd w:id="265"/>
      <w:bookmarkEnd w:id="266"/>
      <w:bookmarkEnd w:id="267"/>
      <w:bookmarkEnd w:id="268"/>
      <w:bookmarkStart w:id="271" w:name="_Hlk27428968"/>
      <w:bookmarkStart w:id="272" w:name="_Toc18302"/>
      <w:bookmarkStart w:id="273" w:name="_Toc27680978"/>
      <w:bookmarkStart w:id="274" w:name="_Toc30085489"/>
      <w:bookmarkStart w:id="275" w:name="_Toc17274"/>
      <w:bookmarkStart w:id="276" w:name="_Toc18341"/>
      <w:bookmarkStart w:id="277" w:name="_Toc27681134"/>
      <w:bookmarkStart w:id="278" w:name="_Toc32104"/>
      <w:bookmarkStart w:id="279" w:name="_Toc29322"/>
      <w:bookmarkStart w:id="280" w:name="_Toc27471869"/>
      <w:r>
        <w:rPr>
          <w:rFonts w:hint="eastAsia" w:ascii="楷体_GB2312" w:hAnsi="楷体_GB2312" w:eastAsia="楷体_GB2312" w:cs="楷体_GB2312"/>
          <w:b w:val="0"/>
          <w:color w:val="000000" w:themeColor="text1"/>
          <w14:textFill>
            <w14:solidFill>
              <w14:schemeClr w14:val="tx1"/>
            </w14:solidFill>
          </w14:textFill>
        </w:rPr>
        <w:t xml:space="preserve"> 增强生产服务业竞争力</w:t>
      </w:r>
      <w:bookmarkEnd w:id="269"/>
      <w:bookmarkEnd w:id="270"/>
    </w:p>
    <w:bookmarkEnd w:id="271"/>
    <w:bookmarkEnd w:id="272"/>
    <w:bookmarkEnd w:id="273"/>
    <w:bookmarkEnd w:id="274"/>
    <w:bookmarkEnd w:id="275"/>
    <w:bookmarkEnd w:id="276"/>
    <w:bookmarkEnd w:id="277"/>
    <w:bookmarkEnd w:id="278"/>
    <w:bookmarkEnd w:id="279"/>
    <w:bookmarkEnd w:id="280"/>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p>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发展生产性服务业，培育商贸物流、冷链物流、供应链物流、电商快递物流等业态，打造龙胜物流中心，发展具备区域物流集聚辐射能力的物流产业集群，为区域性商贸活动、消费需求提供商品仓储、联运、分拨配送等物流服务。支持物流企业深化信息化、智能化改造升级。</w:t>
      </w:r>
    </w:p>
    <w:p>
      <w:pPr>
        <w:spacing w:line="560" w:lineRule="exact"/>
        <w:ind w:firstLine="643" w:firstLineChars="200"/>
        <w:rPr>
          <w:rFonts w:ascii="仿宋_GB2312" w:hAnsi="仿宋_GB2312" w:eastAsia="仿宋_GB2312" w:cs="仿宋_GB2312"/>
          <w:b/>
          <w:bCs/>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（一）发展商务服务业。</w:t>
      </w:r>
      <w:r>
        <w:rPr>
          <w:rFonts w:hint="eastAsia" w:ascii="仿宋_GB2312" w:hAnsi="仿宋_GB2312" w:eastAsia="仿宋_GB2312" w:cs="仿宋_GB2312"/>
          <w:color w:val="000000" w:themeColor="text1"/>
          <w:sz w:val="32"/>
          <w:szCs w:val="32"/>
          <w14:textFill>
            <w14:solidFill>
              <w14:schemeClr w14:val="tx1"/>
            </w14:solidFill>
          </w14:textFill>
        </w:rPr>
        <w:t>推进先进一、二产业与现代服务业深度融合，发展供应链、平台经济、工业互联网创新应用、咨询与调查服务等服务业新业态。加快培育本地特色品牌展会，开发龙胜传统民族民俗节庆，因地制宜举办特色商业性节庆会展活动。</w:t>
      </w:r>
    </w:p>
    <w:p>
      <w:pPr>
        <w:spacing w:line="560" w:lineRule="exact"/>
        <w:ind w:firstLine="643" w:firstLineChars="200"/>
        <w:rPr>
          <w:rFonts w:ascii="仿宋_GB2312" w:hAnsi="仿宋_GB2312" w:eastAsia="仿宋_GB2312" w:cs="仿宋_GB2312"/>
          <w:b/>
          <w:bCs/>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（二）发展文化服务业。</w:t>
      </w:r>
      <w:r>
        <w:rPr>
          <w:rFonts w:hint="eastAsia" w:ascii="仿宋_GB2312" w:hAnsi="仿宋_GB2312" w:eastAsia="仿宋_GB2312" w:cs="仿宋_GB2312"/>
          <w:color w:val="000000" w:themeColor="text1"/>
          <w:sz w:val="32"/>
          <w:szCs w:val="32"/>
          <w14:textFill>
            <w14:solidFill>
              <w14:schemeClr w14:val="tx1"/>
            </w14:solidFill>
          </w14:textFill>
        </w:rPr>
        <w:t>根据人民群众日益增长的精神文化生活新期待，创新发展以文化艺术消费为核心的服务业。通过举办龙脊梯田文化节、晒衣节、跳香节、侗年节等节庆活动，宣传与传承龙胜特色文化，打造“龙胜百节县”品牌，同时引进区内外优秀文化产品和文艺作品，满足人民群众个性化、多样化、品质化的精神消费需求。</w:t>
      </w:r>
    </w:p>
    <w:p>
      <w:pPr>
        <w:spacing w:line="560" w:lineRule="exact"/>
        <w:ind w:firstLine="643" w:firstLineChars="200"/>
        <w:rPr>
          <w:rFonts w:ascii="仿宋_GB2312" w:hAnsi="仿宋_GB2312" w:eastAsia="仿宋_GB2312" w:cs="仿宋_GB2312"/>
          <w:b/>
          <w:bCs/>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（三）完善金融服务体系。</w:t>
      </w:r>
      <w:r>
        <w:rPr>
          <w:rFonts w:hint="eastAsia" w:ascii="仿宋_GB2312" w:hAnsi="仿宋_GB2312" w:eastAsia="仿宋_GB2312" w:cs="仿宋_GB2312"/>
          <w:color w:val="000000" w:themeColor="text1"/>
          <w:sz w:val="32"/>
          <w:szCs w:val="32"/>
          <w14:textFill>
            <w14:solidFill>
              <w14:schemeClr w14:val="tx1"/>
            </w14:solidFill>
          </w14:textFill>
        </w:rPr>
        <w:t>发展科技金融、绿色金融、供应链金融等产业，探索设立养老保险公司。统筹推进研发设计、中介服务、检验检测认证、电子商务、人力资源服务等生产性服务业发展。</w:t>
      </w:r>
    </w:p>
    <w:p>
      <w:pPr>
        <w:spacing w:line="560" w:lineRule="exact"/>
        <w:ind w:firstLine="643" w:firstLineChars="200"/>
        <w:rPr>
          <w:rFonts w:ascii="仿宋_GB2312" w:hAnsi="仿宋_GB2312" w:eastAsia="仿宋_GB2312" w:cs="仿宋_GB2312"/>
          <w:b/>
          <w:bCs/>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（四）发展信息服务业。</w:t>
      </w:r>
      <w:r>
        <w:rPr>
          <w:rFonts w:hint="eastAsia" w:ascii="仿宋_GB2312" w:hAnsi="仿宋_GB2312" w:eastAsia="仿宋_GB2312" w:cs="仿宋_GB2312"/>
          <w:color w:val="000000" w:themeColor="text1"/>
          <w:sz w:val="32"/>
          <w:szCs w:val="32"/>
          <w14:textFill>
            <w14:solidFill>
              <w14:schemeClr w14:val="tx1"/>
            </w14:solidFill>
          </w14:textFill>
        </w:rPr>
        <w:t>加大信息基础设施建设力度，加快5G和宽带网络建设，充分运用“互联网+”发展模式，推动电子政务</w:t>
      </w:r>
      <w:r>
        <w:rPr>
          <w:rFonts w:hint="eastAsia" w:ascii="仿宋_GB2312" w:hAnsi="仿宋_GB2312" w:eastAsia="仿宋_GB2312" w:cs="仿宋_GB2312"/>
          <w:bCs/>
          <w:color w:val="000000" w:themeColor="text1"/>
          <w:sz w:val="32"/>
          <w:szCs w:val="32"/>
          <w14:textFill>
            <w14:solidFill>
              <w14:schemeClr w14:val="tx1"/>
            </w14:solidFill>
          </w14:textFill>
        </w:rPr>
        <w:t>和电子商务，积极促进互联网与传统产业融合发展，科学整合全</w:t>
      </w:r>
      <w:r>
        <w:rPr>
          <w:rFonts w:hint="eastAsia" w:ascii="仿宋_GB2312" w:hAnsi="仿宋_GB2312" w:eastAsia="仿宋_GB2312" w:cs="仿宋_GB2312"/>
          <w:color w:val="000000" w:themeColor="text1"/>
          <w:sz w:val="32"/>
          <w:szCs w:val="32"/>
          <w14:textFill>
            <w14:solidFill>
              <w14:schemeClr w14:val="tx1"/>
            </w14:solidFill>
          </w14:textFill>
        </w:rPr>
        <w:t>县信息平台。</w:t>
      </w:r>
    </w:p>
    <w:p>
      <w:pPr>
        <w:pStyle w:val="4"/>
        <w:keepNext w:val="0"/>
        <w:keepLines w:val="0"/>
        <w:spacing w:before="0" w:after="0" w:line="560" w:lineRule="exact"/>
        <w:ind w:firstLine="643" w:firstLineChars="200"/>
        <w:rPr>
          <w:rFonts w:ascii="仿宋_GB2312" w:hAnsi="仿宋_GB2312" w:eastAsia="仿宋_GB2312" w:cs="仿宋_GB2312"/>
          <w:bCs w:val="0"/>
          <w:color w:val="000000" w:themeColor="text1"/>
          <w14:textFill>
            <w14:solidFill>
              <w14:schemeClr w14:val="tx1"/>
            </w14:solidFill>
          </w14:textFill>
        </w:rPr>
      </w:pPr>
      <w:bookmarkStart w:id="281" w:name="_Toc27773"/>
      <w:bookmarkStart w:id="282" w:name="_Toc61110816"/>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第二节  发展生活服务业</w:t>
      </w:r>
      <w:bookmarkEnd w:id="281"/>
      <w:bookmarkEnd w:id="282"/>
    </w:p>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p>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围绕消费结构转型升级，适应新型城镇化快速发展和人口老龄化趋势的要求，加快旅游、休闲度假、健康养生养老、商贸餐饮等生活性服务业标准化、国际化和品牌化建设，增加高质量的服务供给，不断满足人民美好生活需求，提升消费对经济的拉动作用，以促进旅游与健康养老、文化体育等产业融合发展。</w:t>
      </w:r>
    </w:p>
    <w:p>
      <w:pPr>
        <w:spacing w:line="560" w:lineRule="exact"/>
        <w:ind w:firstLine="643"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（一）提升服务消费产业升级。一是</w:t>
      </w:r>
      <w:r>
        <w:rPr>
          <w:rFonts w:hint="eastAsia" w:ascii="仿宋_GB2312" w:hAnsi="仿宋_GB2312" w:eastAsia="仿宋_GB2312" w:cs="仿宋_GB2312"/>
          <w:color w:val="000000" w:themeColor="text1"/>
          <w:sz w:val="32"/>
          <w:szCs w:val="32"/>
          <w14:textFill>
            <w14:solidFill>
              <w14:schemeClr w14:val="tx1"/>
            </w14:solidFill>
          </w14:textFill>
        </w:rPr>
        <w:t>推动新兴服务消费产业发展。适应消费领域数字化转型、线上线下融合发展的趋势，大力发展在线办公、在线教育、网络医疗、数字娱乐、数字生活、跨境电商等新业态，促进传统销售和服务上线升级。规划建设直播经济创新基地，吸引和聚集直播机构入驻，鼓励开展特色农产品和工业品直播活动。支持共享经济发展，加快政府闲置资源和公共设施资源共享。</w:t>
      </w:r>
      <w:r>
        <w:rPr>
          <w:rFonts w:hint="eastAsia" w:ascii="仿宋_GB2312" w:hAnsi="仿宋_GB2312" w:eastAsia="仿宋_GB2312" w:cs="仿宋_GB2312"/>
          <w:b/>
          <w:bCs/>
          <w:color w:val="000000" w:themeColor="text1"/>
          <w:sz w:val="32"/>
          <w:szCs w:val="32"/>
          <w14:textFill>
            <w14:solidFill>
              <w14:schemeClr w14:val="tx1"/>
            </w14:solidFill>
          </w14:textFill>
        </w:rPr>
        <w:t>二是</w:t>
      </w:r>
      <w:r>
        <w:rPr>
          <w:rFonts w:hint="eastAsia" w:ascii="仿宋_GB2312" w:hAnsi="仿宋_GB2312" w:eastAsia="仿宋_GB2312" w:cs="仿宋_GB2312"/>
          <w:color w:val="000000" w:themeColor="text1"/>
          <w:sz w:val="32"/>
          <w:szCs w:val="32"/>
          <w14:textFill>
            <w14:solidFill>
              <w14:schemeClr w14:val="tx1"/>
            </w14:solidFill>
          </w14:textFill>
        </w:rPr>
        <w:t>扩大传统商贸服务领域。加快城乡商品市场体系建设，重点建设1—2个大型综合批发市场和专业批发市场，形成农产品、旅游加工品、石材、林业加工产品等商品交易集散中心，有序推进商业区和特色商业街建设，大力发展购物中心、超市、便利店和社区商店，不断完善城镇商业网点。加快发展住宿餐饮业，鼓励发展经济型酒店，支持有条件的酒店上星、升星。宣传推广龙胜民族特色美食，开拓大众化餐饮市场。做大做优电子商务，将旅游产品、农副产品、工业加工产品通过电子商务的方式促销，联合快递公司、邮政等物流企业进行销售。</w:t>
      </w:r>
    </w:p>
    <w:p>
      <w:pPr>
        <w:spacing w:line="560" w:lineRule="exact"/>
        <w:ind w:firstLine="643"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（二）发展壮大康养产业。</w:t>
      </w:r>
      <w:r>
        <w:rPr>
          <w:rFonts w:hint="eastAsia" w:ascii="仿宋_GB2312" w:hAnsi="仿宋_GB2312" w:eastAsia="仿宋_GB2312" w:cs="仿宋_GB2312"/>
          <w:color w:val="000000" w:themeColor="text1"/>
          <w:sz w:val="32"/>
          <w:szCs w:val="32"/>
          <w14:textFill>
            <w14:solidFill>
              <w14:schemeClr w14:val="tx1"/>
            </w14:solidFill>
          </w14:textFill>
        </w:rPr>
        <w:t>加快产业链建设，积极发展生态农业、保健食品加工、养生养老地产、健康旅游、民族医疗康复与养生保健、健康职业教育与培训等产业，提升龙胜县花坪康寿养生旅游度假区、彭祖坪健康养生旅游示范基地等健康养生养老项目，做大健康养生养老产业经济。</w:t>
      </w:r>
    </w:p>
    <w:p>
      <w:pPr>
        <w:spacing w:line="560" w:lineRule="exact"/>
        <w:ind w:firstLine="643" w:firstLineChars="200"/>
        <w:rPr>
          <w:rFonts w:ascii="仿宋_GB2312" w:hAnsi="仿宋_GB2312" w:eastAsia="仿宋_GB2312" w:cs="仿宋_GB2312"/>
          <w:b/>
          <w:bCs/>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（三）发展居民与家庭服务业。</w:t>
      </w:r>
      <w:r>
        <w:rPr>
          <w:rFonts w:hint="eastAsia" w:ascii="仿宋_GB2312" w:hAnsi="仿宋_GB2312" w:eastAsia="仿宋_GB2312" w:cs="仿宋_GB2312"/>
          <w:color w:val="000000" w:themeColor="text1"/>
          <w:sz w:val="32"/>
          <w:szCs w:val="32"/>
          <w14:textFill>
            <w14:solidFill>
              <w14:schemeClr w14:val="tx1"/>
            </w14:solidFill>
          </w14:textFill>
        </w:rPr>
        <w:t>加快构建以家庭为基础、社区为依托、企业为主体的居民生活服务体系，推进教育、文化、育幼、养老、医疗、家政、体育等生活服务进社区乡村。促进信息技术与居民家庭服务业融合，鼓励在乡村建立综合性服务网点，提升农村居民家庭服务供给水平和生活便利化水平。培育一批居民家庭服务品牌企业，引导企业提供标准化、专业化服务。</w:t>
      </w:r>
    </w:p>
    <w:p>
      <w:pPr>
        <w:spacing w:line="560" w:lineRule="exact"/>
        <w:ind w:firstLine="643" w:firstLineChars="200"/>
        <w:rPr>
          <w:rFonts w:ascii="仿宋_GB2312" w:hAnsi="仿宋_GB2312" w:eastAsia="仿宋_GB2312" w:cs="仿宋_GB2312"/>
          <w:b/>
          <w:bCs/>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（四）健康发展房地产业。</w:t>
      </w:r>
      <w:r>
        <w:rPr>
          <w:rFonts w:hint="eastAsia" w:ascii="仿宋_GB2312" w:hAnsi="仿宋_GB2312" w:eastAsia="仿宋_GB2312" w:cs="仿宋_GB2312"/>
          <w:color w:val="000000" w:themeColor="text1"/>
          <w:sz w:val="32"/>
          <w:szCs w:val="32"/>
          <w14:textFill>
            <w14:solidFill>
              <w14:schemeClr w14:val="tx1"/>
            </w14:solidFill>
          </w14:textFill>
        </w:rPr>
        <w:t>全面落实房地产长效调控机制，科学合理确定房地产建设规模，扩大有效需求，化解房地产库存，保持房地产开发投资与销售稳定增长。积极培育和发展住房租赁市场，建立和完善购租并举住房制度。引进扶持一批有实力、信誉好的房地产企业，加快物业服务企业发展。</w:t>
      </w:r>
    </w:p>
    <w:p>
      <w:pPr>
        <w:pStyle w:val="4"/>
        <w:keepNext w:val="0"/>
        <w:keepLines w:val="0"/>
        <w:spacing w:before="0" w:after="0" w:line="560" w:lineRule="exact"/>
        <w:ind w:firstLine="643" w:firstLineChars="200"/>
        <w:rPr>
          <w:rFonts w:ascii="仿宋_GB2312" w:hAnsi="仿宋_GB2312" w:eastAsia="仿宋_GB2312" w:cs="仿宋_GB2312"/>
          <w:bCs w:val="0"/>
          <w:color w:val="000000" w:themeColor="text1"/>
          <w14:textFill>
            <w14:solidFill>
              <w14:schemeClr w14:val="tx1"/>
            </w14:solidFill>
          </w14:textFill>
        </w:rPr>
      </w:pPr>
      <w:bookmarkStart w:id="283" w:name="_Toc61110817"/>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第三节  推进服务业高质量发展</w:t>
      </w:r>
      <w:bookmarkEnd w:id="283"/>
    </w:p>
    <w:p>
      <w:pPr>
        <w:spacing w:line="560" w:lineRule="exact"/>
        <w:ind w:firstLine="640" w:firstLineChars="200"/>
        <w:textAlignment w:val="baseline"/>
        <w:rPr>
          <w:rFonts w:ascii="仿宋_GB2312" w:hAnsi="仿宋_GB2312" w:eastAsia="仿宋_GB2312" w:cs="仿宋_GB2312"/>
          <w:color w:val="000000" w:themeColor="text1"/>
          <w:sz w:val="32"/>
          <w:szCs w:val="32"/>
          <w14:textFill>
            <w14:solidFill>
              <w14:schemeClr w14:val="tx1"/>
            </w14:solidFill>
          </w14:textFill>
        </w:rPr>
      </w:pPr>
    </w:p>
    <w:p>
      <w:pPr>
        <w:spacing w:line="560" w:lineRule="exact"/>
        <w:ind w:firstLine="643" w:firstLineChars="200"/>
        <w:textAlignment w:val="baseline"/>
        <w:rPr>
          <w:rFonts w:ascii="仿宋_GB2312" w:hAnsi="仿宋_GB2312" w:eastAsia="仿宋_GB2312" w:cs="仿宋_GB2312"/>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（一）放宽市场准入限制。</w:t>
      </w:r>
      <w:r>
        <w:rPr>
          <w:rFonts w:hint="eastAsia" w:ascii="仿宋_GB2312" w:hAnsi="仿宋_GB2312" w:eastAsia="仿宋_GB2312" w:cs="仿宋_GB2312"/>
          <w:color w:val="000000" w:themeColor="text1"/>
          <w:kern w:val="0"/>
          <w:sz w:val="32"/>
          <w:szCs w:val="32"/>
          <w14:textFill>
            <w14:solidFill>
              <w14:schemeClr w14:val="tx1"/>
            </w14:solidFill>
          </w14:textFill>
        </w:rPr>
        <w:t>大幅放宽服务业领域市场准入，凡国家法律法规未明令禁入的服务业领域，包括通信、交通、电力、油气、金融、物流等领域，全面向非公有制经济开放，向社会资本释放更大发展空间。各有关单位在要素获取、准入许可、经营运行、政府采购等方面对</w:t>
      </w:r>
      <w:r>
        <w:rPr>
          <w:rFonts w:hint="eastAsia" w:ascii="仿宋_GB2312" w:hAnsi="仿宋_GB2312" w:eastAsia="仿宋_GB2312" w:cs="仿宋_GB2312"/>
          <w:color w:val="000000" w:themeColor="text1"/>
          <w:sz w:val="32"/>
          <w:szCs w:val="32"/>
          <w:lang w:val="zh-TW" w:eastAsia="zh-TW"/>
          <w14:textFill>
            <w14:solidFill>
              <w14:schemeClr w14:val="tx1"/>
            </w14:solidFill>
          </w14:textFill>
        </w:rPr>
        <w:t>跨国公司和集团化企业在</w:t>
      </w:r>
      <w:r>
        <w:rPr>
          <w:rFonts w:hint="eastAsia" w:ascii="仿宋_GB2312" w:hAnsi="仿宋_GB2312" w:eastAsia="仿宋_GB2312" w:cs="仿宋_GB2312"/>
          <w:color w:val="000000" w:themeColor="text1"/>
          <w:sz w:val="32"/>
          <w:szCs w:val="32"/>
          <w:lang w:val="zh-TW"/>
          <w14:textFill>
            <w14:solidFill>
              <w14:schemeClr w14:val="tx1"/>
            </w14:solidFill>
          </w14:textFill>
        </w:rPr>
        <w:t>龙胜县</w:t>
      </w:r>
      <w:r>
        <w:rPr>
          <w:rFonts w:hint="eastAsia" w:ascii="仿宋_GB2312" w:hAnsi="仿宋_GB2312" w:eastAsia="仿宋_GB2312" w:cs="仿宋_GB2312"/>
          <w:color w:val="000000" w:themeColor="text1"/>
          <w:sz w:val="32"/>
          <w:szCs w:val="32"/>
          <w:lang w:val="zh-TW" w:eastAsia="zh-TW"/>
          <w14:textFill>
            <w14:solidFill>
              <w14:schemeClr w14:val="tx1"/>
            </w14:solidFill>
          </w14:textFill>
        </w:rPr>
        <w:t>设立的地区总部企业</w:t>
      </w:r>
      <w:r>
        <w:rPr>
          <w:rFonts w:hint="eastAsia" w:ascii="仿宋_GB2312" w:hAnsi="仿宋_GB2312" w:eastAsia="仿宋_GB2312" w:cs="仿宋_GB2312"/>
          <w:b/>
          <w:color w:val="000000" w:themeColor="text1"/>
          <w:sz w:val="32"/>
          <w:szCs w:val="32"/>
          <w:lang w:val="zh-TW"/>
          <w14:textFill>
            <w14:solidFill>
              <w14:schemeClr w14:val="tx1"/>
            </w14:solidFill>
          </w14:textFill>
        </w:rPr>
        <w:t>、</w:t>
      </w:r>
      <w:r>
        <w:rPr>
          <w:rFonts w:hint="eastAsia" w:ascii="仿宋_GB2312" w:hAnsi="仿宋_GB2312" w:eastAsia="仿宋_GB2312" w:cs="仿宋_GB2312"/>
          <w:color w:val="000000" w:themeColor="text1"/>
          <w:sz w:val="32"/>
          <w:szCs w:val="32"/>
          <w:lang w:val="zh-TW" w:eastAsia="zh-TW"/>
          <w14:textFill>
            <w14:solidFill>
              <w14:schemeClr w14:val="tx1"/>
            </w14:solidFill>
          </w14:textFill>
        </w:rPr>
        <w:t>总公司或集团化企业总部从外地迁到</w:t>
      </w:r>
      <w:r>
        <w:rPr>
          <w:rFonts w:hint="eastAsia" w:ascii="仿宋_GB2312" w:hAnsi="仿宋_GB2312" w:eastAsia="仿宋_GB2312" w:cs="仿宋_GB2312"/>
          <w:color w:val="000000" w:themeColor="text1"/>
          <w:sz w:val="32"/>
          <w:szCs w:val="32"/>
          <w:lang w:val="zh-TW"/>
          <w14:textFill>
            <w14:solidFill>
              <w14:schemeClr w14:val="tx1"/>
            </w14:solidFill>
          </w14:textFill>
        </w:rPr>
        <w:t>龙胜县</w:t>
      </w:r>
      <w:r>
        <w:rPr>
          <w:rFonts w:hint="eastAsia" w:ascii="仿宋_GB2312" w:hAnsi="仿宋_GB2312" w:eastAsia="仿宋_GB2312" w:cs="仿宋_GB2312"/>
          <w:color w:val="000000" w:themeColor="text1"/>
          <w:sz w:val="32"/>
          <w:szCs w:val="32"/>
          <w:lang w:val="zh-TW" w:eastAsia="zh-TW"/>
          <w14:textFill>
            <w14:solidFill>
              <w14:schemeClr w14:val="tx1"/>
            </w14:solidFill>
          </w14:textFill>
        </w:rPr>
        <w:t>设立的总公司或总部外地总部企业</w:t>
      </w:r>
      <w:r>
        <w:rPr>
          <w:rFonts w:hint="eastAsia" w:ascii="仿宋_GB2312" w:hAnsi="仿宋_GB2312" w:eastAsia="仿宋_GB2312" w:cs="仿宋_GB2312"/>
          <w:color w:val="000000" w:themeColor="text1"/>
          <w:sz w:val="32"/>
          <w:szCs w:val="32"/>
          <w:lang w:val="zh-TW"/>
          <w14:textFill>
            <w14:solidFill>
              <w14:schemeClr w14:val="tx1"/>
            </w14:solidFill>
          </w14:textFill>
        </w:rPr>
        <w:t>和</w:t>
      </w:r>
      <w:r>
        <w:rPr>
          <w:rFonts w:hint="eastAsia" w:ascii="仿宋_GB2312" w:hAnsi="仿宋_GB2312" w:eastAsia="仿宋_GB2312" w:cs="仿宋_GB2312"/>
          <w:color w:val="000000" w:themeColor="text1"/>
          <w:sz w:val="32"/>
          <w:szCs w:val="32"/>
          <w:lang w:val="zh-TW" w:eastAsia="zh-TW"/>
          <w14:textFill>
            <w14:solidFill>
              <w14:schemeClr w14:val="tx1"/>
            </w14:solidFill>
          </w14:textFill>
        </w:rPr>
        <w:t>国内上市企业在</w:t>
      </w:r>
      <w:r>
        <w:rPr>
          <w:rFonts w:hint="eastAsia" w:ascii="仿宋_GB2312" w:hAnsi="仿宋_GB2312" w:eastAsia="仿宋_GB2312" w:cs="仿宋_GB2312"/>
          <w:color w:val="000000" w:themeColor="text1"/>
          <w:sz w:val="32"/>
          <w:szCs w:val="32"/>
          <w:lang w:val="zh-TW"/>
          <w14:textFill>
            <w14:solidFill>
              <w14:schemeClr w14:val="tx1"/>
            </w14:solidFill>
          </w14:textFill>
        </w:rPr>
        <w:t>龙胜</w:t>
      </w:r>
      <w:r>
        <w:rPr>
          <w:rFonts w:hint="eastAsia" w:ascii="仿宋_GB2312" w:hAnsi="仿宋_GB2312" w:eastAsia="仿宋_GB2312" w:cs="仿宋_GB2312"/>
          <w:color w:val="000000" w:themeColor="text1"/>
          <w:sz w:val="32"/>
          <w:szCs w:val="32"/>
          <w:lang w:val="zh-TW" w:eastAsia="zh-TW"/>
          <w14:textFill>
            <w14:solidFill>
              <w14:schemeClr w14:val="tx1"/>
            </w14:solidFill>
          </w14:textFill>
        </w:rPr>
        <w:t>新设的子公司</w:t>
      </w:r>
      <w:r>
        <w:rPr>
          <w:rFonts w:hint="eastAsia" w:ascii="仿宋_GB2312" w:hAnsi="仿宋_GB2312" w:eastAsia="仿宋_GB2312" w:cs="仿宋_GB2312"/>
          <w:color w:val="000000" w:themeColor="text1"/>
          <w:sz w:val="32"/>
          <w:szCs w:val="32"/>
          <w:lang w:val="zh-TW"/>
          <w14:textFill>
            <w14:solidFill>
              <w14:schemeClr w14:val="tx1"/>
            </w14:solidFill>
          </w14:textFill>
        </w:rPr>
        <w:t>或者是</w:t>
      </w:r>
      <w:r>
        <w:rPr>
          <w:rFonts w:hint="eastAsia" w:ascii="仿宋_GB2312" w:hAnsi="仿宋_GB2312" w:eastAsia="仿宋_GB2312" w:cs="仿宋_GB2312"/>
          <w:color w:val="000000" w:themeColor="text1"/>
          <w:sz w:val="32"/>
          <w:szCs w:val="32"/>
          <w:lang w:val="zh-TW" w:eastAsia="zh-TW"/>
          <w14:textFill>
            <w14:solidFill>
              <w14:schemeClr w14:val="tx1"/>
            </w14:solidFill>
          </w14:textFill>
        </w:rPr>
        <w:t>在</w:t>
      </w:r>
      <w:r>
        <w:rPr>
          <w:rFonts w:hint="eastAsia" w:ascii="仿宋_GB2312" w:hAnsi="仿宋_GB2312" w:eastAsia="仿宋_GB2312" w:cs="仿宋_GB2312"/>
          <w:color w:val="000000" w:themeColor="text1"/>
          <w:sz w:val="32"/>
          <w:szCs w:val="32"/>
          <w:lang w:val="zh-TW"/>
          <w14:textFill>
            <w14:solidFill>
              <w14:schemeClr w14:val="tx1"/>
            </w14:solidFill>
          </w14:textFill>
        </w:rPr>
        <w:t>龙胜</w:t>
      </w:r>
      <w:r>
        <w:rPr>
          <w:rFonts w:hint="eastAsia" w:ascii="仿宋_GB2312" w:hAnsi="仿宋_GB2312" w:eastAsia="仿宋_GB2312" w:cs="仿宋_GB2312"/>
          <w:color w:val="000000" w:themeColor="text1"/>
          <w:sz w:val="32"/>
          <w:szCs w:val="32"/>
          <w:lang w:val="zh-TW" w:eastAsia="zh-TW"/>
          <w14:textFill>
            <w14:solidFill>
              <w14:schemeClr w14:val="tx1"/>
            </w14:solidFill>
          </w14:textFill>
        </w:rPr>
        <w:t>兼并重组后获认定的总部企业</w:t>
      </w:r>
      <w:r>
        <w:rPr>
          <w:rFonts w:hint="eastAsia" w:ascii="仿宋_GB2312" w:hAnsi="仿宋_GB2312" w:eastAsia="仿宋_GB2312" w:cs="仿宋_GB2312"/>
          <w:color w:val="000000" w:themeColor="text1"/>
          <w:sz w:val="32"/>
          <w:szCs w:val="32"/>
          <w:lang w:val="zh-TW"/>
          <w14:textFill>
            <w14:solidFill>
              <w14:schemeClr w14:val="tx1"/>
            </w14:solidFill>
          </w14:textFill>
        </w:rPr>
        <w:t>等</w:t>
      </w:r>
      <w:r>
        <w:rPr>
          <w:rFonts w:hint="eastAsia" w:ascii="仿宋_GB2312" w:hAnsi="仿宋_GB2312" w:eastAsia="仿宋_GB2312" w:cs="仿宋_GB2312"/>
          <w:color w:val="000000" w:themeColor="text1"/>
          <w:kern w:val="0"/>
          <w:sz w:val="32"/>
          <w:szCs w:val="32"/>
          <w14:textFill>
            <w14:solidFill>
              <w14:schemeClr w14:val="tx1"/>
            </w14:solidFill>
          </w14:textFill>
        </w:rPr>
        <w:t>畅通绿色通道，并给予政策和资金支持，破除制约市场竞争的各类障碍和隐性壁垒。</w:t>
      </w:r>
    </w:p>
    <w:p>
      <w:pPr>
        <w:spacing w:line="560" w:lineRule="exact"/>
        <w:ind w:firstLine="643" w:firstLineChars="200"/>
        <w:textAlignment w:val="baseline"/>
        <w:rPr>
          <w:rFonts w:ascii="仿宋_GB2312" w:hAnsi="仿宋_GB2312" w:eastAsia="仿宋_GB2312" w:cs="仿宋_GB2312"/>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（二）推进商事制度改革。</w:t>
      </w:r>
      <w:r>
        <w:rPr>
          <w:rFonts w:hint="eastAsia" w:ascii="仿宋_GB2312" w:hAnsi="仿宋_GB2312" w:eastAsia="仿宋_GB2312" w:cs="仿宋_GB2312"/>
          <w:color w:val="000000" w:themeColor="text1"/>
          <w:kern w:val="0"/>
          <w:sz w:val="32"/>
          <w:szCs w:val="32"/>
          <w14:textFill>
            <w14:solidFill>
              <w14:schemeClr w14:val="tx1"/>
            </w14:solidFill>
          </w14:textFill>
        </w:rPr>
        <w:t>深入推进“放管服”改革，简化工作程序，优化办事流程。放宽注册资本登记、企业住所登记等条件，全面推行企业名称网上自主申报改革，支持个体工商户转型登记。允许以知识产权、土地使用权、股权、债权、林权等非货币资产作价出资，其出资比例不受限制。贯彻落实“先照后证”，允许“一址多照、一照多址”，全面推进商事制度改革。</w:t>
      </w:r>
    </w:p>
    <w:p>
      <w:pPr>
        <w:spacing w:line="560" w:lineRule="exact"/>
        <w:ind w:firstLine="643" w:firstLineChars="200"/>
        <w:textAlignment w:val="baseline"/>
        <w:rPr>
          <w:rFonts w:ascii="仿宋_GB2312" w:hAnsi="仿宋_GB2312" w:eastAsia="仿宋_GB2312" w:cs="仿宋_GB2312"/>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（三）落实税费优惠政策。</w:t>
      </w:r>
      <w:r>
        <w:rPr>
          <w:rFonts w:hint="eastAsia" w:ascii="仿宋_GB2312" w:hAnsi="仿宋_GB2312" w:eastAsia="仿宋_GB2312" w:cs="仿宋_GB2312"/>
          <w:color w:val="000000" w:themeColor="text1"/>
          <w:kern w:val="0"/>
          <w:sz w:val="32"/>
          <w:szCs w:val="32"/>
          <w14:textFill>
            <w14:solidFill>
              <w14:schemeClr w14:val="tx1"/>
            </w14:solidFill>
          </w14:textFill>
        </w:rPr>
        <w:t>落实好国家、自治区、桂林市出台的关于支持服务业企业的一揽子税收优惠政策。对符合条件的服务业企业及时落实西部大开发税收优惠政策。研发设计、检验检测认证、节能环保等科技型、创新型服务业企业，可申请认定为高新技术企业，享受一定的企业所得税优惠税率。进一步做好纳税服务工作，指导企业用好用足各项抵扣政策，打通企业抵扣链条，将所有企业新增不动产所含增值税纳入抵扣范围。对规（限）上服务业企业现行的行政事业性收费，凡收费标准有上、下限幅度规定的，按下限标准收取。</w:t>
      </w:r>
    </w:p>
    <w:p>
      <w:pPr>
        <w:spacing w:line="560" w:lineRule="exact"/>
        <w:ind w:firstLine="643" w:firstLineChars="200"/>
        <w:textAlignment w:val="baseline"/>
        <w:rPr>
          <w:rFonts w:ascii="仿宋_GB2312" w:hAnsi="仿宋_GB2312" w:eastAsia="仿宋_GB2312" w:cs="仿宋_GB2312"/>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（四）加大财政资金投入。</w:t>
      </w:r>
      <w:r>
        <w:rPr>
          <w:rFonts w:hint="eastAsia" w:ascii="仿宋_GB2312" w:hAnsi="仿宋_GB2312" w:eastAsia="仿宋_GB2312" w:cs="仿宋_GB2312"/>
          <w:color w:val="000000" w:themeColor="text1"/>
          <w:kern w:val="0"/>
          <w:sz w:val="32"/>
          <w:szCs w:val="32"/>
          <w14:textFill>
            <w14:solidFill>
              <w14:schemeClr w14:val="tx1"/>
            </w14:solidFill>
          </w14:textFill>
        </w:rPr>
        <w:t>发挥财政资金的引导、示范和杠杆作用，设立促进服务业发展的专项资金，创新投入方式，重点以产业基金、股权投入和贷款贴息、补助等方式支持服务业加快发展。扶持重点业态、重点项目、重大载体和重点企业发展，对引进的重点企业实行一企一策”支持政策。支持集聚区建设发展、服务业品牌和标准化建设，支持服务业自主创新。根据我县财力情况，每年县财政预算安排服务业发展专项资金并逐年增加。</w:t>
      </w:r>
    </w:p>
    <w:p>
      <w:pPr>
        <w:spacing w:line="560" w:lineRule="exact"/>
        <w:ind w:firstLine="643" w:firstLineChars="200"/>
        <w:textAlignment w:val="baseline"/>
        <w:rPr>
          <w:rFonts w:ascii="仿宋_GB2312" w:hAnsi="仿宋_GB2312" w:eastAsia="仿宋_GB2312" w:cs="仿宋_GB2312"/>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（五）优先保障用地。</w:t>
      </w:r>
      <w:r>
        <w:rPr>
          <w:rFonts w:hint="eastAsia" w:ascii="仿宋_GB2312" w:hAnsi="仿宋_GB2312" w:eastAsia="仿宋_GB2312" w:cs="仿宋_GB2312"/>
          <w:color w:val="000000" w:themeColor="text1"/>
          <w:kern w:val="0"/>
          <w:sz w:val="32"/>
          <w:szCs w:val="32"/>
          <w14:textFill>
            <w14:solidFill>
              <w14:schemeClr w14:val="tx1"/>
            </w14:solidFill>
          </w14:textFill>
        </w:rPr>
        <w:t>对重大服务业建设项目用地优先安排新增建设用地指标，对重大服务业项目用地做到应保尽保。新办现代服务业企业利用工业厂房、仓储用房、传统商业街（老街）等存量房产、土地资源符合国土空间规划的，可实行继续按原用途和土地权利类型使用土地的过渡期政策（过渡期为5年）。支持在工业园区（集中区）内，对新一代信息技术服务业、科技研发服务业以及其他具创新创意、专业化程度高、知识密集特征的现代创新型服务业探索试点“一产一策”项目供地政策。</w:t>
      </w:r>
    </w:p>
    <w:p>
      <w:pPr>
        <w:spacing w:line="560" w:lineRule="exact"/>
        <w:ind w:firstLine="643" w:firstLineChars="200"/>
        <w:textAlignment w:val="baseline"/>
        <w:rPr>
          <w:rFonts w:ascii="仿宋_GB2312" w:hAnsi="仿宋_GB2312" w:eastAsia="仿宋_GB2312" w:cs="仿宋_GB2312"/>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（六）加大融资支持。</w:t>
      </w:r>
      <w:r>
        <w:rPr>
          <w:rFonts w:hint="eastAsia" w:ascii="仿宋_GB2312" w:hAnsi="仿宋_GB2312" w:eastAsia="仿宋_GB2312" w:cs="仿宋_GB2312"/>
          <w:color w:val="000000" w:themeColor="text1"/>
          <w:kern w:val="0"/>
          <w:sz w:val="32"/>
          <w:szCs w:val="32"/>
          <w14:textFill>
            <w14:solidFill>
              <w14:schemeClr w14:val="tx1"/>
            </w14:solidFill>
          </w14:textFill>
        </w:rPr>
        <w:t>积极推进支持服务业企业知识产权、股权、特许经营权、应收账款等抵押（质押）贷款业务。支持服务业企业在境内外证券市场上市、挂牌，按照相关政策给予相应的奖励。支持服务业企业扩大直接融资，对企业通过证券市场开展再融资的，按其融资额的一定比例给予奖励。</w:t>
      </w:r>
    </w:p>
    <w:p>
      <w:pPr>
        <w:spacing w:line="560" w:lineRule="exact"/>
        <w:ind w:firstLine="643" w:firstLineChars="200"/>
        <w:textAlignment w:val="baseline"/>
        <w:rPr>
          <w:rFonts w:ascii="仿宋_GB2312" w:hAnsi="仿宋_GB2312" w:eastAsia="仿宋_GB2312" w:cs="仿宋_GB2312"/>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（七）完善价格政策。</w:t>
      </w:r>
      <w:r>
        <w:rPr>
          <w:rFonts w:hint="eastAsia" w:ascii="仿宋_GB2312" w:hAnsi="仿宋_GB2312" w:eastAsia="仿宋_GB2312" w:cs="仿宋_GB2312"/>
          <w:color w:val="000000" w:themeColor="text1"/>
          <w:kern w:val="0"/>
          <w:sz w:val="32"/>
          <w:szCs w:val="32"/>
          <w14:textFill>
            <w14:solidFill>
              <w14:schemeClr w14:val="tx1"/>
            </w14:solidFill>
          </w14:textFill>
        </w:rPr>
        <w:t>严格执行服务业用电、用水与工业同价政策。落实自治区出台的现代服务业集聚区用户参与电力市场化交易政策。加强转供电环节收费行为监管，使降电价政策红利传导到终端用户。</w:t>
      </w:r>
    </w:p>
    <w:p>
      <w:pPr>
        <w:spacing w:line="560" w:lineRule="exact"/>
        <w:ind w:firstLine="643" w:firstLineChars="200"/>
        <w:textAlignment w:val="baseline"/>
        <w:rPr>
          <w:rFonts w:ascii="仿宋_GB2312" w:hAnsi="仿宋_GB2312" w:eastAsia="仿宋_GB2312" w:cs="仿宋_GB2312"/>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（八）强化人才支撑。</w:t>
      </w:r>
      <w:r>
        <w:rPr>
          <w:rFonts w:hint="eastAsia" w:ascii="仿宋_GB2312" w:hAnsi="仿宋_GB2312" w:eastAsia="仿宋_GB2312" w:cs="仿宋_GB2312"/>
          <w:color w:val="000000" w:themeColor="text1"/>
          <w:kern w:val="0"/>
          <w:sz w:val="32"/>
          <w:szCs w:val="32"/>
          <w14:textFill>
            <w14:solidFill>
              <w14:schemeClr w14:val="tx1"/>
            </w14:solidFill>
          </w14:textFill>
        </w:rPr>
        <w:t>实施人才优先发展战略，加大人才引进力度。对在我县创办服务业企业或开展成果产业化活动的人才、用人单位及中介机构给予一次性奖励。完善人才奖励激励机制，对贡献突出的各类人才或团体给予相应奖励。对新设立的现代服务业企业，新兴服务业高层次人才，纳入《龙胜县人才引进和培养办法》中的急需紧缺人才之列。弘扬企业家精神，根据企业的年营业收入（销售额）及增长情况，每两年发布一次我县服务业综合排名前三名的优秀人才榜，对进入榜单的企业家在榜期间给予一定支持和奖励。</w:t>
      </w:r>
    </w:p>
    <w:p>
      <w:pPr>
        <w:pStyle w:val="31"/>
        <w:snapToGrid w:val="0"/>
        <w:spacing w:line="560" w:lineRule="exact"/>
        <w:jc w:val="center"/>
        <w:rPr>
          <w:rFonts w:ascii="仿宋_GB2312" w:hAnsi="仿宋_GB2312" w:eastAsia="仿宋_GB2312" w:cs="仿宋_GB2312"/>
          <w:b/>
          <w:bCs/>
          <w:color w:val="000000" w:themeColor="text1"/>
          <w:sz w:val="28"/>
          <w:szCs w:val="28"/>
          <w14:textFill>
            <w14:solidFill>
              <w14:schemeClr w14:val="tx1"/>
            </w14:solidFill>
          </w14:textFill>
        </w:rPr>
      </w:pPr>
      <w:r>
        <w:rPr>
          <w:rFonts w:hint="eastAsia" w:ascii="仿宋_GB2312" w:hAnsi="仿宋_GB2312" w:eastAsia="仿宋_GB2312" w:cs="仿宋_GB2312"/>
          <w:b/>
          <w:bCs/>
          <w:color w:val="000000" w:themeColor="text1"/>
          <w:sz w:val="28"/>
          <w:szCs w:val="28"/>
          <w14:textFill>
            <w14:solidFill>
              <w14:schemeClr w14:val="tx1"/>
            </w14:solidFill>
          </w14:textFill>
        </w:rPr>
        <mc:AlternateContent>
          <mc:Choice Requires="wps">
            <w:drawing>
              <wp:anchor distT="0" distB="0" distL="114300" distR="114300" simplePos="0" relativeHeight="251666432" behindDoc="0" locked="0" layoutInCell="1" allowOverlap="1">
                <wp:simplePos x="0" y="0"/>
                <wp:positionH relativeFrom="margin">
                  <wp:align>right</wp:align>
                </wp:positionH>
                <wp:positionV relativeFrom="paragraph">
                  <wp:posOffset>455295</wp:posOffset>
                </wp:positionV>
                <wp:extent cx="5647690" cy="1626235"/>
                <wp:effectExtent l="4445" t="5080" r="5715" b="6985"/>
                <wp:wrapSquare wrapText="bothSides"/>
                <wp:docPr id="5" name="文本框 5"/>
                <wp:cNvGraphicFramePr/>
                <a:graphic xmlns:a="http://schemas.openxmlformats.org/drawingml/2006/main">
                  <a:graphicData uri="http://schemas.microsoft.com/office/word/2010/wordprocessingShape">
                    <wps:wsp>
                      <wps:cNvSpPr txBox="1"/>
                      <wps:spPr>
                        <a:xfrm>
                          <a:off x="0" y="0"/>
                          <a:ext cx="5647690" cy="1626235"/>
                        </a:xfrm>
                        <a:prstGeom prst="rect">
                          <a:avLst/>
                        </a:prstGeom>
                        <a:solidFill>
                          <a:srgbClr val="FFFFFF"/>
                        </a:solidFill>
                        <a:ln w="6350" cap="flat" cmpd="sng">
                          <a:solidFill>
                            <a:srgbClr val="000000"/>
                          </a:solidFill>
                          <a:prstDash val="solid"/>
                          <a:miter/>
                          <a:headEnd type="none" w="med" len="med"/>
                          <a:tailEnd type="none" w="med" len="med"/>
                        </a:ln>
                      </wps:spPr>
                      <wps:txbx>
                        <w:txbxContent>
                          <w:p>
                            <w:pPr>
                              <w:pStyle w:val="31"/>
                              <w:spacing w:line="360" w:lineRule="auto"/>
                              <w:rPr>
                                <w:rFonts w:ascii="仿宋" w:hAnsi="仿宋" w:eastAsia="仿宋" w:cs="仿宋"/>
                                <w:bCs/>
                                <w:color w:val="000000" w:themeColor="text1"/>
                                <w14:textFill>
                                  <w14:solidFill>
                                    <w14:schemeClr w14:val="tx1"/>
                                  </w14:solidFill>
                                </w14:textFill>
                              </w:rPr>
                            </w:pPr>
                            <w:r>
                              <w:rPr>
                                <w:rFonts w:hint="eastAsia" w:ascii="仿宋" w:hAnsi="仿宋" w:eastAsia="仿宋" w:cs="仿宋"/>
                                <w:bCs/>
                                <w:color w:val="000000" w:themeColor="text1"/>
                                <w14:textFill>
                                  <w14:solidFill>
                                    <w14:schemeClr w14:val="tx1"/>
                                  </w14:solidFill>
                                </w14:textFill>
                              </w:rPr>
                              <w:t>1.龙胜县马堤乡彭祖坪国家健康养生旅游示范基地建设项目。</w:t>
                            </w:r>
                          </w:p>
                          <w:p>
                            <w:pPr>
                              <w:pStyle w:val="31"/>
                              <w:spacing w:line="360" w:lineRule="auto"/>
                              <w:rPr>
                                <w:rFonts w:ascii="仿宋" w:hAnsi="仿宋" w:eastAsia="仿宋" w:cs="仿宋"/>
                                <w:bCs/>
                                <w:color w:val="000000" w:themeColor="text1"/>
                                <w14:textFill>
                                  <w14:solidFill>
                                    <w14:schemeClr w14:val="tx1"/>
                                  </w14:solidFill>
                                </w14:textFill>
                              </w:rPr>
                            </w:pPr>
                            <w:r>
                              <w:rPr>
                                <w:rFonts w:ascii="仿宋" w:hAnsi="仿宋" w:eastAsia="仿宋" w:cs="仿宋"/>
                                <w:bCs/>
                                <w:color w:val="000000" w:themeColor="text1"/>
                                <w14:textFill>
                                  <w14:solidFill>
                                    <w14:schemeClr w14:val="tx1"/>
                                  </w14:solidFill>
                                </w14:textFill>
                              </w:rPr>
                              <w:t>2</w:t>
                            </w:r>
                            <w:r>
                              <w:rPr>
                                <w:rFonts w:hint="eastAsia" w:ascii="仿宋" w:hAnsi="仿宋" w:eastAsia="仿宋" w:cs="仿宋"/>
                                <w:bCs/>
                                <w:color w:val="000000" w:themeColor="text1"/>
                                <w14:textFill>
                                  <w14:solidFill>
                                    <w14:schemeClr w14:val="tx1"/>
                                  </w14:solidFill>
                                </w14:textFill>
                              </w:rPr>
                              <w:t>.龙胜县花坪康寿养生旅游度假区项目。</w:t>
                            </w:r>
                          </w:p>
                          <w:p>
                            <w:pPr>
                              <w:pStyle w:val="31"/>
                              <w:spacing w:line="360" w:lineRule="auto"/>
                              <w:rPr>
                                <w:rFonts w:ascii="仿宋" w:hAnsi="仿宋" w:eastAsia="仿宋" w:cs="仿宋"/>
                                <w:color w:val="000000" w:themeColor="text1"/>
                                <w14:textFill>
                                  <w14:solidFill>
                                    <w14:schemeClr w14:val="tx1"/>
                                  </w14:solidFill>
                                </w14:textFill>
                              </w:rPr>
                            </w:pPr>
                            <w:r>
                              <w:rPr>
                                <w:rFonts w:hint="eastAsia" w:ascii="仿宋" w:hAnsi="仿宋" w:eastAsia="仿宋" w:cs="仿宋"/>
                                <w:color w:val="000000" w:themeColor="text1"/>
                                <w14:textFill>
                                  <w14:solidFill>
                                    <w14:schemeClr w14:val="tx1"/>
                                  </w14:solidFill>
                                </w14:textFill>
                              </w:rPr>
                              <w:t>3.龙胜县百节健康医疗养生养老基地项目。</w:t>
                            </w:r>
                          </w:p>
                          <w:p>
                            <w:pPr>
                              <w:pStyle w:val="31"/>
                              <w:spacing w:line="360" w:lineRule="auto"/>
                              <w:rPr>
                                <w:rFonts w:ascii="仿宋" w:hAnsi="仿宋" w:eastAsia="仿宋" w:cs="仿宋"/>
                                <w:color w:val="000000" w:themeColor="text1"/>
                                <w14:textFill>
                                  <w14:solidFill>
                                    <w14:schemeClr w14:val="tx1"/>
                                  </w14:solidFill>
                                </w14:textFill>
                              </w:rPr>
                            </w:pPr>
                            <w:r>
                              <w:rPr>
                                <w:rFonts w:hint="eastAsia" w:ascii="仿宋" w:hAnsi="仿宋" w:eastAsia="仿宋" w:cs="仿宋"/>
                                <w:color w:val="000000" w:themeColor="text1"/>
                                <w14:textFill>
                                  <w14:solidFill>
                                    <w14:schemeClr w14:val="tx1"/>
                                  </w14:solidFill>
                                </w14:textFill>
                              </w:rPr>
                              <w:t>4.龙脊大道星级酒店建设项目。</w:t>
                            </w:r>
                          </w:p>
                          <w:p>
                            <w:pPr>
                              <w:pStyle w:val="31"/>
                              <w:spacing w:line="360" w:lineRule="auto"/>
                              <w:rPr>
                                <w:rFonts w:ascii="仿宋" w:hAnsi="仿宋" w:eastAsia="仿宋" w:cs="仿宋"/>
                                <w:color w:val="000000" w:themeColor="text1"/>
                                <w14:textFill>
                                  <w14:solidFill>
                                    <w14:schemeClr w14:val="tx1"/>
                                  </w14:solidFill>
                                </w14:textFill>
                              </w:rPr>
                            </w:pPr>
                            <w:r>
                              <w:rPr>
                                <w:rFonts w:hint="eastAsia" w:ascii="仿宋" w:hAnsi="仿宋" w:eastAsia="仿宋" w:cs="仿宋"/>
                                <w:color w:val="000000" w:themeColor="text1"/>
                                <w14:textFill>
                                  <w14:solidFill>
                                    <w14:schemeClr w14:val="tx1"/>
                                  </w14:solidFill>
                                </w14:textFill>
                              </w:rPr>
                              <w:t>5.中国长发博物馆康寿民族文化园项目。</w:t>
                            </w:r>
                          </w:p>
                          <w:p>
                            <w:pPr>
                              <w:pStyle w:val="31"/>
                              <w:spacing w:line="360" w:lineRule="auto"/>
                              <w:ind w:firstLine="482" w:firstLineChars="200"/>
                              <w:rPr>
                                <w:rFonts w:ascii="仿宋" w:hAnsi="仿宋" w:eastAsia="仿宋" w:cs="仿宋"/>
                                <w:b/>
                                <w:bCs/>
                                <w:color w:val="auto"/>
                                <w:kern w:val="2"/>
                              </w:rPr>
                            </w:pPr>
                          </w:p>
                        </w:txbxContent>
                      </wps:txbx>
                      <wps:bodyPr upright="1">
                        <a:noAutofit/>
                      </wps:bodyPr>
                    </wps:wsp>
                  </a:graphicData>
                </a:graphic>
              </wp:anchor>
            </w:drawing>
          </mc:Choice>
          <mc:Fallback>
            <w:pict>
              <v:shape id="_x0000_s1026" o:spid="_x0000_s1026" o:spt="202" type="#_x0000_t202" style="position:absolute;left:0pt;margin-top:35.85pt;height:128.05pt;width:444.7pt;mso-position-horizontal:right;mso-position-horizontal-relative:margin;mso-wrap-distance-bottom:0pt;mso-wrap-distance-left:9pt;mso-wrap-distance-right:9pt;mso-wrap-distance-top:0pt;z-index:251666432;mso-width-relative:page;mso-height-relative:page;" fillcolor="#FFFFFF" filled="t" stroked="t" coordsize="21600,21600" o:gfxdata="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VNFru9UAAAAHAQAADwAA&#10;AAAAAAABACAAAAAiAAAAZHJzL2Rvd25yZXYueG1sUEsBAhQAFAAAAAgAh07iQCM97cMZAgAAUQQA&#10;AA4AAAAAAAAAAQAgAAAAJAEAAGRycy9lMm9Eb2MueG1sUEsFBgAAAAAGAAYAWQEAAK8FAAAAAA==&#10;">
                <v:fill on="t" focussize="0,0"/>
                <v:stroke weight="0.5pt" color="#000000" joinstyle="miter"/>
                <v:imagedata o:title=""/>
                <o:lock v:ext="edit" aspectratio="f"/>
                <v:textbox>
                  <w:txbxContent>
                    <w:p>
                      <w:pPr>
                        <w:pStyle w:val="31"/>
                        <w:spacing w:line="360" w:lineRule="auto"/>
                        <w:rPr>
                          <w:rFonts w:ascii="仿宋" w:hAnsi="仿宋" w:eastAsia="仿宋" w:cs="仿宋"/>
                          <w:bCs/>
                          <w:color w:val="000000" w:themeColor="text1"/>
                          <w14:textFill>
                            <w14:solidFill>
                              <w14:schemeClr w14:val="tx1"/>
                            </w14:solidFill>
                          </w14:textFill>
                        </w:rPr>
                      </w:pPr>
                      <w:r>
                        <w:rPr>
                          <w:rFonts w:hint="eastAsia" w:ascii="仿宋" w:hAnsi="仿宋" w:eastAsia="仿宋" w:cs="仿宋"/>
                          <w:bCs/>
                          <w:color w:val="000000" w:themeColor="text1"/>
                          <w14:textFill>
                            <w14:solidFill>
                              <w14:schemeClr w14:val="tx1"/>
                            </w14:solidFill>
                          </w14:textFill>
                        </w:rPr>
                        <w:t>1.龙胜县马堤乡彭祖坪国家健康养生旅游示范基地建设项目。</w:t>
                      </w:r>
                    </w:p>
                    <w:p>
                      <w:pPr>
                        <w:pStyle w:val="31"/>
                        <w:spacing w:line="360" w:lineRule="auto"/>
                        <w:rPr>
                          <w:rFonts w:ascii="仿宋" w:hAnsi="仿宋" w:eastAsia="仿宋" w:cs="仿宋"/>
                          <w:bCs/>
                          <w:color w:val="000000" w:themeColor="text1"/>
                          <w14:textFill>
                            <w14:solidFill>
                              <w14:schemeClr w14:val="tx1"/>
                            </w14:solidFill>
                          </w14:textFill>
                        </w:rPr>
                      </w:pPr>
                      <w:r>
                        <w:rPr>
                          <w:rFonts w:ascii="仿宋" w:hAnsi="仿宋" w:eastAsia="仿宋" w:cs="仿宋"/>
                          <w:bCs/>
                          <w:color w:val="000000" w:themeColor="text1"/>
                          <w14:textFill>
                            <w14:solidFill>
                              <w14:schemeClr w14:val="tx1"/>
                            </w14:solidFill>
                          </w14:textFill>
                        </w:rPr>
                        <w:t>2</w:t>
                      </w:r>
                      <w:r>
                        <w:rPr>
                          <w:rFonts w:hint="eastAsia" w:ascii="仿宋" w:hAnsi="仿宋" w:eastAsia="仿宋" w:cs="仿宋"/>
                          <w:bCs/>
                          <w:color w:val="000000" w:themeColor="text1"/>
                          <w14:textFill>
                            <w14:solidFill>
                              <w14:schemeClr w14:val="tx1"/>
                            </w14:solidFill>
                          </w14:textFill>
                        </w:rPr>
                        <w:t>.龙胜县花坪康寿养生旅游度假区项目。</w:t>
                      </w:r>
                    </w:p>
                    <w:p>
                      <w:pPr>
                        <w:pStyle w:val="31"/>
                        <w:spacing w:line="360" w:lineRule="auto"/>
                        <w:rPr>
                          <w:rFonts w:ascii="仿宋" w:hAnsi="仿宋" w:eastAsia="仿宋" w:cs="仿宋"/>
                          <w:color w:val="000000" w:themeColor="text1"/>
                          <w14:textFill>
                            <w14:solidFill>
                              <w14:schemeClr w14:val="tx1"/>
                            </w14:solidFill>
                          </w14:textFill>
                        </w:rPr>
                      </w:pPr>
                      <w:r>
                        <w:rPr>
                          <w:rFonts w:hint="eastAsia" w:ascii="仿宋" w:hAnsi="仿宋" w:eastAsia="仿宋" w:cs="仿宋"/>
                          <w:color w:val="000000" w:themeColor="text1"/>
                          <w14:textFill>
                            <w14:solidFill>
                              <w14:schemeClr w14:val="tx1"/>
                            </w14:solidFill>
                          </w14:textFill>
                        </w:rPr>
                        <w:t>3.龙胜县百节健康医疗养生养老基地项目。</w:t>
                      </w:r>
                    </w:p>
                    <w:p>
                      <w:pPr>
                        <w:pStyle w:val="31"/>
                        <w:spacing w:line="360" w:lineRule="auto"/>
                        <w:rPr>
                          <w:rFonts w:ascii="仿宋" w:hAnsi="仿宋" w:eastAsia="仿宋" w:cs="仿宋"/>
                          <w:color w:val="000000" w:themeColor="text1"/>
                          <w14:textFill>
                            <w14:solidFill>
                              <w14:schemeClr w14:val="tx1"/>
                            </w14:solidFill>
                          </w14:textFill>
                        </w:rPr>
                      </w:pPr>
                      <w:r>
                        <w:rPr>
                          <w:rFonts w:hint="eastAsia" w:ascii="仿宋" w:hAnsi="仿宋" w:eastAsia="仿宋" w:cs="仿宋"/>
                          <w:color w:val="000000" w:themeColor="text1"/>
                          <w14:textFill>
                            <w14:solidFill>
                              <w14:schemeClr w14:val="tx1"/>
                            </w14:solidFill>
                          </w14:textFill>
                        </w:rPr>
                        <w:t>4.龙脊大道星级酒店建设项目。</w:t>
                      </w:r>
                    </w:p>
                    <w:p>
                      <w:pPr>
                        <w:pStyle w:val="31"/>
                        <w:spacing w:line="360" w:lineRule="auto"/>
                        <w:rPr>
                          <w:rFonts w:ascii="仿宋" w:hAnsi="仿宋" w:eastAsia="仿宋" w:cs="仿宋"/>
                          <w:color w:val="000000" w:themeColor="text1"/>
                          <w14:textFill>
                            <w14:solidFill>
                              <w14:schemeClr w14:val="tx1"/>
                            </w14:solidFill>
                          </w14:textFill>
                        </w:rPr>
                      </w:pPr>
                      <w:r>
                        <w:rPr>
                          <w:rFonts w:hint="eastAsia" w:ascii="仿宋" w:hAnsi="仿宋" w:eastAsia="仿宋" w:cs="仿宋"/>
                          <w:color w:val="000000" w:themeColor="text1"/>
                          <w14:textFill>
                            <w14:solidFill>
                              <w14:schemeClr w14:val="tx1"/>
                            </w14:solidFill>
                          </w14:textFill>
                        </w:rPr>
                        <w:t>5.中国长发博物馆康寿民族文化园项目。</w:t>
                      </w:r>
                    </w:p>
                    <w:p>
                      <w:pPr>
                        <w:pStyle w:val="31"/>
                        <w:spacing w:line="360" w:lineRule="auto"/>
                        <w:ind w:firstLine="482" w:firstLineChars="200"/>
                        <w:rPr>
                          <w:rFonts w:ascii="仿宋" w:hAnsi="仿宋" w:eastAsia="仿宋" w:cs="仿宋"/>
                          <w:b/>
                          <w:bCs/>
                          <w:color w:val="auto"/>
                          <w:kern w:val="2"/>
                        </w:rPr>
                      </w:pPr>
                    </w:p>
                  </w:txbxContent>
                </v:textbox>
                <w10:wrap type="square"/>
              </v:shape>
            </w:pict>
          </mc:Fallback>
        </mc:AlternateContent>
      </w:r>
      <w:r>
        <w:rPr>
          <w:rFonts w:hint="eastAsia" w:ascii="仿宋_GB2312" w:hAnsi="仿宋_GB2312" w:eastAsia="仿宋_GB2312" w:cs="仿宋_GB2312"/>
          <w:b/>
          <w:bCs/>
          <w:color w:val="000000" w:themeColor="text1"/>
          <w:sz w:val="28"/>
          <w:szCs w:val="28"/>
          <w14:textFill>
            <w14:solidFill>
              <w14:schemeClr w14:val="tx1"/>
            </w14:solidFill>
          </w14:textFill>
        </w:rPr>
        <w:t>专栏10   服务业重大建设工程</w:t>
      </w:r>
    </w:p>
    <w:p>
      <w:pPr>
        <w:pStyle w:val="31"/>
        <w:snapToGrid w:val="0"/>
        <w:spacing w:line="520" w:lineRule="exact"/>
        <w:jc w:val="both"/>
        <w:textAlignment w:val="baseline"/>
        <w:rPr>
          <w:rFonts w:ascii="Times New Roman" w:hAnsi="Times New Roman" w:eastAsia="仿宋_GB2312"/>
          <w:color w:val="000000" w:themeColor="text1"/>
          <w:kern w:val="2"/>
          <w:sz w:val="32"/>
          <w:szCs w:val="32"/>
          <w14:textFill>
            <w14:solidFill>
              <w14:schemeClr w14:val="tx1"/>
            </w14:solidFill>
          </w14:textFill>
        </w:rPr>
      </w:pPr>
    </w:p>
    <w:p>
      <w:pPr>
        <w:pStyle w:val="6"/>
        <w:adjustRightInd w:val="0"/>
        <w:snapToGrid w:val="0"/>
        <w:spacing w:line="520" w:lineRule="exact"/>
        <w:textAlignment w:val="baseline"/>
        <w:rPr>
          <w:rFonts w:ascii="Times New Roman" w:hAnsi="Times New Roman"/>
          <w:color w:val="000000" w:themeColor="text1"/>
          <w14:textFill>
            <w14:solidFill>
              <w14:schemeClr w14:val="tx1"/>
            </w14:solidFill>
          </w14:textFill>
        </w:rPr>
        <w:sectPr>
          <w:footnotePr>
            <w:numFmt w:val="decimalEnclosedCircleChinese"/>
          </w:footnotePr>
          <w:pgSz w:w="11906" w:h="16838"/>
          <w:pgMar w:top="1587" w:right="1417" w:bottom="1304" w:left="1417" w:header="851" w:footer="850" w:gutter="0"/>
          <w:cols w:space="0" w:num="1"/>
          <w:docGrid w:type="lines" w:linePitch="312" w:charSpace="0"/>
        </w:sectPr>
      </w:pPr>
    </w:p>
    <w:p>
      <w:pPr>
        <w:pStyle w:val="4"/>
        <w:keepNext w:val="0"/>
        <w:keepLines w:val="0"/>
        <w:spacing w:before="0" w:after="0" w:line="560" w:lineRule="exact"/>
        <w:jc w:val="center"/>
        <w:rPr>
          <w:rFonts w:ascii="黑体" w:hAnsi="黑体" w:eastAsia="黑体" w:cs="黑体"/>
          <w:b w:val="0"/>
          <w:color w:val="000000" w:themeColor="text1"/>
          <w14:textFill>
            <w14:solidFill>
              <w14:schemeClr w14:val="tx1"/>
            </w14:solidFill>
          </w14:textFill>
        </w:rPr>
      </w:pPr>
      <w:bookmarkStart w:id="284" w:name="_Toc31"/>
      <w:bookmarkStart w:id="285" w:name="_Toc61110818"/>
      <w:r>
        <w:rPr>
          <w:rFonts w:hint="eastAsia" w:ascii="黑体" w:hAnsi="黑体" w:eastAsia="黑体" w:cs="黑体"/>
          <w:b w:val="0"/>
          <w:color w:val="000000" w:themeColor="text1"/>
          <w14:textFill>
            <w14:solidFill>
              <w14:schemeClr w14:val="tx1"/>
            </w14:solidFill>
          </w14:textFill>
        </w:rPr>
        <w:t>第十三章  增进民生福祉  聚焦民生关切</w:t>
      </w:r>
      <w:bookmarkEnd w:id="208"/>
      <w:bookmarkEnd w:id="209"/>
      <w:bookmarkEnd w:id="284"/>
      <w:bookmarkEnd w:id="285"/>
    </w:p>
    <w:p>
      <w:pPr>
        <w:spacing w:line="560" w:lineRule="exact"/>
        <w:ind w:firstLine="640" w:firstLineChars="200"/>
        <w:textAlignment w:val="baseline"/>
        <w:rPr>
          <w:rFonts w:ascii="仿宋_GB2312" w:hAnsi="仿宋_GB2312" w:eastAsia="仿宋_GB2312" w:cs="仿宋_GB2312"/>
          <w:color w:val="000000" w:themeColor="text1"/>
          <w:kern w:val="0"/>
          <w:sz w:val="32"/>
          <w:szCs w:val="32"/>
          <w14:textFill>
            <w14:solidFill>
              <w14:schemeClr w14:val="tx1"/>
            </w14:solidFill>
          </w14:textFill>
        </w:rPr>
      </w:pPr>
    </w:p>
    <w:p>
      <w:pPr>
        <w:spacing w:line="590" w:lineRule="exact"/>
        <w:ind w:firstLine="640" w:firstLineChars="200"/>
        <w:textAlignment w:val="baseline"/>
        <w:rPr>
          <w:rFonts w:ascii="仿宋_GB2312" w:hAnsi="仿宋_GB2312" w:eastAsia="仿宋_GB2312" w:cs="仿宋_GB2312"/>
          <w:color w:val="000000" w:themeColor="text1"/>
          <w:kern w:val="0"/>
          <w:sz w:val="32"/>
          <w:szCs w:val="32"/>
          <w14:textFill>
            <w14:solidFill>
              <w14:schemeClr w14:val="tx1"/>
            </w14:solidFill>
          </w14:textFill>
        </w:rPr>
      </w:pPr>
      <w:r>
        <w:rPr>
          <w:rFonts w:hint="eastAsia" w:ascii="仿宋_GB2312" w:hAnsi="仿宋_GB2312" w:eastAsia="仿宋_GB2312" w:cs="仿宋_GB2312"/>
          <w:color w:val="000000" w:themeColor="text1"/>
          <w:kern w:val="0"/>
          <w:sz w:val="32"/>
          <w:szCs w:val="32"/>
          <w14:textFill>
            <w14:solidFill>
              <w14:schemeClr w14:val="tx1"/>
            </w14:solidFill>
          </w14:textFill>
        </w:rPr>
        <w:t>坚持人民主体地位和人民利益至上，打造“党离不开人民，人民离不开党”命运共同体。以人民对美好生活的向往作为奋斗目标，切实为人民群众办实事、解难事，着力解决人民群众最关心、最直接、最现实的利益问题，逐步实现“学有所教、劳有所得、病有所医、老有所养、住有所居”，实现发展成果更多惠及民众，增强发展动力，提升居民幸福指数，增进人民团结。</w:t>
      </w:r>
    </w:p>
    <w:p>
      <w:pPr>
        <w:pStyle w:val="4"/>
        <w:keepNext w:val="0"/>
        <w:keepLines w:val="0"/>
        <w:spacing w:before="0" w:after="0" w:line="590" w:lineRule="exact"/>
        <w:ind w:firstLine="602" w:firstLineChars="200"/>
        <w:rPr>
          <w:rFonts w:ascii="仿宋_GB2312" w:hAnsi="仿宋_GB2312" w:eastAsia="仿宋_GB2312" w:cs="仿宋_GB2312"/>
          <w:bCs w:val="0"/>
          <w:color w:val="000000" w:themeColor="text1"/>
          <w:sz w:val="30"/>
          <w:szCs w:val="30"/>
          <w14:textFill>
            <w14:solidFill>
              <w14:schemeClr w14:val="tx1"/>
            </w14:solidFill>
          </w14:textFill>
        </w:rPr>
      </w:pPr>
      <w:bookmarkStart w:id="286" w:name="_Toc2249"/>
      <w:bookmarkStart w:id="287" w:name="_Toc61110819"/>
    </w:p>
    <w:p>
      <w:pPr>
        <w:pStyle w:val="4"/>
        <w:keepNext w:val="0"/>
        <w:keepLines w:val="0"/>
        <w:spacing w:before="0" w:after="0" w:line="59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第一节  推动教育增量提质</w:t>
      </w:r>
      <w:bookmarkEnd w:id="286"/>
      <w:bookmarkEnd w:id="287"/>
    </w:p>
    <w:p>
      <w:pPr>
        <w:spacing w:line="590" w:lineRule="exact"/>
        <w:ind w:firstLine="640" w:firstLineChars="200"/>
        <w:textAlignment w:val="baseline"/>
        <w:rPr>
          <w:rFonts w:ascii="仿宋_GB2312" w:hAnsi="仿宋_GB2312" w:eastAsia="仿宋_GB2312" w:cs="仿宋_GB2312"/>
          <w:color w:val="000000" w:themeColor="text1"/>
          <w:kern w:val="0"/>
          <w:sz w:val="32"/>
          <w:szCs w:val="32"/>
          <w14:textFill>
            <w14:solidFill>
              <w14:schemeClr w14:val="tx1"/>
            </w14:solidFill>
          </w14:textFill>
        </w:rPr>
      </w:pPr>
    </w:p>
    <w:p>
      <w:pPr>
        <w:spacing w:line="590" w:lineRule="exact"/>
        <w:ind w:firstLine="640" w:firstLineChars="200"/>
        <w:textAlignment w:val="baseline"/>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kern w:val="0"/>
          <w:sz w:val="32"/>
          <w:szCs w:val="32"/>
          <w14:textFill>
            <w14:solidFill>
              <w14:schemeClr w14:val="tx1"/>
            </w14:solidFill>
          </w14:textFill>
        </w:rPr>
        <w:t>坚持新发展理念，以质量为核心、改革为动力、教师为关键、服务为宗旨，扎实推进教育优质均衡更加坚定、更高质量、更趋公平、更可持续地发展。</w:t>
      </w:r>
      <w:r>
        <w:rPr>
          <w:rFonts w:hint="eastAsia" w:ascii="仿宋_GB2312" w:hAnsi="仿宋_GB2312" w:eastAsia="仿宋_GB2312" w:cs="仿宋_GB2312"/>
          <w:b/>
          <w:bCs/>
          <w:color w:val="000000" w:themeColor="text1"/>
          <w:sz w:val="32"/>
          <w:szCs w:val="32"/>
          <w14:textFill>
            <w14:solidFill>
              <w14:schemeClr w14:val="tx1"/>
            </w14:solidFill>
          </w14:textFill>
        </w:rPr>
        <w:t>一是</w:t>
      </w:r>
      <w:r>
        <w:rPr>
          <w:rFonts w:hint="eastAsia" w:ascii="仿宋_GB2312" w:hAnsi="仿宋_GB2312" w:eastAsia="仿宋_GB2312" w:cs="仿宋_GB2312"/>
          <w:color w:val="000000" w:themeColor="text1"/>
          <w:kern w:val="0"/>
          <w:sz w:val="32"/>
          <w:szCs w:val="32"/>
          <w14:textFill>
            <w14:solidFill>
              <w14:schemeClr w14:val="tx1"/>
            </w14:solidFill>
          </w14:textFill>
        </w:rPr>
        <w:t>深入教育改革，推动龙脊大道教育园区“一贯制”教育基本形成。加快推进智慧教育创新发展，构建“互联网+教育”支撑服务平台普及应用，以信息化推进教育现代化。狠抓控辍保学，加强义务教育学校常规管理，促进学校常规管理工作规范化、制度化和精细化。加强师德师风建设，推进学区制管理制和县管校聘改革。</w:t>
      </w:r>
      <w:r>
        <w:rPr>
          <w:rFonts w:hint="eastAsia" w:ascii="仿宋_GB2312" w:hAnsi="仿宋_GB2312" w:eastAsia="仿宋_GB2312" w:cs="仿宋_GB2312"/>
          <w:b/>
          <w:bCs/>
          <w:color w:val="000000" w:themeColor="text1"/>
          <w:sz w:val="32"/>
          <w:szCs w:val="32"/>
          <w14:textFill>
            <w14:solidFill>
              <w14:schemeClr w14:val="tx1"/>
            </w14:solidFill>
          </w14:textFill>
        </w:rPr>
        <w:t>二是</w:t>
      </w:r>
      <w:r>
        <w:rPr>
          <w:rFonts w:hint="eastAsia" w:ascii="仿宋_GB2312" w:hAnsi="仿宋_GB2312" w:eastAsia="仿宋_GB2312" w:cs="仿宋_GB2312"/>
          <w:color w:val="000000" w:themeColor="text1"/>
          <w:sz w:val="32"/>
          <w:szCs w:val="32"/>
          <w14:textFill>
            <w14:solidFill>
              <w14:schemeClr w14:val="tx1"/>
            </w14:solidFill>
          </w14:textFill>
        </w:rPr>
        <w:t>加强学校标准化建设，补齐短板加快提档升级。</w:t>
      </w:r>
      <w:r>
        <w:rPr>
          <w:rFonts w:hint="eastAsia" w:ascii="仿宋_GB2312" w:hAnsi="仿宋_GB2312" w:eastAsia="仿宋_GB2312" w:cs="仿宋_GB2312"/>
          <w:bCs/>
          <w:color w:val="000000" w:themeColor="text1"/>
          <w:sz w:val="32"/>
          <w:szCs w:val="32"/>
          <w14:textFill>
            <w14:solidFill>
              <w14:schemeClr w14:val="tx1"/>
            </w14:solidFill>
          </w14:textFill>
        </w:rPr>
        <w:t>新建龙</w:t>
      </w:r>
      <w:r>
        <w:rPr>
          <w:rFonts w:hint="eastAsia" w:ascii="仿宋_GB2312" w:hAnsi="仿宋_GB2312" w:eastAsia="仿宋_GB2312" w:cs="仿宋_GB2312"/>
          <w:color w:val="000000" w:themeColor="text1"/>
          <w:sz w:val="32"/>
          <w:szCs w:val="32"/>
          <w14:textFill>
            <w14:solidFill>
              <w14:schemeClr w14:val="tx1"/>
            </w14:solidFill>
          </w14:textFill>
        </w:rPr>
        <w:t>胜镇第三小学，改扩建马堤乡芙蓉小学；续建龙胜镇第二小学、移民创业园幼儿园、龙胜镇初级中学、第二高中四所学校；改善教师住房条件及相关小学、幼儿园办学条件。</w:t>
      </w:r>
      <w:r>
        <w:rPr>
          <w:rFonts w:hint="eastAsia" w:ascii="仿宋_GB2312" w:hAnsi="仿宋_GB2312" w:eastAsia="仿宋_GB2312" w:cs="仿宋_GB2312"/>
          <w:b/>
          <w:bCs/>
          <w:color w:val="000000" w:themeColor="text1"/>
          <w:sz w:val="32"/>
          <w:szCs w:val="32"/>
          <w14:textFill>
            <w14:solidFill>
              <w14:schemeClr w14:val="tx1"/>
            </w14:solidFill>
          </w14:textFill>
        </w:rPr>
        <w:t>三是</w:t>
      </w:r>
      <w:r>
        <w:rPr>
          <w:rFonts w:hint="eastAsia" w:ascii="仿宋_GB2312" w:hAnsi="仿宋_GB2312" w:eastAsia="仿宋_GB2312" w:cs="仿宋_GB2312"/>
          <w:color w:val="000000" w:themeColor="text1"/>
          <w:sz w:val="32"/>
          <w:szCs w:val="32"/>
          <w14:textFill>
            <w14:solidFill>
              <w14:schemeClr w14:val="tx1"/>
            </w14:solidFill>
          </w14:textFill>
        </w:rPr>
        <w:t>落实教育优先保障。学前教育：完善乡镇中心公办幼儿园，发展村级幼儿园,促进学前教育均衡发展。到2025年基本普及学前教育，学前教育入园率达到94%；义务教育：巩固义务教育成果，到2025年，九年义务教育巩固率达98%；普通高中教育：高中阶段毛入学率达94%；职成教育：发展职业教育，实现覆盖县、乡镇、村一体的成职教育培训网络。打造少数民族地区社区教育“龙胜模式”；建设全民学习、终身学习的学习型社会；民办教育：合理布局民办教育机构，支持、引导、依法管理民办教育；特殊教育：残疾儿童少年入学率达到100%以上。</w:t>
      </w:r>
    </w:p>
    <w:p>
      <w:pPr>
        <w:pStyle w:val="4"/>
        <w:keepNext w:val="0"/>
        <w:keepLines w:val="0"/>
        <w:spacing w:before="0" w:after="0" w:line="590" w:lineRule="exact"/>
        <w:ind w:firstLine="602" w:firstLineChars="200"/>
        <w:rPr>
          <w:rFonts w:ascii="仿宋_GB2312" w:hAnsi="仿宋_GB2312" w:eastAsia="仿宋_GB2312" w:cs="仿宋_GB2312"/>
          <w:bCs w:val="0"/>
          <w:color w:val="000000" w:themeColor="text1"/>
          <w:sz w:val="30"/>
          <w:szCs w:val="30"/>
          <w14:textFill>
            <w14:solidFill>
              <w14:schemeClr w14:val="tx1"/>
            </w14:solidFill>
          </w14:textFill>
        </w:rPr>
      </w:pPr>
      <w:bookmarkStart w:id="288" w:name="_Toc8907"/>
      <w:bookmarkStart w:id="289" w:name="_Toc61110820"/>
    </w:p>
    <w:p>
      <w:pPr>
        <w:pStyle w:val="4"/>
        <w:keepNext w:val="0"/>
        <w:keepLines w:val="0"/>
        <w:spacing w:before="0" w:after="0" w:line="59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第二节  增强卫生健康水平</w:t>
      </w:r>
      <w:bookmarkEnd w:id="288"/>
      <w:bookmarkEnd w:id="289"/>
    </w:p>
    <w:p>
      <w:pPr>
        <w:spacing w:line="590" w:lineRule="exact"/>
        <w:ind w:firstLine="640" w:firstLineChars="200"/>
        <w:rPr>
          <w:rFonts w:ascii="仿宋_GB2312" w:hAnsi="仿宋_GB2312" w:eastAsia="仿宋_GB2312" w:cs="仿宋_GB2312"/>
          <w:bCs/>
          <w:color w:val="000000" w:themeColor="text1"/>
          <w:sz w:val="32"/>
          <w:szCs w:val="32"/>
          <w14:textFill>
            <w14:solidFill>
              <w14:schemeClr w14:val="tx1"/>
            </w14:solidFill>
          </w14:textFill>
        </w:rPr>
      </w:pPr>
      <w:bookmarkStart w:id="290" w:name="_Toc31925"/>
    </w:p>
    <w:p>
      <w:pPr>
        <w:spacing w:line="590" w:lineRule="exact"/>
        <w:ind w:firstLine="640" w:firstLineChars="200"/>
        <w:rPr>
          <w:rFonts w:ascii="仿宋_GB2312" w:hAnsi="仿宋_GB2312" w:eastAsia="仿宋_GB2312" w:cs="仿宋_GB2312"/>
          <w:bCs/>
          <w:color w:val="000000" w:themeColor="text1"/>
          <w:sz w:val="32"/>
          <w:szCs w:val="32"/>
          <w14:textFill>
            <w14:solidFill>
              <w14:schemeClr w14:val="tx1"/>
            </w14:solidFill>
          </w14:textFill>
        </w:rPr>
      </w:pPr>
      <w:r>
        <w:rPr>
          <w:rFonts w:hint="eastAsia" w:ascii="仿宋_GB2312" w:hAnsi="仿宋_GB2312" w:eastAsia="仿宋_GB2312" w:cs="仿宋_GB2312"/>
          <w:bCs/>
          <w:color w:val="000000" w:themeColor="text1"/>
          <w:sz w:val="32"/>
          <w:szCs w:val="32"/>
          <w14:textFill>
            <w14:solidFill>
              <w14:schemeClr w14:val="tx1"/>
            </w14:solidFill>
          </w14:textFill>
        </w:rPr>
        <w:t>到2025年，建立健全适应社会主义市场经济要求、适应构建社会主义和谐社会要求和人民健康需求的公共卫生服务体系、医疗卫生服务体系、家庭发展服务体系、中医药服务能力体系、卫生公共安全体系以及应对突发公共卫生事件及突发灾难的医疗救治体系，使城乡居民享有同比较富裕的小康生活水平相适应的、质量比较优良的、费用比较低廉的基本医疗服务。加强爱卫组织管理和健康教育工作，深入开展爱国卫生运动，加强巩固自治区卫生县城及健康教育宣传。加强职业健康监管体系建设，提升全民健康素养和健康水平。</w:t>
      </w:r>
      <w:r>
        <w:rPr>
          <w:rFonts w:hint="eastAsia" w:ascii="仿宋_GB2312" w:hAnsi="仿宋_GB2312" w:eastAsia="仿宋_GB2312" w:cs="仿宋_GB2312"/>
          <w:b/>
          <w:color w:val="000000" w:themeColor="text1"/>
          <w:sz w:val="32"/>
          <w:szCs w:val="32"/>
          <w14:textFill>
            <w14:solidFill>
              <w14:schemeClr w14:val="tx1"/>
            </w14:solidFill>
          </w14:textFill>
        </w:rPr>
        <w:t>一是</w:t>
      </w:r>
      <w:r>
        <w:rPr>
          <w:rFonts w:hint="eastAsia" w:ascii="仿宋_GB2312" w:hAnsi="仿宋_GB2312" w:eastAsia="仿宋_GB2312" w:cs="仿宋_GB2312"/>
          <w:bCs/>
          <w:color w:val="000000" w:themeColor="text1"/>
          <w:sz w:val="32"/>
          <w:szCs w:val="32"/>
          <w14:textFill>
            <w14:solidFill>
              <w14:schemeClr w14:val="tx1"/>
            </w14:solidFill>
          </w14:textFill>
        </w:rPr>
        <w:t>完善公共卫生服务体系，强化覆盖全民的公共卫生服务。以预防为主，加强重大传染病防治能力建设，增强慢性病综合防控和卫生健康保障能力，提高公共卫生预测预警和应急能力。</w:t>
      </w:r>
      <w:r>
        <w:rPr>
          <w:rFonts w:hint="eastAsia" w:ascii="仿宋_GB2312" w:hAnsi="仿宋_GB2312" w:eastAsia="仿宋_GB2312" w:cs="仿宋_GB2312"/>
          <w:b/>
          <w:color w:val="000000" w:themeColor="text1"/>
          <w:sz w:val="32"/>
          <w:szCs w:val="32"/>
          <w14:textFill>
            <w14:solidFill>
              <w14:schemeClr w14:val="tx1"/>
            </w14:solidFill>
          </w14:textFill>
        </w:rPr>
        <w:t>二是</w:t>
      </w:r>
      <w:r>
        <w:rPr>
          <w:rFonts w:hint="eastAsia" w:ascii="仿宋_GB2312" w:hAnsi="仿宋_GB2312" w:eastAsia="仿宋_GB2312" w:cs="仿宋_GB2312"/>
          <w:bCs/>
          <w:color w:val="000000" w:themeColor="text1"/>
          <w:sz w:val="32"/>
          <w:szCs w:val="32"/>
          <w14:textFill>
            <w14:solidFill>
              <w14:schemeClr w14:val="tx1"/>
            </w14:solidFill>
          </w14:textFill>
        </w:rPr>
        <w:t>完善医疗卫生服务体系，推动优质医疗资源向基层流动。合理规划城乡医疗卫生机构的数量、规模、布局和功能，全面深化医药卫生体制改革，大力推进县域医共体建设，促进卫生服务均等化，巩固健康扶贫成果，使城乡居民享有均等化的基本公共卫生服务。</w:t>
      </w:r>
      <w:r>
        <w:rPr>
          <w:rFonts w:hint="eastAsia" w:ascii="仿宋_GB2312" w:hAnsi="仿宋_GB2312" w:eastAsia="仿宋_GB2312" w:cs="仿宋_GB2312"/>
          <w:b/>
          <w:color w:val="000000" w:themeColor="text1"/>
          <w:sz w:val="32"/>
          <w:szCs w:val="32"/>
          <w14:textFill>
            <w14:solidFill>
              <w14:schemeClr w14:val="tx1"/>
            </w14:solidFill>
          </w14:textFill>
        </w:rPr>
        <w:t>三是</w:t>
      </w:r>
      <w:r>
        <w:rPr>
          <w:rFonts w:hint="eastAsia" w:ascii="仿宋_GB2312" w:hAnsi="仿宋_GB2312" w:eastAsia="仿宋_GB2312" w:cs="仿宋_GB2312"/>
          <w:bCs/>
          <w:color w:val="000000" w:themeColor="text1"/>
          <w:sz w:val="32"/>
          <w:szCs w:val="32"/>
          <w14:textFill>
            <w14:solidFill>
              <w14:schemeClr w14:val="tx1"/>
            </w14:solidFill>
          </w14:textFill>
        </w:rPr>
        <w:t>完善家庭发展服务体系，加强重点人群健康服务。推进人口监测与家庭发展，加强老年、妇幼等重点人群健康服务，促进3岁以下婴幼儿照护发展工作，建立健康养老示范基地，促进健康与养老、旅游、互联网、健身休闲、食品融合，催生健康新产业、新业态、新模式。</w:t>
      </w:r>
      <w:r>
        <w:rPr>
          <w:rFonts w:hint="eastAsia" w:ascii="仿宋_GB2312" w:hAnsi="仿宋_GB2312" w:eastAsia="仿宋_GB2312" w:cs="仿宋_GB2312"/>
          <w:b/>
          <w:color w:val="000000" w:themeColor="text1"/>
          <w:sz w:val="32"/>
          <w:szCs w:val="32"/>
          <w14:textFill>
            <w14:solidFill>
              <w14:schemeClr w14:val="tx1"/>
            </w14:solidFill>
          </w14:textFill>
        </w:rPr>
        <w:t>四是</w:t>
      </w:r>
      <w:r>
        <w:rPr>
          <w:rFonts w:hint="eastAsia" w:ascii="仿宋_GB2312" w:hAnsi="仿宋_GB2312" w:eastAsia="仿宋_GB2312" w:cs="仿宋_GB2312"/>
          <w:bCs/>
          <w:color w:val="000000" w:themeColor="text1"/>
          <w:sz w:val="32"/>
          <w:szCs w:val="32"/>
          <w14:textFill>
            <w14:solidFill>
              <w14:schemeClr w14:val="tx1"/>
            </w14:solidFill>
          </w14:textFill>
        </w:rPr>
        <w:t>完善中医药服务能力体系，推进中医药继承创新。探索构建中医与旅游、养老等相结合的服务新模式，发展中医养生保健治未病服务。</w:t>
      </w:r>
      <w:r>
        <w:rPr>
          <w:rFonts w:hint="eastAsia" w:ascii="仿宋_GB2312" w:hAnsi="仿宋_GB2312" w:eastAsia="仿宋_GB2312" w:cs="仿宋_GB2312"/>
          <w:b/>
          <w:color w:val="000000" w:themeColor="text1"/>
          <w:sz w:val="32"/>
          <w:szCs w:val="32"/>
          <w14:textFill>
            <w14:solidFill>
              <w14:schemeClr w14:val="tx1"/>
            </w14:solidFill>
          </w14:textFill>
        </w:rPr>
        <w:t>五是</w:t>
      </w:r>
      <w:r>
        <w:rPr>
          <w:rFonts w:hint="eastAsia" w:ascii="仿宋_GB2312" w:hAnsi="仿宋_GB2312" w:eastAsia="仿宋_GB2312" w:cs="仿宋_GB2312"/>
          <w:bCs/>
          <w:color w:val="000000" w:themeColor="text1"/>
          <w:sz w:val="32"/>
          <w:szCs w:val="32"/>
          <w14:textFill>
            <w14:solidFill>
              <w14:schemeClr w14:val="tx1"/>
            </w14:solidFill>
          </w14:textFill>
        </w:rPr>
        <w:t>完善卫生公共安全体系，强化职业健康建设。健全急救网络，全面加强医疗卫生健康行业监管，推进卫生计生执法监督工作。</w:t>
      </w:r>
    </w:p>
    <w:p>
      <w:pPr>
        <w:pStyle w:val="4"/>
        <w:keepNext w:val="0"/>
        <w:keepLines w:val="0"/>
        <w:spacing w:before="0" w:after="0" w:line="560" w:lineRule="exact"/>
        <w:ind w:firstLine="602" w:firstLineChars="200"/>
        <w:rPr>
          <w:rFonts w:ascii="仿宋_GB2312" w:hAnsi="仿宋_GB2312" w:eastAsia="仿宋_GB2312" w:cs="仿宋_GB2312"/>
          <w:bCs w:val="0"/>
          <w:color w:val="000000" w:themeColor="text1"/>
          <w:sz w:val="30"/>
          <w:szCs w:val="30"/>
          <w14:textFill>
            <w14:solidFill>
              <w14:schemeClr w14:val="tx1"/>
            </w14:solidFill>
          </w14:textFill>
        </w:rPr>
      </w:pPr>
      <w:bookmarkStart w:id="291" w:name="_Toc61110821"/>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第三节  完善社会保障制度</w:t>
      </w:r>
      <w:bookmarkEnd w:id="290"/>
      <w:bookmarkEnd w:id="291"/>
    </w:p>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p>
    <w:p>
      <w:pPr>
        <w:spacing w:line="560" w:lineRule="exact"/>
        <w:ind w:firstLine="640" w:firstLineChars="200"/>
        <w:rPr>
          <w:rFonts w:ascii="仿宋_GB2312" w:hAnsi="仿宋_GB2312" w:eastAsia="仿宋_GB2312" w:cs="仿宋_GB2312"/>
          <w:color w:val="000000" w:themeColor="text1"/>
          <w:kern w:val="36"/>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完善覆盖城乡、人人享有、保障更好的社会保障格局，形成法制健全、保障方式多层次、资金来源多渠道的社会保障体系。</w:t>
      </w:r>
      <w:r>
        <w:rPr>
          <w:rFonts w:hint="eastAsia" w:ascii="仿宋_GB2312" w:hAnsi="仿宋_GB2312" w:eastAsia="仿宋_GB2312" w:cs="仿宋_GB2312"/>
          <w:b/>
          <w:color w:val="000000" w:themeColor="text1"/>
          <w:sz w:val="32"/>
          <w:szCs w:val="32"/>
          <w14:textFill>
            <w14:solidFill>
              <w14:schemeClr w14:val="tx1"/>
            </w14:solidFill>
          </w14:textFill>
        </w:rPr>
        <w:t>一是</w:t>
      </w:r>
      <w:r>
        <w:rPr>
          <w:rFonts w:hint="eastAsia" w:ascii="仿宋_GB2312" w:hAnsi="仿宋_GB2312" w:eastAsia="仿宋_GB2312" w:cs="仿宋_GB2312"/>
          <w:color w:val="000000" w:themeColor="text1"/>
          <w:sz w:val="32"/>
          <w:szCs w:val="32"/>
          <w14:textFill>
            <w14:solidFill>
              <w14:schemeClr w14:val="tx1"/>
            </w14:solidFill>
          </w14:textFill>
        </w:rPr>
        <w:t>落实城乡最低生活保障、城乡特困供养生活救济、特困对象无房户住房援助、慈善援助等救助政策，完善社会福利、民间组织管理、乡镇社区日间照料中心和福利院等规范化管理、社区建设、区划管理等各项管理制度。</w:t>
      </w:r>
      <w:r>
        <w:rPr>
          <w:rFonts w:hint="eastAsia" w:ascii="仿宋_GB2312" w:hAnsi="仿宋_GB2312" w:eastAsia="仿宋_GB2312" w:cs="仿宋_GB2312"/>
          <w:b/>
          <w:color w:val="000000" w:themeColor="text1"/>
          <w:sz w:val="32"/>
          <w:szCs w:val="32"/>
          <w14:textFill>
            <w14:solidFill>
              <w14:schemeClr w14:val="tx1"/>
            </w14:solidFill>
          </w14:textFill>
        </w:rPr>
        <w:t>二是</w:t>
      </w:r>
      <w:r>
        <w:rPr>
          <w:rFonts w:hint="eastAsia" w:ascii="仿宋_GB2312" w:hAnsi="仿宋_GB2312" w:eastAsia="仿宋_GB2312" w:cs="仿宋_GB2312"/>
          <w:color w:val="000000" w:themeColor="text1"/>
          <w:sz w:val="32"/>
          <w:szCs w:val="32"/>
          <w14:textFill>
            <w14:solidFill>
              <w14:schemeClr w14:val="tx1"/>
            </w14:solidFill>
          </w14:textFill>
        </w:rPr>
        <w:t>实施养老服务业综合改革，推进医养结合，营造良好的养老服务环境。大力推进殡葬改革，建成县级殡仪馆和城市公益性公墓，配备火化设施，乡镇、村公益性公墓（骨灰堂）覆盖率明显提高，丧葬陋习和散埋乱葬等问题得到有效遏制，文明节俭、绿色环保殡葬新风尚逐步形成，覆盖城乡的殡葬公共服务体系基本建立。</w:t>
      </w:r>
      <w:r>
        <w:rPr>
          <w:rFonts w:hint="eastAsia" w:ascii="仿宋_GB2312" w:hAnsi="仿宋_GB2312" w:eastAsia="仿宋_GB2312" w:cs="仿宋_GB2312"/>
          <w:b/>
          <w:bCs/>
          <w:color w:val="000000" w:themeColor="text1"/>
          <w:sz w:val="32"/>
          <w:szCs w:val="32"/>
          <w14:textFill>
            <w14:solidFill>
              <w14:schemeClr w14:val="tx1"/>
            </w14:solidFill>
          </w14:textFill>
        </w:rPr>
        <w:t>三是</w:t>
      </w:r>
      <w:r>
        <w:rPr>
          <w:rFonts w:hint="eastAsia" w:ascii="仿宋_GB2312" w:hAnsi="仿宋_GB2312" w:eastAsia="仿宋_GB2312" w:cs="仿宋_GB2312"/>
          <w:color w:val="000000" w:themeColor="text1"/>
          <w:sz w:val="32"/>
          <w:szCs w:val="32"/>
          <w14:textFill>
            <w14:solidFill>
              <w14:schemeClr w14:val="tx1"/>
            </w14:solidFill>
          </w14:textFill>
        </w:rPr>
        <w:t>建立可持续的社会保障制度，实行全民覆盖、保障适度、权责清晰、运行高效，稳步提高社会保障统筹层次和水平。</w:t>
      </w:r>
      <w:r>
        <w:rPr>
          <w:rFonts w:hint="eastAsia" w:ascii="仿宋_GB2312" w:hAnsi="仿宋_GB2312" w:eastAsia="仿宋_GB2312" w:cs="仿宋_GB2312"/>
          <w:b/>
          <w:bCs/>
          <w:color w:val="000000" w:themeColor="text1"/>
          <w:sz w:val="32"/>
          <w:szCs w:val="32"/>
          <w14:textFill>
            <w14:solidFill>
              <w14:schemeClr w14:val="tx1"/>
            </w14:solidFill>
          </w14:textFill>
        </w:rPr>
        <w:t>四是</w:t>
      </w:r>
      <w:r>
        <w:rPr>
          <w:rFonts w:hint="eastAsia" w:ascii="仿宋_GB2312" w:hAnsi="仿宋_GB2312" w:eastAsia="仿宋_GB2312" w:cs="仿宋_GB2312"/>
          <w:color w:val="000000" w:themeColor="text1"/>
          <w:sz w:val="32"/>
          <w:szCs w:val="32"/>
          <w14:textFill>
            <w14:solidFill>
              <w14:schemeClr w14:val="tx1"/>
            </w14:solidFill>
          </w14:textFill>
        </w:rPr>
        <w:t>构建和谐劳动关系，维护劳动者合法权益。规范企业用工行为，形成主体清晰、程序规范、方式多样、运行高效的多层次劳动关系调整机制。</w:t>
      </w:r>
      <w:r>
        <w:rPr>
          <w:rFonts w:hint="eastAsia" w:ascii="仿宋_GB2312" w:hAnsi="仿宋_GB2312" w:eastAsia="仿宋_GB2312" w:cs="仿宋_GB2312"/>
          <w:b/>
          <w:bCs/>
          <w:color w:val="000000" w:themeColor="text1"/>
          <w:sz w:val="32"/>
          <w:szCs w:val="32"/>
          <w14:textFill>
            <w14:solidFill>
              <w14:schemeClr w14:val="tx1"/>
            </w14:solidFill>
          </w14:textFill>
        </w:rPr>
        <w:t>五是</w:t>
      </w:r>
      <w:r>
        <w:rPr>
          <w:rFonts w:hint="eastAsia" w:ascii="仿宋_GB2312" w:hAnsi="仿宋_GB2312" w:eastAsia="仿宋_GB2312" w:cs="仿宋_GB2312"/>
          <w:color w:val="000000" w:themeColor="text1"/>
          <w:sz w:val="32"/>
          <w:szCs w:val="32"/>
          <w14:textFill>
            <w14:solidFill>
              <w14:schemeClr w14:val="tx1"/>
            </w14:solidFill>
          </w14:textFill>
        </w:rPr>
        <w:t>加强基础能力建设，提升公共服务水平。做好公共就业、社会保险、调解仲裁和劳动保障监察等服务设施建设，推行社会保障一卡通，提高公共服务能力和水平，为广大人民群众提供规范、便捷、高效的公共服务。到2025年，基本医疗保险参保率达100%，</w:t>
      </w:r>
      <w:r>
        <w:rPr>
          <w:rFonts w:hint="eastAsia" w:ascii="仿宋_GB2312" w:hAnsi="仿宋_GB2312" w:eastAsia="仿宋_GB2312" w:cs="仿宋_GB2312"/>
          <w:color w:val="000000" w:themeColor="text1"/>
          <w:kern w:val="36"/>
          <w:sz w:val="32"/>
          <w:szCs w:val="32"/>
          <w14:textFill>
            <w14:solidFill>
              <w14:schemeClr w14:val="tx1"/>
            </w14:solidFill>
          </w14:textFill>
        </w:rPr>
        <w:t>提供更完善的基本医疗服务</w:t>
      </w:r>
      <w:r>
        <w:rPr>
          <w:rFonts w:hint="eastAsia" w:ascii="仿宋_GB2312" w:hAnsi="仿宋_GB2312" w:eastAsia="仿宋_GB2312" w:cs="仿宋_GB2312"/>
          <w:color w:val="000000" w:themeColor="text1"/>
          <w:sz w:val="32"/>
          <w:szCs w:val="32"/>
          <w14:textFill>
            <w14:solidFill>
              <w14:schemeClr w14:val="tx1"/>
            </w14:solidFill>
          </w14:textFill>
        </w:rPr>
        <w:t>。城乡一体化的社会保障制度更加完善，城镇职工基本养老、城乡居民基本养老等做到应保尽保。</w:t>
      </w:r>
    </w:p>
    <w:p>
      <w:pPr>
        <w:pStyle w:val="4"/>
        <w:keepNext w:val="0"/>
        <w:keepLines w:val="0"/>
        <w:spacing w:before="0" w:after="0" w:line="560" w:lineRule="exact"/>
        <w:ind w:firstLine="640" w:firstLineChars="200"/>
        <w:rPr>
          <w:rFonts w:ascii="仿宋_GB2312" w:hAnsi="仿宋_GB2312" w:eastAsia="仿宋_GB2312" w:cs="仿宋_GB2312"/>
          <w:b w:val="0"/>
          <w:color w:val="000000" w:themeColor="text1"/>
          <w14:textFill>
            <w14:solidFill>
              <w14:schemeClr w14:val="tx1"/>
            </w14:solidFill>
          </w14:textFill>
        </w:rPr>
      </w:pPr>
      <w:bookmarkStart w:id="292" w:name="_Toc27481"/>
      <w:bookmarkStart w:id="293" w:name="_Toc61110822"/>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第四节  促进青年全面发展</w:t>
      </w:r>
    </w:p>
    <w:p>
      <w:pPr>
        <w:spacing w:line="560" w:lineRule="exact"/>
        <w:ind w:firstLine="640" w:firstLineChars="200"/>
        <w:rPr>
          <w:rFonts w:ascii="仿宋_GB2312" w:hAnsi="仿宋_GB2312" w:eastAsia="仿宋_GB2312" w:cs="仿宋_GB2312"/>
          <w:color w:val="000000" w:themeColor="text1"/>
          <w:kern w:val="36"/>
          <w:sz w:val="32"/>
          <w:szCs w:val="32"/>
          <w14:textFill>
            <w14:solidFill>
              <w14:schemeClr w14:val="tx1"/>
            </w14:solidFill>
          </w14:textFill>
        </w:rPr>
      </w:pPr>
    </w:p>
    <w:p>
      <w:pPr>
        <w:spacing w:line="560" w:lineRule="exact"/>
        <w:ind w:firstLine="640" w:firstLineChars="200"/>
        <w:rPr>
          <w:rFonts w:ascii="仿宋_GB2312" w:hAnsi="仿宋_GB2312" w:eastAsia="仿宋_GB2312" w:cs="仿宋_GB2312"/>
          <w:color w:val="000000" w:themeColor="text1"/>
          <w:kern w:val="36"/>
          <w:sz w:val="32"/>
          <w:szCs w:val="32"/>
          <w14:textFill>
            <w14:solidFill>
              <w14:schemeClr w14:val="tx1"/>
            </w14:solidFill>
          </w14:textFill>
        </w:rPr>
      </w:pPr>
      <w:r>
        <w:rPr>
          <w:rFonts w:hint="eastAsia" w:ascii="仿宋_GB2312" w:hAnsi="仿宋_GB2312" w:eastAsia="仿宋_GB2312" w:cs="仿宋_GB2312"/>
          <w:color w:val="000000" w:themeColor="text1"/>
          <w:kern w:val="36"/>
          <w:sz w:val="32"/>
          <w:szCs w:val="32"/>
          <w14:textFill>
            <w14:solidFill>
              <w14:schemeClr w14:val="tx1"/>
            </w14:solidFill>
          </w14:textFill>
        </w:rPr>
        <w:t>坚持党管青年原则，围绕青年思想道德、教育、健康、婚恋、就业创业、文化、社会融入与社会参与、维护青年合法权益、预防青年违法犯罪、社会保障等领域，抓好青年发展重点项目建设、“青年就业见习计划”“青年创业创新行动”“健全‘公益资助+政府配套+志愿者参与’的新时代‘希望工程’资助体系”等工作。推进乡镇、街道建成1个以上“广西青空间”青少年综合服务平台并形成日常化工作机制，着力构建覆盖国企、农村、社会组织等各领域优秀青年，不断为党培养和输送青年政治骨干的培养体系。服务青年紧迫需求，维护青年发展权益，稳步推动落实中长期青年发展规划，促进青年全面发展。</w:t>
      </w:r>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第五节  推动劳动力就业创业</w:t>
      </w:r>
      <w:bookmarkEnd w:id="292"/>
      <w:bookmarkEnd w:id="293"/>
    </w:p>
    <w:p>
      <w:pPr>
        <w:spacing w:line="440" w:lineRule="exact"/>
        <w:ind w:firstLine="640" w:firstLineChars="200"/>
        <w:rPr>
          <w:rFonts w:ascii="仿宋_GB2312" w:hAnsi="仿宋_GB2312" w:eastAsia="仿宋_GB2312" w:cs="仿宋_GB2312"/>
          <w:color w:val="000000" w:themeColor="text1"/>
          <w:kern w:val="36"/>
          <w:sz w:val="32"/>
          <w:szCs w:val="32"/>
          <w14:textFill>
            <w14:solidFill>
              <w14:schemeClr w14:val="tx1"/>
            </w14:solidFill>
          </w14:textFill>
        </w:rPr>
      </w:pPr>
    </w:p>
    <w:p>
      <w:pPr>
        <w:spacing w:line="560" w:lineRule="exact"/>
        <w:ind w:firstLine="640" w:firstLineChars="200"/>
        <w:rPr>
          <w:rFonts w:ascii="仿宋_GB2312" w:hAnsi="仿宋_GB2312" w:eastAsia="仿宋_GB2312" w:cs="仿宋_GB2312"/>
          <w:color w:val="000000" w:themeColor="text1"/>
          <w:kern w:val="36"/>
          <w:sz w:val="32"/>
          <w:szCs w:val="32"/>
          <w14:textFill>
            <w14:solidFill>
              <w14:schemeClr w14:val="tx1"/>
            </w14:solidFill>
          </w14:textFill>
        </w:rPr>
      </w:pPr>
      <w:r>
        <w:rPr>
          <w:rFonts w:hint="eastAsia" w:ascii="仿宋_GB2312" w:hAnsi="仿宋_GB2312" w:eastAsia="仿宋_GB2312" w:cs="仿宋_GB2312"/>
          <w:color w:val="000000" w:themeColor="text1"/>
          <w:kern w:val="36"/>
          <w:sz w:val="32"/>
          <w:szCs w:val="32"/>
          <w14:textFill>
            <w14:solidFill>
              <w14:schemeClr w14:val="tx1"/>
            </w14:solidFill>
          </w14:textFill>
        </w:rPr>
        <w:t>完善劳动力市场和就业机制，坚持“以责任制规范就业、以岗位促进就业、以培训提高就业、以补贴援助就业、以创业带动就业、以服务企业稳定就业”思路，推动劳动力就业创业，实施就业优先战略和政策，支持以创业带就业，实现更高质量的就业，形成市场经济条件下促进就业的长效机制。做好农村劳动力转移就业创业工作，统筹推进高校毕业生、退役军人等重点人群就业。强化就业技能培训和就业援助，城镇失业人员、进城务工人员、新成长劳动力免费接受基本职业技能培训实现全覆。到2025年实现城镇新增就业0.25万人以上，城镇登记失业率控制在4.5%以内，新增转移农村劳动力0.35万人左右，城镇失业人员、进城务工人员、新成长劳动力免费接受基本职业技能培训实现全覆盖。</w:t>
      </w:r>
      <w:bookmarkStart w:id="294" w:name="_Toc3511"/>
      <w:bookmarkStart w:id="295" w:name="_Toc61110823"/>
    </w:p>
    <w:p>
      <w:pPr>
        <w:spacing w:line="440" w:lineRule="exact"/>
        <w:jc w:val="center"/>
        <w:rPr>
          <w:rFonts w:ascii="楷体_GB2312" w:hAnsi="楷体_GB2312" w:eastAsia="楷体_GB2312" w:cs="楷体_GB2312"/>
          <w:bCs/>
          <w:color w:val="000000" w:themeColor="text1"/>
          <w:sz w:val="32"/>
          <w:szCs w:val="32"/>
          <w14:textFill>
            <w14:solidFill>
              <w14:schemeClr w14:val="tx1"/>
            </w14:solidFill>
          </w14:textFill>
        </w:rPr>
      </w:pPr>
    </w:p>
    <w:p>
      <w:pPr>
        <w:spacing w:line="560" w:lineRule="exact"/>
        <w:jc w:val="center"/>
        <w:rPr>
          <w:rFonts w:ascii="楷体_GB2312" w:hAnsi="楷体_GB2312" w:eastAsia="楷体_GB2312" w:cs="楷体_GB2312"/>
          <w:bCs/>
          <w:color w:val="000000" w:themeColor="text1"/>
          <w:sz w:val="32"/>
          <w:szCs w:val="32"/>
          <w14:textFill>
            <w14:solidFill>
              <w14:schemeClr w14:val="tx1"/>
            </w14:solidFill>
          </w14:textFill>
        </w:rPr>
      </w:pPr>
      <w:r>
        <w:rPr>
          <w:rFonts w:hint="eastAsia" w:ascii="楷体_GB2312" w:hAnsi="楷体_GB2312" w:eastAsia="楷体_GB2312" w:cs="楷体_GB2312"/>
          <w:bCs/>
          <w:color w:val="000000" w:themeColor="text1"/>
          <w:sz w:val="32"/>
          <w:szCs w:val="32"/>
          <w14:textFill>
            <w14:solidFill>
              <w14:schemeClr w14:val="tx1"/>
            </w14:solidFill>
          </w14:textFill>
        </w:rPr>
        <w:t>第六节  提升公共服务均等化水平</w:t>
      </w:r>
      <w:bookmarkEnd w:id="294"/>
      <w:bookmarkEnd w:id="295"/>
    </w:p>
    <w:p>
      <w:pPr>
        <w:spacing w:line="440" w:lineRule="exact"/>
        <w:ind w:firstLine="640" w:firstLineChars="200"/>
        <w:rPr>
          <w:rFonts w:ascii="仿宋_GB2312" w:hAnsi="仿宋_GB2312" w:eastAsia="仿宋_GB2312" w:cs="仿宋_GB2312"/>
          <w:color w:val="000000" w:themeColor="text1"/>
          <w:kern w:val="36"/>
          <w:sz w:val="32"/>
          <w:szCs w:val="32"/>
          <w14:textFill>
            <w14:solidFill>
              <w14:schemeClr w14:val="tx1"/>
            </w14:solidFill>
          </w14:textFill>
        </w:rPr>
      </w:pPr>
    </w:p>
    <w:p>
      <w:pPr>
        <w:spacing w:line="560" w:lineRule="exact"/>
        <w:ind w:firstLine="640" w:firstLineChars="200"/>
        <w:rPr>
          <w:rFonts w:ascii="仿宋_GB2312" w:hAnsi="仿宋_GB2312" w:eastAsia="仿宋_GB2312" w:cs="仿宋_GB2312"/>
          <w:color w:val="000000" w:themeColor="text1"/>
          <w:spacing w:val="-6"/>
          <w:kern w:val="36"/>
          <w:sz w:val="32"/>
          <w:szCs w:val="32"/>
          <w14:textFill>
            <w14:solidFill>
              <w14:schemeClr w14:val="tx1"/>
            </w14:solidFill>
          </w14:textFill>
        </w:rPr>
      </w:pPr>
      <w:r>
        <w:rPr>
          <w:rFonts w:hint="eastAsia" w:ascii="仿宋_GB2312" w:hAnsi="仿宋_GB2312" w:eastAsia="仿宋_GB2312" w:cs="仿宋_GB2312"/>
          <w:color w:val="000000" w:themeColor="text1"/>
          <w:kern w:val="36"/>
          <w:sz w:val="32"/>
          <w:szCs w:val="32"/>
          <w14:textFill>
            <w14:solidFill>
              <w14:schemeClr w14:val="tx1"/>
            </w14:solidFill>
          </w14:textFill>
        </w:rPr>
        <w:t>基本公共服务均等化水平明显提升，建成政府主导、覆盖城乡、功能完善、分布合理、管理有效、可持续的基本公共服务体系，实现城乡、区域和不同社会群体间基本公共服务制度的统一，标准一致和水平一样的均衡，实现人人平等地享受基本公共服务。人力资源和社会保障基本公共服务制度规范基本定型，基本公共服务清单全面建立，标准体系基本健全，基层服务条件更加完善，服务水平和群众满意度明显提升，群众享有基本公共服务的可及性显著提高，基本公共服务均等化基本实现。到2025年，社会保障卡持卡人数达16万人以上。</w:t>
      </w:r>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第七节  完善科技创新体制机制</w:t>
      </w:r>
    </w:p>
    <w:p>
      <w:pPr>
        <w:spacing w:line="540" w:lineRule="exact"/>
        <w:ind w:firstLine="616" w:firstLineChars="200"/>
        <w:rPr>
          <w:rFonts w:ascii="仿宋_GB2312" w:hAnsi="仿宋_GB2312" w:eastAsia="仿宋_GB2312" w:cs="仿宋_GB2312"/>
          <w:color w:val="000000" w:themeColor="text1"/>
          <w:spacing w:val="-6"/>
          <w:kern w:val="36"/>
          <w:sz w:val="32"/>
          <w:szCs w:val="32"/>
          <w14:textFill>
            <w14:solidFill>
              <w14:schemeClr w14:val="tx1"/>
            </w14:solidFill>
          </w14:textFill>
        </w:rPr>
      </w:pPr>
    </w:p>
    <w:p>
      <w:pPr>
        <w:spacing w:line="520" w:lineRule="exact"/>
        <w:ind w:firstLine="640" w:firstLineChars="200"/>
        <w:rPr>
          <w:rFonts w:ascii="仿宋_GB2312" w:hAnsi="仿宋_GB2312" w:eastAsia="仿宋_GB2312" w:cs="仿宋_GB2312"/>
          <w:color w:val="000000" w:themeColor="text1"/>
          <w:kern w:val="36"/>
          <w:sz w:val="32"/>
          <w:szCs w:val="32"/>
          <w14:textFill>
            <w14:solidFill>
              <w14:schemeClr w14:val="tx1"/>
            </w14:solidFill>
          </w14:textFill>
        </w:rPr>
      </w:pPr>
      <w:r>
        <w:rPr>
          <w:rFonts w:hint="eastAsia" w:ascii="仿宋_GB2312" w:hAnsi="仿宋_GB2312" w:eastAsia="仿宋_GB2312" w:cs="仿宋_GB2312"/>
          <w:color w:val="000000" w:themeColor="text1"/>
          <w:kern w:val="36"/>
          <w:sz w:val="32"/>
          <w:szCs w:val="32"/>
          <w14:textFill>
            <w14:solidFill>
              <w14:schemeClr w14:val="tx1"/>
            </w14:solidFill>
          </w14:textFill>
        </w:rPr>
        <w:t>以优化科技资源配置、激发创新主体活力、完善科技治理机制为着力点，按要求深化新一轮科技体制改革，加强科技力量统筹，加强知识产权保护，提高科技成果转移转化成效。健全政府投入为主，社会多渠道投入机制，鼓励企业加大技术研发投入，对企业投入基础研究实行税收优惠。加强科普工作，加快科普场馆的建设，营造崇尚创新的社会氛围。</w:t>
      </w:r>
      <w:r>
        <w:rPr>
          <w:rFonts w:hint="eastAsia" w:ascii="仿宋_GB2312" w:hAnsi="仿宋_GB2312" w:eastAsia="仿宋_GB2312" w:cs="仿宋_GB2312"/>
          <w:b/>
          <w:color w:val="000000" w:themeColor="text1"/>
          <w:kern w:val="36"/>
          <w:sz w:val="32"/>
          <w:szCs w:val="32"/>
          <w14:textFill>
            <w14:solidFill>
              <w14:schemeClr w14:val="tx1"/>
            </w14:solidFill>
          </w14:textFill>
        </w:rPr>
        <w:t>一是</w:t>
      </w:r>
      <w:r>
        <w:rPr>
          <w:rFonts w:hint="eastAsia" w:ascii="仿宋_GB2312" w:hAnsi="仿宋_GB2312" w:eastAsia="仿宋_GB2312" w:cs="仿宋_GB2312"/>
          <w:color w:val="000000" w:themeColor="text1"/>
          <w:kern w:val="36"/>
          <w:sz w:val="32"/>
          <w:szCs w:val="32"/>
          <w14:textFill>
            <w14:solidFill>
              <w14:schemeClr w14:val="tx1"/>
            </w14:solidFill>
          </w14:textFill>
        </w:rPr>
        <w:t>建立以企业为主体创新体系。支持企业和各主体融通创新，发挥好国有民营企业、金融机构、应用和需求者等各主体的作用，形成各得其所、相互协同、相互支撑的良好创新生态系统。创新促进科技成果转化机制，深入推进职务科技发明成果所有权改革，加快完善科技成果使用、处置、收益制度，疏通科技成果转化的体制机制关卡。提升产业基础能力和产业链现代化水平，夯实产业高质量发展的基础，提高自主可控水平，增强产业链韧性和抗风险能力。</w:t>
      </w:r>
      <w:r>
        <w:rPr>
          <w:rFonts w:hint="eastAsia" w:ascii="仿宋_GB2312" w:hAnsi="仿宋_GB2312" w:eastAsia="仿宋_GB2312" w:cs="仿宋_GB2312"/>
          <w:b/>
          <w:color w:val="000000" w:themeColor="text1"/>
          <w:kern w:val="36"/>
          <w:sz w:val="32"/>
          <w:szCs w:val="32"/>
          <w14:textFill>
            <w14:solidFill>
              <w14:schemeClr w14:val="tx1"/>
            </w14:solidFill>
          </w14:textFill>
        </w:rPr>
        <w:t>二是</w:t>
      </w:r>
      <w:r>
        <w:rPr>
          <w:rFonts w:hint="eastAsia" w:ascii="仿宋_GB2312" w:hAnsi="仿宋_GB2312" w:eastAsia="仿宋_GB2312" w:cs="仿宋_GB2312"/>
          <w:color w:val="000000" w:themeColor="text1"/>
          <w:kern w:val="36"/>
          <w:sz w:val="32"/>
          <w:szCs w:val="32"/>
          <w14:textFill>
            <w14:solidFill>
              <w14:schemeClr w14:val="tx1"/>
            </w14:solidFill>
          </w14:textFill>
        </w:rPr>
        <w:t>弘扬科学精神和工匠精神。完善科技人才发现、培养、激励机制，支持鼓励滑石企业界引进世界级、国家级的高端人才参与龙胜滑石产业生产、开发和科研活动。各产业园区、各相关职能部门要主动引入人才。弘扬科学精神和工匠精神，鼓励个人从小发明小创造开始，不断提高动手能力，逐步提升创新本领，努力成为热爱创新、精益求精、感恩奉献的龙胜工匠。</w:t>
      </w:r>
      <w:r>
        <w:rPr>
          <w:rFonts w:hint="eastAsia" w:ascii="仿宋_GB2312" w:hAnsi="仿宋_GB2312" w:eastAsia="仿宋_GB2312" w:cs="仿宋_GB2312"/>
          <w:b/>
          <w:color w:val="000000" w:themeColor="text1"/>
          <w:kern w:val="36"/>
          <w:sz w:val="32"/>
          <w:szCs w:val="32"/>
          <w14:textFill>
            <w14:solidFill>
              <w14:schemeClr w14:val="tx1"/>
            </w14:solidFill>
          </w14:textFill>
        </w:rPr>
        <w:t>三是</w:t>
      </w:r>
      <w:r>
        <w:rPr>
          <w:rFonts w:hint="eastAsia" w:ascii="仿宋_GB2312" w:hAnsi="仿宋_GB2312" w:eastAsia="仿宋_GB2312" w:cs="仿宋_GB2312"/>
          <w:color w:val="000000" w:themeColor="text1"/>
          <w:kern w:val="36"/>
          <w:sz w:val="32"/>
          <w:szCs w:val="32"/>
          <w14:textFill>
            <w14:solidFill>
              <w14:schemeClr w14:val="tx1"/>
            </w14:solidFill>
          </w14:textFill>
        </w:rPr>
        <w:t>改进科技评价体系。健全符合科研规律的科技管理体制和政策体系，各相关部门做好创造环境、引导方向提供服务等工作，不断优化科技计划体系布局和管理机制。改革科技经费的管理办法，让科技专家有更大的技术路线决策权、更大的经费支配权、更大的资源调动权，使科技工作者有更充足的精力和更广阔的空间做好工作。</w:t>
      </w:r>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bookmarkStart w:id="296" w:name="_Toc29039"/>
      <w:bookmarkStart w:id="297" w:name="_Toc61110824"/>
      <w:r>
        <w:rPr>
          <w:rFonts w:hint="eastAsia" w:ascii="楷体_GB2312" w:hAnsi="楷体_GB2312" w:eastAsia="楷体_GB2312" w:cs="楷体_GB2312"/>
          <w:b w:val="0"/>
          <w:color w:val="000000" w:themeColor="text1"/>
          <w14:textFill>
            <w14:solidFill>
              <w14:schemeClr w14:val="tx1"/>
            </w14:solidFill>
          </w14:textFill>
        </w:rPr>
        <w:t>第八节  完善应急体系建设</w:t>
      </w:r>
      <w:bookmarkEnd w:id="296"/>
      <w:bookmarkEnd w:id="297"/>
    </w:p>
    <w:p>
      <w:pPr>
        <w:spacing w:line="560" w:lineRule="exact"/>
        <w:ind w:firstLine="616" w:firstLineChars="200"/>
        <w:rPr>
          <w:rFonts w:ascii="仿宋_GB2312" w:hAnsi="仿宋_GB2312" w:eastAsia="仿宋_GB2312" w:cs="仿宋_GB2312"/>
          <w:color w:val="000000" w:themeColor="text1"/>
          <w:spacing w:val="-6"/>
          <w:kern w:val="36"/>
          <w:sz w:val="32"/>
          <w:szCs w:val="32"/>
          <w14:textFill>
            <w14:solidFill>
              <w14:schemeClr w14:val="tx1"/>
            </w14:solidFill>
          </w14:textFill>
        </w:rPr>
      </w:pPr>
    </w:p>
    <w:p>
      <w:pPr>
        <w:spacing w:line="560" w:lineRule="exact"/>
        <w:ind w:firstLine="616" w:firstLineChars="200"/>
        <w:rPr>
          <w:rFonts w:ascii="Times New Roman" w:hAnsi="Times New Roman" w:eastAsia="仿宋_GB2312"/>
          <w:color w:val="000000" w:themeColor="text1"/>
          <w:spacing w:val="-6"/>
          <w:kern w:val="36"/>
          <w:sz w:val="32"/>
          <w:szCs w:val="32"/>
          <w14:textFill>
            <w14:solidFill>
              <w14:schemeClr w14:val="tx1"/>
            </w14:solidFill>
          </w14:textFill>
        </w:rPr>
      </w:pPr>
      <w:r>
        <w:rPr>
          <w:rFonts w:hint="eastAsia" w:ascii="仿宋_GB2312" w:hAnsi="仿宋_GB2312" w:eastAsia="仿宋_GB2312" w:cs="仿宋_GB2312"/>
          <w:color w:val="000000" w:themeColor="text1"/>
          <w:spacing w:val="-6"/>
          <w:kern w:val="36"/>
          <w:sz w:val="32"/>
          <w:szCs w:val="32"/>
          <w14:textFill>
            <w14:solidFill>
              <w14:schemeClr w14:val="tx1"/>
            </w14:solidFill>
          </w14:textFill>
        </w:rPr>
        <w:t>提升应急综合管理能力，强化安全责任、隐患治理、执法监察、预测预警、防灾减灾、应急救援和基础保障体系建设，构建防灾、减灾、救灾、指挥、救援、监管、执法、保障等职能分工清晰、互为衔接的“大应急”管理格局。做好应急救灾物资储备，抓好四类灾种（自然灾害、事故灾害、公共卫生事件和社会安全事件）预警、防控源头，关口前移，探索龙胜灾害发生规律，减少一般事故，有效控制较大事故，坚决杜绝重特大事故。</w:t>
      </w:r>
      <w:r>
        <w:rPr>
          <w:rFonts w:hint="eastAsia" w:ascii="仿宋_GB2312" w:hAnsi="仿宋_GB2312" w:eastAsia="仿宋_GB2312" w:cs="仿宋_GB2312"/>
          <w:b/>
          <w:color w:val="000000" w:themeColor="text1"/>
          <w:sz w:val="32"/>
          <w:szCs w:val="32"/>
          <w14:textFill>
            <w14:solidFill>
              <w14:schemeClr w14:val="tx1"/>
            </w14:solidFill>
          </w14:textFill>
        </w:rPr>
        <w:t>一是</w:t>
      </w:r>
      <w:r>
        <w:rPr>
          <w:rFonts w:hint="eastAsia" w:ascii="仿宋_GB2312" w:hAnsi="仿宋_GB2312" w:eastAsia="仿宋_GB2312" w:cs="仿宋_GB2312"/>
          <w:color w:val="000000" w:themeColor="text1"/>
          <w:spacing w:val="-6"/>
          <w:kern w:val="36"/>
          <w:sz w:val="32"/>
          <w:szCs w:val="32"/>
          <w14:textFill>
            <w14:solidFill>
              <w14:schemeClr w14:val="tx1"/>
            </w14:solidFill>
          </w14:textFill>
        </w:rPr>
        <w:t>安全生产方面。压实企业主体责任，持续推进重点行业领域攻坚治理，强化风险隐患排查治理和双重预防机制建设，提升全民整体安全素质。</w:t>
      </w:r>
      <w:r>
        <w:rPr>
          <w:rFonts w:hint="eastAsia" w:ascii="仿宋_GB2312" w:hAnsi="仿宋_GB2312" w:eastAsia="仿宋_GB2312" w:cs="仿宋_GB2312"/>
          <w:b/>
          <w:color w:val="000000" w:themeColor="text1"/>
          <w:sz w:val="32"/>
          <w:szCs w:val="32"/>
          <w14:textFill>
            <w14:solidFill>
              <w14:schemeClr w14:val="tx1"/>
            </w14:solidFill>
          </w14:textFill>
        </w:rPr>
        <w:t>二是</w:t>
      </w:r>
      <w:r>
        <w:rPr>
          <w:rFonts w:hint="eastAsia" w:ascii="仿宋_GB2312" w:hAnsi="仿宋_GB2312" w:eastAsia="仿宋_GB2312" w:cs="仿宋_GB2312"/>
          <w:color w:val="000000" w:themeColor="text1"/>
          <w:spacing w:val="-6"/>
          <w:kern w:val="36"/>
          <w:sz w:val="32"/>
          <w:szCs w:val="32"/>
          <w14:textFill>
            <w14:solidFill>
              <w14:schemeClr w14:val="tx1"/>
            </w14:solidFill>
          </w14:textFill>
        </w:rPr>
        <w:t>防灾减灾方面。完善综合监测预警机制，建立健全灾害救助平台，引导社会组织参与减灾救灾，构建政府主导、多元联动、协同配合、有序参与的防灾减灾新格局，增强自然灾害风险防治能力。</w:t>
      </w:r>
      <w:r>
        <w:rPr>
          <w:rFonts w:hint="eastAsia" w:ascii="仿宋_GB2312" w:hAnsi="仿宋_GB2312" w:eastAsia="仿宋_GB2312" w:cs="仿宋_GB2312"/>
          <w:b/>
          <w:color w:val="000000" w:themeColor="text1"/>
          <w:sz w:val="32"/>
          <w:szCs w:val="32"/>
          <w14:textFill>
            <w14:solidFill>
              <w14:schemeClr w14:val="tx1"/>
            </w14:solidFill>
          </w14:textFill>
        </w:rPr>
        <w:t>三是</w:t>
      </w:r>
      <w:r>
        <w:rPr>
          <w:rFonts w:hint="eastAsia" w:ascii="仿宋_GB2312" w:hAnsi="仿宋_GB2312" w:eastAsia="仿宋_GB2312" w:cs="仿宋_GB2312"/>
          <w:color w:val="000000" w:themeColor="text1"/>
          <w:spacing w:val="-6"/>
          <w:kern w:val="36"/>
          <w:sz w:val="32"/>
          <w:szCs w:val="32"/>
          <w14:textFill>
            <w14:solidFill>
              <w14:schemeClr w14:val="tx1"/>
            </w14:solidFill>
          </w14:textFill>
        </w:rPr>
        <w:t>应急救援方面，完善应急预案体系并强化应急演练，推进救援队伍体系建设，增强应急实战能力。加快应急平台推进应急避难场所建设。完善应急物资保障系统，推进应急物资建设和管理，加强信息发布和舆情引导。</w:t>
      </w:r>
      <w:r>
        <w:rPr>
          <w:rFonts w:hint="eastAsia" w:ascii="仿宋_GB2312" w:hAnsi="仿宋_GB2312" w:eastAsia="仿宋_GB2312" w:cs="仿宋_GB2312"/>
          <w:b/>
          <w:color w:val="000000" w:themeColor="text1"/>
          <w:sz w:val="32"/>
          <w:szCs w:val="32"/>
          <w14:textFill>
            <w14:solidFill>
              <w14:schemeClr w14:val="tx1"/>
            </w14:solidFill>
          </w14:textFill>
        </w:rPr>
        <w:t>四是</w:t>
      </w:r>
      <w:r>
        <w:rPr>
          <w:rFonts w:hint="eastAsia" w:ascii="仿宋_GB2312" w:hAnsi="仿宋_GB2312" w:eastAsia="仿宋_GB2312" w:cs="仿宋_GB2312"/>
          <w:color w:val="000000" w:themeColor="text1"/>
          <w:spacing w:val="-6"/>
          <w:kern w:val="36"/>
          <w:sz w:val="32"/>
          <w:szCs w:val="32"/>
          <w14:textFill>
            <w14:solidFill>
              <w14:schemeClr w14:val="tx1"/>
            </w14:solidFill>
          </w14:textFill>
        </w:rPr>
        <w:t>人防建设方面。结合人防进行城市建设，完善人防相关设施，建立人民防空体系，保障战时人民生命财产安全。到 2025 年，安全生产事故控制指标全面下降。</w:t>
      </w:r>
    </w:p>
    <w:p>
      <w:pPr>
        <w:pStyle w:val="31"/>
        <w:autoSpaceDE/>
        <w:autoSpaceDN/>
        <w:adjustRightInd/>
        <w:spacing w:line="560" w:lineRule="exact"/>
        <w:jc w:val="both"/>
        <w:rPr>
          <w:rFonts w:ascii="Times New Roman" w:hAnsi="Times New Roman" w:eastAsia="仿宋" w:cs="仿宋"/>
          <w:b/>
          <w:bCs/>
          <w:color w:val="000000" w:themeColor="text1"/>
          <w:sz w:val="28"/>
          <w:szCs w:val="28"/>
          <w14:textFill>
            <w14:solidFill>
              <w14:schemeClr w14:val="tx1"/>
            </w14:solidFill>
          </w14:textFill>
        </w:rPr>
      </w:pPr>
    </w:p>
    <w:p>
      <w:pPr>
        <w:pStyle w:val="31"/>
        <w:autoSpaceDE/>
        <w:autoSpaceDN/>
        <w:adjustRightInd/>
        <w:spacing w:line="560" w:lineRule="exact"/>
        <w:jc w:val="center"/>
        <w:rPr>
          <w:rFonts w:ascii="Times New Roman" w:hAnsi="Times New Roman" w:eastAsia="仿宋" w:cs="仿宋"/>
          <w:b/>
          <w:bCs/>
          <w:color w:val="000000" w:themeColor="text1"/>
          <w:sz w:val="28"/>
          <w:szCs w:val="28"/>
          <w14:textFill>
            <w14:solidFill>
              <w14:schemeClr w14:val="tx1"/>
            </w14:solidFill>
          </w14:textFill>
        </w:rPr>
      </w:pPr>
      <w:r>
        <w:rPr>
          <w:rFonts w:hint="eastAsia" w:ascii="Times New Roman" w:hAnsi="Times New Roman" w:eastAsia="仿宋" w:cs="仿宋"/>
          <w:b/>
          <w:bCs/>
          <w:color w:val="000000" w:themeColor="text1"/>
          <w:sz w:val="28"/>
          <w:szCs w:val="28"/>
          <w14:textFill>
            <w14:solidFill>
              <w14:schemeClr w14:val="tx1"/>
            </w14:solidFill>
          </w14:textFill>
        </w:rPr>
        <mc:AlternateContent>
          <mc:Choice Requires="wps">
            <w:drawing>
              <wp:anchor distT="0" distB="0" distL="114300" distR="114300" simplePos="0" relativeHeight="251668480" behindDoc="0" locked="0" layoutInCell="1" allowOverlap="1">
                <wp:simplePos x="0" y="0"/>
                <wp:positionH relativeFrom="column">
                  <wp:posOffset>-44450</wp:posOffset>
                </wp:positionH>
                <wp:positionV relativeFrom="paragraph">
                  <wp:posOffset>622300</wp:posOffset>
                </wp:positionV>
                <wp:extent cx="5882005" cy="3890645"/>
                <wp:effectExtent l="4445" t="4445" r="19050" b="10160"/>
                <wp:wrapSquare wrapText="bothSides"/>
                <wp:docPr id="14" name="文本框 14"/>
                <wp:cNvGraphicFramePr/>
                <a:graphic xmlns:a="http://schemas.openxmlformats.org/drawingml/2006/main">
                  <a:graphicData uri="http://schemas.microsoft.com/office/word/2010/wordprocessingShape">
                    <wps:wsp>
                      <wps:cNvSpPr txBox="1"/>
                      <wps:spPr>
                        <a:xfrm>
                          <a:off x="0" y="0"/>
                          <a:ext cx="5882005" cy="389064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pStyle w:val="31"/>
                              <w:spacing w:line="360" w:lineRule="auto"/>
                              <w:rPr>
                                <w:rFonts w:ascii="仿宋" w:hAnsi="仿宋" w:eastAsia="仿宋" w:cs="仿宋"/>
                                <w:bCs/>
                              </w:rPr>
                            </w:pPr>
                            <w:r>
                              <w:rPr>
                                <w:rFonts w:hint="eastAsia" w:ascii="仿宋" w:hAnsi="仿宋" w:eastAsia="仿宋" w:cs="仿宋"/>
                                <w:b/>
                              </w:rPr>
                              <w:t>1.教育事业：</w:t>
                            </w:r>
                            <w:r>
                              <w:rPr>
                                <w:rFonts w:hint="eastAsia" w:ascii="仿宋" w:hAnsi="仿宋" w:eastAsia="仿宋" w:cs="仿宋"/>
                                <w:bCs/>
                              </w:rPr>
                              <w:t>龙胜县龙胜镇第三小学、龙胜县第二高中新建二期工程项目及龙胜县第二高中校园基础设施建设工程项目、龙胜县教育信息化、仪器装备采购、桂林市龙胜县县乡村幼儿园建设项目、</w:t>
                            </w:r>
                            <w:r>
                              <w:rPr>
                                <w:rFonts w:hint="eastAsia" w:ascii="仿宋" w:hAnsi="仿宋" w:eastAsia="仿宋" w:cs="仿宋"/>
                                <w:bCs/>
                                <w:color w:val="0000FF"/>
                              </w:rPr>
                              <w:t>马堤乡芙蓉小学改扩建项目</w:t>
                            </w:r>
                            <w:r>
                              <w:rPr>
                                <w:rFonts w:hint="eastAsia" w:ascii="仿宋" w:hAnsi="仿宋" w:eastAsia="仿宋" w:cs="仿宋"/>
                                <w:bCs/>
                              </w:rPr>
                              <w:t>。</w:t>
                            </w:r>
                          </w:p>
                          <w:p>
                            <w:pPr>
                              <w:pStyle w:val="31"/>
                              <w:spacing w:line="360" w:lineRule="auto"/>
                              <w:rPr>
                                <w:rFonts w:ascii="仿宋" w:hAnsi="仿宋" w:eastAsia="仿宋" w:cs="仿宋"/>
                                <w:bCs/>
                              </w:rPr>
                            </w:pPr>
                            <w:r>
                              <w:rPr>
                                <w:rFonts w:hint="eastAsia" w:ascii="仿宋" w:hAnsi="仿宋" w:eastAsia="仿宋" w:cs="仿宋"/>
                                <w:b/>
                              </w:rPr>
                              <w:t>2.卫生事业</w:t>
                            </w:r>
                            <w:r>
                              <w:rPr>
                                <w:rFonts w:hint="eastAsia" w:ascii="仿宋" w:hAnsi="仿宋" w:eastAsia="仿宋" w:cs="仿宋"/>
                                <w:bCs/>
                              </w:rPr>
                              <w:t>：龙胜县县乡镇卫生院综合楼改造、龙胜县妇幼保健院公卫医技综合楼、龙胜县人民医院提升医疗服务水平及抗击疫情大型医学设备购置、龙胜县中医医院肾内科、骨伤科、ICU项目建设、龙胜县中医药产业基地建设项目。</w:t>
                            </w:r>
                          </w:p>
                          <w:p>
                            <w:pPr>
                              <w:pStyle w:val="31"/>
                              <w:spacing w:line="360" w:lineRule="auto"/>
                              <w:rPr>
                                <w:rFonts w:ascii="仿宋" w:hAnsi="仿宋" w:eastAsia="仿宋" w:cs="仿宋"/>
                                <w:bCs/>
                              </w:rPr>
                            </w:pPr>
                            <w:r>
                              <w:rPr>
                                <w:rFonts w:hint="eastAsia" w:ascii="仿宋" w:hAnsi="仿宋" w:eastAsia="仿宋" w:cs="仿宋"/>
                                <w:b/>
                              </w:rPr>
                              <w:t>3.体育事业：</w:t>
                            </w:r>
                            <w:r>
                              <w:rPr>
                                <w:rFonts w:hint="eastAsia" w:ascii="仿宋" w:hAnsi="仿宋" w:eastAsia="仿宋" w:cs="仿宋"/>
                                <w:bCs/>
                              </w:rPr>
                              <w:t>龙胜县民族体育休闲公园（一期）项目、龙胜县足球场建设项目。</w:t>
                            </w:r>
                          </w:p>
                          <w:p>
                            <w:pPr>
                              <w:pStyle w:val="31"/>
                              <w:spacing w:line="360" w:lineRule="auto"/>
                              <w:rPr>
                                <w:rFonts w:ascii="仿宋" w:hAnsi="仿宋" w:eastAsia="仿宋" w:cs="仿宋"/>
                                <w:bCs/>
                              </w:rPr>
                            </w:pPr>
                            <w:r>
                              <w:rPr>
                                <w:rFonts w:hint="eastAsia" w:ascii="仿宋" w:hAnsi="仿宋" w:eastAsia="仿宋" w:cs="仿宋"/>
                                <w:b/>
                              </w:rPr>
                              <w:t>4.应急体系：</w:t>
                            </w:r>
                            <w:r>
                              <w:rPr>
                                <w:rFonts w:hint="eastAsia" w:ascii="仿宋" w:hAnsi="仿宋" w:eastAsia="仿宋" w:cs="仿宋"/>
                                <w:bCs/>
                              </w:rPr>
                              <w:t>龙胜县应急监测预警智能化指挥中心建设项目、龙胜县乡镇应急救援保障中心、龙胜县应急信息化管理指挥系统平台、龙胜县应急物资装备储备仓库建设项目、人民防空指挥中心建设项目。</w:t>
                            </w:r>
                          </w:p>
                          <w:p>
                            <w:pPr>
                              <w:pStyle w:val="31"/>
                              <w:spacing w:line="360" w:lineRule="auto"/>
                              <w:rPr>
                                <w:rFonts w:ascii="仿宋" w:hAnsi="仿宋" w:eastAsia="仿宋" w:cs="仿宋"/>
                                <w:bCs/>
                              </w:rPr>
                            </w:pPr>
                            <w:r>
                              <w:rPr>
                                <w:rFonts w:hint="eastAsia" w:ascii="仿宋" w:hAnsi="仿宋" w:eastAsia="仿宋" w:cs="仿宋"/>
                                <w:b/>
                              </w:rPr>
                              <w:t>5.民生和其他：</w:t>
                            </w:r>
                            <w:r>
                              <w:rPr>
                                <w:rFonts w:hint="eastAsia" w:ascii="仿宋" w:hAnsi="仿宋" w:eastAsia="仿宋" w:cs="仿宋"/>
                                <w:bCs/>
                              </w:rPr>
                              <w:t>龙胜县养老服务设施园区设施配套项目、龙胜县殡仪服务项目、龙胜县及乡镇居家养老和社区日间照料中心提升改造建设工程项目。</w:t>
                            </w:r>
                          </w:p>
                          <w:p>
                            <w:pPr>
                              <w:pStyle w:val="31"/>
                              <w:spacing w:line="360" w:lineRule="auto"/>
                              <w:rPr>
                                <w:rFonts w:ascii="仿宋" w:hAnsi="仿宋" w:eastAsia="仿宋" w:cs="仿宋"/>
                                <w:bCs/>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pt;margin-top:49pt;height:306.35pt;width:463.15pt;mso-wrap-distance-bottom:0pt;mso-wrap-distance-left:9pt;mso-wrap-distance-right:9pt;mso-wrap-distance-top:0pt;z-index:251668480;mso-width-relative:page;mso-height-relative:page;" fillcolor="#FFFFFF [3201]" filled="t" stroked="t" coordsize="21600,21600" o:gfxdata="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xMQFsdcA&#10;AAAJAQAADwAAAAAAAAABACAAAAAiAAAAZHJzL2Rvd25yZXYueG1sUEsBAhQAFAAAAAgAh07iQO2Z&#10;wr1ZAgAAugQAAA4AAAAAAAAAAQAgAAAAJgEAAGRycy9lMm9Eb2MueG1sUEsFBgAAAAAGAAYAWQEA&#10;APEFAAAAAA==&#10;">
                <v:fill on="t" focussize="0,0"/>
                <v:stroke weight="0.5pt" color="#000000 [3204]" joinstyle="round"/>
                <v:imagedata o:title=""/>
                <o:lock v:ext="edit" aspectratio="f"/>
                <v:textbox>
                  <w:txbxContent>
                    <w:p>
                      <w:pPr>
                        <w:pStyle w:val="31"/>
                        <w:spacing w:line="360" w:lineRule="auto"/>
                        <w:rPr>
                          <w:rFonts w:ascii="仿宋" w:hAnsi="仿宋" w:eastAsia="仿宋" w:cs="仿宋"/>
                          <w:bCs/>
                        </w:rPr>
                      </w:pPr>
                      <w:r>
                        <w:rPr>
                          <w:rFonts w:hint="eastAsia" w:ascii="仿宋" w:hAnsi="仿宋" w:eastAsia="仿宋" w:cs="仿宋"/>
                          <w:b/>
                        </w:rPr>
                        <w:t>1.教育事业：</w:t>
                      </w:r>
                      <w:r>
                        <w:rPr>
                          <w:rFonts w:hint="eastAsia" w:ascii="仿宋" w:hAnsi="仿宋" w:eastAsia="仿宋" w:cs="仿宋"/>
                          <w:bCs/>
                        </w:rPr>
                        <w:t>龙胜县龙胜镇第三小学、龙胜县第二高中新建二期工程项目及龙胜县第二高中校园基础设施建设工程项目、龙胜县教育信息化、仪器装备采购、桂林市龙胜县县乡村幼儿园建设项目、</w:t>
                      </w:r>
                      <w:r>
                        <w:rPr>
                          <w:rFonts w:hint="eastAsia" w:ascii="仿宋" w:hAnsi="仿宋" w:eastAsia="仿宋" w:cs="仿宋"/>
                          <w:bCs/>
                          <w:color w:val="0000FF"/>
                        </w:rPr>
                        <w:t>马堤乡芙蓉小学改扩建项目</w:t>
                      </w:r>
                      <w:r>
                        <w:rPr>
                          <w:rFonts w:hint="eastAsia" w:ascii="仿宋" w:hAnsi="仿宋" w:eastAsia="仿宋" w:cs="仿宋"/>
                          <w:bCs/>
                        </w:rPr>
                        <w:t>。</w:t>
                      </w:r>
                    </w:p>
                    <w:p>
                      <w:pPr>
                        <w:pStyle w:val="31"/>
                        <w:spacing w:line="360" w:lineRule="auto"/>
                        <w:rPr>
                          <w:rFonts w:ascii="仿宋" w:hAnsi="仿宋" w:eastAsia="仿宋" w:cs="仿宋"/>
                          <w:bCs/>
                        </w:rPr>
                      </w:pPr>
                      <w:r>
                        <w:rPr>
                          <w:rFonts w:hint="eastAsia" w:ascii="仿宋" w:hAnsi="仿宋" w:eastAsia="仿宋" w:cs="仿宋"/>
                          <w:b/>
                        </w:rPr>
                        <w:t>2.卫生事业</w:t>
                      </w:r>
                      <w:r>
                        <w:rPr>
                          <w:rFonts w:hint="eastAsia" w:ascii="仿宋" w:hAnsi="仿宋" w:eastAsia="仿宋" w:cs="仿宋"/>
                          <w:bCs/>
                        </w:rPr>
                        <w:t>：龙胜县县乡镇卫生院综合楼改造、龙胜县妇幼保健院公卫医技综合楼、龙胜县人民医院提升医疗服务水平及抗击疫情大型医学设备购置、龙胜县中医医院肾内科、骨伤科、ICU项目建设、龙胜县中医药产业基地建设项目。</w:t>
                      </w:r>
                    </w:p>
                    <w:p>
                      <w:pPr>
                        <w:pStyle w:val="31"/>
                        <w:spacing w:line="360" w:lineRule="auto"/>
                        <w:rPr>
                          <w:rFonts w:ascii="仿宋" w:hAnsi="仿宋" w:eastAsia="仿宋" w:cs="仿宋"/>
                          <w:bCs/>
                        </w:rPr>
                      </w:pPr>
                      <w:r>
                        <w:rPr>
                          <w:rFonts w:hint="eastAsia" w:ascii="仿宋" w:hAnsi="仿宋" w:eastAsia="仿宋" w:cs="仿宋"/>
                          <w:b/>
                        </w:rPr>
                        <w:t>3.体育事业：</w:t>
                      </w:r>
                      <w:r>
                        <w:rPr>
                          <w:rFonts w:hint="eastAsia" w:ascii="仿宋" w:hAnsi="仿宋" w:eastAsia="仿宋" w:cs="仿宋"/>
                          <w:bCs/>
                        </w:rPr>
                        <w:t>龙胜县民族体育休闲公园（一期）项目、龙胜县足球场建设项目。</w:t>
                      </w:r>
                    </w:p>
                    <w:p>
                      <w:pPr>
                        <w:pStyle w:val="31"/>
                        <w:spacing w:line="360" w:lineRule="auto"/>
                        <w:rPr>
                          <w:rFonts w:ascii="仿宋" w:hAnsi="仿宋" w:eastAsia="仿宋" w:cs="仿宋"/>
                          <w:bCs/>
                        </w:rPr>
                      </w:pPr>
                      <w:r>
                        <w:rPr>
                          <w:rFonts w:hint="eastAsia" w:ascii="仿宋" w:hAnsi="仿宋" w:eastAsia="仿宋" w:cs="仿宋"/>
                          <w:b/>
                        </w:rPr>
                        <w:t>4.应急体系：</w:t>
                      </w:r>
                      <w:r>
                        <w:rPr>
                          <w:rFonts w:hint="eastAsia" w:ascii="仿宋" w:hAnsi="仿宋" w:eastAsia="仿宋" w:cs="仿宋"/>
                          <w:bCs/>
                        </w:rPr>
                        <w:t>龙胜县应急监测预警智能化指挥中心建设项目、龙胜县乡镇应急救援保障中心、龙胜县应急信息化管理指挥系统平台、龙胜县应急物资装备储备仓库建设项目、人民防空指挥中心建设项目。</w:t>
                      </w:r>
                    </w:p>
                    <w:p>
                      <w:pPr>
                        <w:pStyle w:val="31"/>
                        <w:spacing w:line="360" w:lineRule="auto"/>
                        <w:rPr>
                          <w:rFonts w:ascii="仿宋" w:hAnsi="仿宋" w:eastAsia="仿宋" w:cs="仿宋"/>
                          <w:bCs/>
                        </w:rPr>
                      </w:pPr>
                      <w:r>
                        <w:rPr>
                          <w:rFonts w:hint="eastAsia" w:ascii="仿宋" w:hAnsi="仿宋" w:eastAsia="仿宋" w:cs="仿宋"/>
                          <w:b/>
                        </w:rPr>
                        <w:t>5.民生和其他：</w:t>
                      </w:r>
                      <w:r>
                        <w:rPr>
                          <w:rFonts w:hint="eastAsia" w:ascii="仿宋" w:hAnsi="仿宋" w:eastAsia="仿宋" w:cs="仿宋"/>
                          <w:bCs/>
                        </w:rPr>
                        <w:t>龙胜县养老服务设施园区设施配套项目、龙胜县殡仪服务项目、龙胜县及乡镇居家养老和社区日间照料中心提升改造建设工程项目。</w:t>
                      </w:r>
                    </w:p>
                    <w:p>
                      <w:pPr>
                        <w:pStyle w:val="31"/>
                        <w:spacing w:line="360" w:lineRule="auto"/>
                        <w:rPr>
                          <w:rFonts w:ascii="仿宋" w:hAnsi="仿宋" w:eastAsia="仿宋" w:cs="仿宋"/>
                          <w:bCs/>
                        </w:rPr>
                      </w:pPr>
                    </w:p>
                  </w:txbxContent>
                </v:textbox>
                <w10:wrap type="square"/>
              </v:shape>
            </w:pict>
          </mc:Fallback>
        </mc:AlternateContent>
      </w:r>
      <w:r>
        <w:rPr>
          <w:rFonts w:hint="eastAsia" w:ascii="Times New Roman" w:hAnsi="Times New Roman" w:eastAsia="仿宋" w:cs="仿宋"/>
          <w:b/>
          <w:bCs/>
          <w:color w:val="000000" w:themeColor="text1"/>
          <w:sz w:val="28"/>
          <w:szCs w:val="28"/>
          <w14:textFill>
            <w14:solidFill>
              <w14:schemeClr w14:val="tx1"/>
            </w14:solidFill>
          </w14:textFill>
        </w:rPr>
        <w:t>专栏1</w:t>
      </w:r>
      <w:r>
        <w:rPr>
          <w:rFonts w:ascii="Times New Roman" w:hAnsi="Times New Roman" w:eastAsia="仿宋" w:cs="仿宋"/>
          <w:b/>
          <w:bCs/>
          <w:color w:val="000000" w:themeColor="text1"/>
          <w:sz w:val="28"/>
          <w:szCs w:val="28"/>
          <w14:textFill>
            <w14:solidFill>
              <w14:schemeClr w14:val="tx1"/>
            </w14:solidFill>
          </w14:textFill>
        </w:rPr>
        <w:t>1</w:t>
      </w:r>
      <w:r>
        <w:rPr>
          <w:rFonts w:hint="eastAsia" w:ascii="Times New Roman" w:hAnsi="Times New Roman" w:eastAsia="仿宋" w:cs="仿宋"/>
          <w:b/>
          <w:bCs/>
          <w:color w:val="000000" w:themeColor="text1"/>
          <w:sz w:val="28"/>
          <w:szCs w:val="28"/>
          <w14:textFill>
            <w14:solidFill>
              <w14:schemeClr w14:val="tx1"/>
            </w14:solidFill>
          </w14:textFill>
        </w:rPr>
        <w:t xml:space="preserve">  民生改善重大建设工程</w:t>
      </w:r>
      <w:bookmarkStart w:id="298" w:name="_Toc25790"/>
      <w:bookmarkStart w:id="299" w:name="_Toc28356"/>
      <w:r>
        <w:rPr>
          <w:rFonts w:hint="eastAsia" w:ascii="Times New Roman" w:hAnsi="Times New Roman" w:eastAsia="黑体" w:cs="黑体"/>
          <w:b/>
          <w:color w:val="000000" w:themeColor="text1"/>
          <w:sz w:val="32"/>
          <w:szCs w:val="32"/>
          <w14:textFill>
            <w14:solidFill>
              <w14:schemeClr w14:val="tx1"/>
            </w14:solidFill>
          </w14:textFill>
        </w:rPr>
        <w:br w:type="page"/>
      </w:r>
    </w:p>
    <w:p>
      <w:pPr>
        <w:pStyle w:val="4"/>
        <w:keepNext w:val="0"/>
        <w:keepLines w:val="0"/>
        <w:spacing w:before="0" w:after="0" w:line="560" w:lineRule="exact"/>
        <w:jc w:val="center"/>
        <w:rPr>
          <w:rFonts w:ascii="黑体" w:hAnsi="黑体" w:eastAsia="黑体" w:cs="黑体"/>
          <w:b w:val="0"/>
          <w:color w:val="000000" w:themeColor="text1"/>
          <w14:textFill>
            <w14:solidFill>
              <w14:schemeClr w14:val="tx1"/>
            </w14:solidFill>
          </w14:textFill>
        </w:rPr>
      </w:pPr>
      <w:bookmarkStart w:id="300" w:name="_Toc61110825"/>
      <w:r>
        <w:rPr>
          <w:rFonts w:hint="eastAsia" w:ascii="黑体" w:hAnsi="黑体" w:eastAsia="黑体" w:cs="黑体"/>
          <w:b w:val="0"/>
          <w:color w:val="000000" w:themeColor="text1"/>
          <w14:textFill>
            <w14:solidFill>
              <w14:schemeClr w14:val="tx1"/>
            </w14:solidFill>
          </w14:textFill>
        </w:rPr>
        <w:t>第十四章  创新社会治理 提高治理效能</w:t>
      </w:r>
      <w:bookmarkEnd w:id="298"/>
      <w:bookmarkEnd w:id="300"/>
    </w:p>
    <w:p>
      <w:pPr>
        <w:spacing w:line="560" w:lineRule="exact"/>
        <w:rPr>
          <w:rFonts w:ascii="楷体_GB2312" w:hAnsi="楷体_GB2312" w:eastAsia="楷体_GB2312" w:cs="楷体_GB2312"/>
          <w:color w:val="000000" w:themeColor="text1"/>
          <w:sz w:val="32"/>
          <w:szCs w:val="32"/>
          <w14:textFill>
            <w14:solidFill>
              <w14:schemeClr w14:val="tx1"/>
            </w14:solidFill>
          </w14:textFill>
        </w:rPr>
      </w:pPr>
    </w:p>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加强和创新社会治理，通过系统治理、依法治理、综合治理、源头治理，建设社会治理共同体，确保人民安居乐业，社会安定有序，扎实推进市域社会治理，实现社会治理体系和治理能力的现代化，将龙胜的经济发展和社会稳定构筑一张牢固的“社会安全网”，让人民群众获得感、幸福感、安全感更加充实、更有保障、更可持续。</w:t>
      </w:r>
      <w:bookmarkStart w:id="301" w:name="_Toc29341"/>
    </w:p>
    <w:p>
      <w:pPr>
        <w:spacing w:line="560" w:lineRule="exact"/>
        <w:jc w:val="center"/>
        <w:rPr>
          <w:rFonts w:ascii="楷体_GB2312" w:hAnsi="楷体_GB2312" w:eastAsia="楷体_GB2312" w:cs="楷体_GB2312"/>
          <w:b/>
          <w:bCs/>
          <w:color w:val="000000" w:themeColor="text1"/>
          <w:sz w:val="30"/>
          <w:szCs w:val="30"/>
          <w14:textFill>
            <w14:solidFill>
              <w14:schemeClr w14:val="tx1"/>
            </w14:solidFill>
          </w14:textFill>
        </w:rPr>
      </w:pPr>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第一节  加强法治建设</w:t>
      </w:r>
      <w:bookmarkEnd w:id="301"/>
      <w:bookmarkStart w:id="302" w:name="_Toc2061"/>
    </w:p>
    <w:p>
      <w:pPr>
        <w:spacing w:line="560" w:lineRule="exact"/>
        <w:rPr>
          <w:rFonts w:ascii="楷体_GB2312" w:hAnsi="楷体_GB2312" w:eastAsia="楷体_GB2312" w:cs="楷体_GB2312"/>
          <w:color w:val="000000" w:themeColor="text1"/>
          <w:sz w:val="32"/>
          <w:szCs w:val="32"/>
          <w:lang w:val="zh-CN"/>
          <w14:textFill>
            <w14:solidFill>
              <w14:schemeClr w14:val="tx1"/>
            </w14:solidFill>
          </w14:textFill>
        </w:rPr>
      </w:pPr>
    </w:p>
    <w:p>
      <w:pPr>
        <w:spacing w:line="560" w:lineRule="exact"/>
        <w:ind w:firstLine="640" w:firstLineChars="200"/>
        <w:rPr>
          <w:rFonts w:ascii="仿宋_GB2312" w:hAnsi="仿宋_GB2312" w:eastAsia="仿宋_GB2312" w:cs="仿宋_GB2312"/>
          <w:color w:val="000000" w:themeColor="text1"/>
          <w:sz w:val="32"/>
          <w:szCs w:val="32"/>
          <w:lang w:val="zh-CN"/>
          <w14:textFill>
            <w14:solidFill>
              <w14:schemeClr w14:val="tx1"/>
            </w14:solidFill>
          </w14:textFill>
        </w:rPr>
      </w:pPr>
      <w:r>
        <w:rPr>
          <w:rFonts w:hint="eastAsia" w:ascii="仿宋_GB2312" w:hAnsi="仿宋_GB2312" w:eastAsia="仿宋_GB2312" w:cs="仿宋_GB2312"/>
          <w:color w:val="000000" w:themeColor="text1"/>
          <w:sz w:val="32"/>
          <w:szCs w:val="32"/>
          <w:lang w:val="zh-CN"/>
          <w14:textFill>
            <w14:solidFill>
              <w14:schemeClr w14:val="tx1"/>
            </w14:solidFill>
          </w14:textFill>
        </w:rPr>
        <w:t>加强法治建设，创新社会治理体制，维护人民根本利益，最大限度增加和谐因素，确保人民安居乐业、社会安定、民族团结。推进全面依法治县，加强党对法治建设的领导，党政主要负责人切实履行法治建设第一责任人职责，健全全面依法治县制度和工作机制，推进行政复议体制改革，依法履行政府职责，提高法治思维，推进科学立法、严格执法、公正司法、全民守法。适应社会加快转型的新形势，提高社会治理能力。加强基层管理和服务机制，发挥群众组织和社会组织作用，着眼于政府、社会、公众三个维度，共同治理，实现政府行政管理与基层群众自治有效衔接、良性互动，调动群众推进社会治理的积极性、主动性、创造性，把人民智慧和力量凝聚到社会治理体制创新上来。创新社会治理的有效路径，依法打击各种犯罪活动，推进龙胜社会治理体系和治理能力现代化建设，提高社会治理效能。</w:t>
      </w:r>
    </w:p>
    <w:p>
      <w:pPr>
        <w:pStyle w:val="4"/>
        <w:keepNext w:val="0"/>
        <w:keepLines w:val="0"/>
        <w:spacing w:before="0" w:after="0" w:line="600" w:lineRule="exact"/>
        <w:jc w:val="center"/>
        <w:rPr>
          <w:rFonts w:ascii="楷体_GB2312" w:hAnsi="楷体_GB2312" w:eastAsia="楷体_GB2312" w:cs="楷体_GB2312"/>
          <w:b w:val="0"/>
          <w:color w:val="000000" w:themeColor="text1"/>
          <w14:textFill>
            <w14:solidFill>
              <w14:schemeClr w14:val="tx1"/>
            </w14:solidFill>
          </w14:textFill>
        </w:rPr>
      </w:pPr>
      <w:bookmarkStart w:id="303" w:name="_Toc61110826"/>
      <w:r>
        <w:rPr>
          <w:rFonts w:hint="eastAsia" w:ascii="楷体_GB2312" w:hAnsi="楷体_GB2312" w:eastAsia="楷体_GB2312" w:cs="楷体_GB2312"/>
          <w:b w:val="0"/>
          <w:color w:val="000000" w:themeColor="text1"/>
          <w14:textFill>
            <w14:solidFill>
              <w14:schemeClr w14:val="tx1"/>
            </w14:solidFill>
          </w14:textFill>
        </w:rPr>
        <w:t>第二节  加强公共安全</w:t>
      </w:r>
      <w:bookmarkEnd w:id="302"/>
      <w:bookmarkEnd w:id="303"/>
    </w:p>
    <w:p>
      <w:pPr>
        <w:spacing w:line="600" w:lineRule="exact"/>
        <w:rPr>
          <w:rFonts w:ascii="楷体_GB2312" w:hAnsi="楷体_GB2312" w:eastAsia="楷体_GB2312" w:cs="楷体_GB2312"/>
          <w:color w:val="000000" w:themeColor="text1"/>
          <w:sz w:val="32"/>
          <w:szCs w:val="32"/>
          <w14:textFill>
            <w14:solidFill>
              <w14:schemeClr w14:val="tx1"/>
            </w14:solidFill>
          </w14:textFill>
        </w:rPr>
      </w:pPr>
    </w:p>
    <w:p>
      <w:pPr>
        <w:spacing w:line="600" w:lineRule="exact"/>
        <w:ind w:firstLine="643"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（一）完善雪亮工程建设。</w:t>
      </w:r>
      <w:r>
        <w:rPr>
          <w:rFonts w:hint="eastAsia" w:ascii="仿宋_GB2312" w:hAnsi="仿宋_GB2312" w:eastAsia="仿宋_GB2312" w:cs="仿宋_GB2312"/>
          <w:color w:val="000000" w:themeColor="text1"/>
          <w:sz w:val="32"/>
          <w:szCs w:val="32"/>
          <w14:textFill>
            <w14:solidFill>
              <w14:schemeClr w14:val="tx1"/>
            </w14:solidFill>
          </w14:textFill>
        </w:rPr>
        <w:t>提升城乡管理水平、创新社会治理体制，</w:t>
      </w:r>
      <w:r>
        <w:rPr>
          <w:rFonts w:hint="eastAsia" w:ascii="仿宋_GB2312" w:hAnsi="仿宋_GB2312" w:eastAsia="仿宋_GB2312" w:cs="仿宋_GB2312"/>
          <w:color w:val="000000" w:themeColor="text1"/>
          <w:sz w:val="32"/>
          <w:szCs w:val="32"/>
          <w:lang w:val="zh-CN"/>
          <w14:textFill>
            <w14:solidFill>
              <w14:schemeClr w14:val="tx1"/>
            </w14:solidFill>
          </w14:textFill>
        </w:rPr>
        <w:t>实现全县主干道路、</w:t>
      </w:r>
      <w:r>
        <w:rPr>
          <w:rFonts w:hint="eastAsia" w:ascii="仿宋_GB2312" w:hAnsi="仿宋_GB2312" w:eastAsia="仿宋_GB2312" w:cs="仿宋_GB2312"/>
          <w:color w:val="000000" w:themeColor="text1"/>
          <w:sz w:val="32"/>
          <w:szCs w:val="32"/>
          <w14:textFill>
            <w14:solidFill>
              <w14:schemeClr w14:val="tx1"/>
            </w14:solidFill>
          </w14:textFill>
        </w:rPr>
        <w:t>所有行政村（社区）的</w:t>
      </w:r>
      <w:r>
        <w:rPr>
          <w:rFonts w:hint="eastAsia" w:ascii="仿宋_GB2312" w:hAnsi="仿宋_GB2312" w:eastAsia="仿宋_GB2312" w:cs="仿宋_GB2312"/>
          <w:color w:val="000000" w:themeColor="text1"/>
          <w:sz w:val="32"/>
          <w:szCs w:val="32"/>
          <w:lang w:val="zh-CN"/>
          <w14:textFill>
            <w14:solidFill>
              <w14:schemeClr w14:val="tx1"/>
            </w14:solidFill>
          </w14:textFill>
        </w:rPr>
        <w:t>监控全覆盖，完成社会面监控探头的建设。整合资源，完成“雪亮工程”视频监控、综治视联网、综治信息系统“三网合一”建设，加强立体防控体系建设</w:t>
      </w:r>
      <w:r>
        <w:rPr>
          <w:rFonts w:hint="eastAsia" w:ascii="仿宋_GB2312" w:hAnsi="仿宋_GB2312" w:eastAsia="仿宋_GB2312" w:cs="仿宋_GB2312"/>
          <w:color w:val="000000" w:themeColor="text1"/>
          <w:sz w:val="32"/>
          <w:szCs w:val="32"/>
          <w14:textFill>
            <w14:solidFill>
              <w14:schemeClr w14:val="tx1"/>
            </w14:solidFill>
          </w14:textFill>
        </w:rPr>
        <w:t>，提升社会稳定风险防范化解水平，</w:t>
      </w:r>
      <w:r>
        <w:rPr>
          <w:rFonts w:hint="eastAsia" w:ascii="仿宋_GB2312" w:hAnsi="仿宋_GB2312" w:eastAsia="仿宋_GB2312" w:cs="仿宋_GB2312"/>
          <w:color w:val="000000" w:themeColor="text1"/>
          <w:sz w:val="32"/>
          <w:szCs w:val="32"/>
          <w:lang w:val="zh-CN"/>
          <w14:textFill>
            <w14:solidFill>
              <w14:schemeClr w14:val="tx1"/>
            </w14:solidFill>
          </w14:textFill>
        </w:rPr>
        <w:t>维护社会稳定。推进综治中心建设，</w:t>
      </w:r>
      <w:r>
        <w:rPr>
          <w:rFonts w:hint="eastAsia" w:ascii="仿宋_GB2312" w:hAnsi="仿宋_GB2312" w:eastAsia="仿宋_GB2312" w:cs="仿宋_GB2312"/>
          <w:color w:val="000000" w:themeColor="text1"/>
          <w:sz w:val="32"/>
          <w:szCs w:val="32"/>
          <w14:textFill>
            <w14:solidFill>
              <w14:schemeClr w14:val="tx1"/>
            </w14:solidFill>
          </w14:textFill>
        </w:rPr>
        <w:t>加快网格员专职化进程。</w:t>
      </w:r>
      <w:r>
        <w:rPr>
          <w:rFonts w:hint="eastAsia" w:ascii="仿宋_GB2312" w:hAnsi="仿宋_GB2312" w:eastAsia="仿宋_GB2312" w:cs="仿宋_GB2312"/>
          <w:color w:val="000000" w:themeColor="text1"/>
          <w:sz w:val="32"/>
          <w:szCs w:val="32"/>
          <w:lang w:val="zh-CN"/>
          <w14:textFill>
            <w14:solidFill>
              <w14:schemeClr w14:val="tx1"/>
            </w14:solidFill>
          </w14:textFill>
        </w:rPr>
        <w:t>到2025年底，完成“雪亮工程”“天网工程”建设视频监控安装任务。</w:t>
      </w:r>
    </w:p>
    <w:p>
      <w:pPr>
        <w:spacing w:line="600" w:lineRule="exact"/>
        <w:ind w:firstLine="643"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（二）推进综治中心建设。</w:t>
      </w:r>
      <w:r>
        <w:rPr>
          <w:rFonts w:hint="eastAsia" w:ascii="仿宋_GB2312" w:hAnsi="仿宋_GB2312" w:eastAsia="仿宋_GB2312" w:cs="仿宋_GB2312"/>
          <w:color w:val="000000" w:themeColor="text1"/>
          <w:sz w:val="32"/>
          <w:szCs w:val="32"/>
          <w14:textFill>
            <w14:solidFill>
              <w14:schemeClr w14:val="tx1"/>
            </w14:solidFill>
          </w14:textFill>
        </w:rPr>
        <w:t>推进县、乡（镇）、村（社区）三级综治中心实体化运行，建立综合协调、治安防控、矛盾调解、指挥调度和群众诉求服务、综治信息“四室一厅一平台”；建立科学有效的矛盾调处机制，强化矛盾纠纷化解，引入相关部门及各类行业性、专业性调解组织进驻，整合律师等第三方调解资源，因地制宜创新调解方式方法，实现综治、信访、司法、检察、公安、法院等部门联合办公，提高效率和服务能力。</w:t>
      </w:r>
    </w:p>
    <w:p>
      <w:pPr>
        <w:spacing w:line="600" w:lineRule="exact"/>
        <w:ind w:firstLine="643"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sz w:val="32"/>
          <w:szCs w:val="32"/>
          <w14:textFill>
            <w14:solidFill>
              <w14:schemeClr w14:val="tx1"/>
            </w14:solidFill>
          </w14:textFill>
        </w:rPr>
        <w:t>（三）建立社区戒毒中心。</w:t>
      </w:r>
      <w:r>
        <w:rPr>
          <w:rFonts w:hint="eastAsia" w:ascii="仿宋_GB2312" w:hAnsi="仿宋_GB2312" w:eastAsia="仿宋_GB2312" w:cs="仿宋_GB2312"/>
          <w:color w:val="000000" w:themeColor="text1"/>
          <w:sz w:val="32"/>
          <w:szCs w:val="32"/>
          <w14:textFill>
            <w14:solidFill>
              <w14:schemeClr w14:val="tx1"/>
            </w14:solidFill>
          </w14:textFill>
        </w:rPr>
        <w:t>建立社区戒毒（康复）中心，挽救吸毒人员、减少违法犯罪，促进社会和谐稳定。加强全县吸毒人员基础信息调查和吸毒人员毛发筛查，将吸毒人员情况摸好底，做好各乡（镇）吸毒人员毛发仪器检测，加强社区戒毒（康复）中心与各相关部门的协作，深入推进戒毒康复。</w:t>
      </w:r>
    </w:p>
    <w:p>
      <w:pPr>
        <w:pStyle w:val="4"/>
        <w:keepNext w:val="0"/>
        <w:keepLines w:val="0"/>
        <w:spacing w:before="0" w:after="0" w:line="560" w:lineRule="exact"/>
        <w:jc w:val="center"/>
        <w:rPr>
          <w:rFonts w:ascii="仿宋_GB2312" w:hAnsi="仿宋_GB2312" w:eastAsia="仿宋_GB2312" w:cs="仿宋_GB2312"/>
          <w:bCs w:val="0"/>
          <w:color w:val="000000" w:themeColor="text1"/>
          <w14:textFill>
            <w14:solidFill>
              <w14:schemeClr w14:val="tx1"/>
            </w14:solidFill>
          </w14:textFill>
        </w:rPr>
      </w:pPr>
      <w:bookmarkStart w:id="304" w:name="_Toc26431"/>
      <w:bookmarkStart w:id="305" w:name="_Toc61110827"/>
    </w:p>
    <w:p>
      <w:pPr>
        <w:rPr>
          <w:rFonts w:ascii="楷体_GB2312" w:hAnsi="楷体_GB2312" w:eastAsia="楷体_GB2312" w:cs="楷体_GB2312"/>
          <w:color w:val="000000" w:themeColor="text1"/>
          <w:sz w:val="30"/>
          <w:szCs w:val="30"/>
          <w14:textFill>
            <w14:solidFill>
              <w14:schemeClr w14:val="tx1"/>
            </w14:solidFill>
          </w14:textFill>
        </w:rPr>
      </w:pPr>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第三节  加强社会民主</w:t>
      </w:r>
      <w:bookmarkEnd w:id="304"/>
      <w:bookmarkEnd w:id="305"/>
    </w:p>
    <w:p>
      <w:pPr>
        <w:spacing w:line="560" w:lineRule="exact"/>
        <w:rPr>
          <w:rFonts w:ascii="楷体_GB2312" w:hAnsi="楷体_GB2312" w:eastAsia="楷体_GB2312" w:cs="楷体_GB2312"/>
          <w:color w:val="000000" w:themeColor="text1"/>
          <w:sz w:val="32"/>
          <w:szCs w:val="32"/>
          <w14:textFill>
            <w14:solidFill>
              <w14:schemeClr w14:val="tx1"/>
            </w14:solidFill>
          </w14:textFill>
        </w:rPr>
      </w:pPr>
    </w:p>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加强基层民主建设，通过民主选举选出自己的代表，积极参与国家事务的管理，行使自己的知情权、参与权、表达权、监督权；对经济政治文化社会各项活动进行民主决策、民主管理、民主监督；集中人民群众的智慧，问政于民、问需于民、问计于民，听取群众意见呼声；加强协商民主制度建设，建立畅通有序的诉求表达机制，拓宽社情民意表达渠道，形成有效的对话和协商制度，推动协商民主广泛、多层、制度化发展，统筹推进政党协商、人大协商、政府协商、政协协商、人民团体协商、基层协商以及社会组织协商。</w:t>
      </w:r>
    </w:p>
    <w:p>
      <w:pPr>
        <w:pStyle w:val="19"/>
        <w:widowControl w:val="0"/>
        <w:spacing w:before="0" w:beforeAutospacing="0" w:after="0" w:afterAutospacing="0" w:line="560" w:lineRule="exact"/>
        <w:jc w:val="center"/>
        <w:rPr>
          <w:rFonts w:ascii="楷体_GB2312" w:hAnsi="楷体_GB2312" w:eastAsia="楷体_GB2312" w:cs="楷体_GB2312"/>
          <w:b/>
          <w:bCs/>
          <w:color w:val="000000" w:themeColor="text1"/>
          <w:sz w:val="28"/>
          <w:szCs w:val="28"/>
          <w14:textFill>
            <w14:solidFill>
              <w14:schemeClr w14:val="tx1"/>
            </w14:solidFill>
          </w14:textFill>
        </w:rPr>
      </w:pPr>
    </w:p>
    <w:p>
      <w:pPr>
        <w:pStyle w:val="19"/>
        <w:widowControl w:val="0"/>
        <w:spacing w:before="0" w:beforeAutospacing="0" w:after="0" w:afterAutospacing="0" w:line="560" w:lineRule="exact"/>
        <w:jc w:val="center"/>
        <w:rPr>
          <w:rFonts w:ascii="楷体_GB2312" w:hAnsi="楷体_GB2312" w:eastAsia="楷体_GB2312" w:cs="楷体_GB2312"/>
          <w:b/>
          <w:bCs/>
          <w:color w:val="000000" w:themeColor="text1"/>
          <w:sz w:val="28"/>
          <w:szCs w:val="28"/>
          <w14:textFill>
            <w14:solidFill>
              <w14:schemeClr w14:val="tx1"/>
            </w14:solidFill>
          </w14:textFill>
        </w:rPr>
      </w:pPr>
      <w:r>
        <w:rPr>
          <w:rFonts w:hint="eastAsia" w:ascii="楷体_GB2312" w:hAnsi="楷体_GB2312" w:eastAsia="楷体_GB2312" w:cs="楷体_GB2312"/>
          <w:color w:val="000000" w:themeColor="text1"/>
          <w:sz w:val="28"/>
          <w14:textFill>
            <w14:solidFill>
              <w14:schemeClr w14:val="tx1"/>
            </w14:solidFill>
          </w14:textFill>
        </w:rPr>
        <mc:AlternateContent>
          <mc:Choice Requires="wps">
            <w:drawing>
              <wp:anchor distT="0" distB="0" distL="114300" distR="114300" simplePos="0" relativeHeight="251665408" behindDoc="0" locked="0" layoutInCell="1" allowOverlap="1">
                <wp:simplePos x="0" y="0"/>
                <wp:positionH relativeFrom="column">
                  <wp:posOffset>-24765</wp:posOffset>
                </wp:positionH>
                <wp:positionV relativeFrom="paragraph">
                  <wp:posOffset>431800</wp:posOffset>
                </wp:positionV>
                <wp:extent cx="5683885" cy="1670685"/>
                <wp:effectExtent l="4445" t="5080" r="7620" b="19685"/>
                <wp:wrapSquare wrapText="bothSides"/>
                <wp:docPr id="12" name="文本框 12"/>
                <wp:cNvGraphicFramePr/>
                <a:graphic xmlns:a="http://schemas.openxmlformats.org/drawingml/2006/main">
                  <a:graphicData uri="http://schemas.microsoft.com/office/word/2010/wordprocessingShape">
                    <wps:wsp>
                      <wps:cNvSpPr txBox="1"/>
                      <wps:spPr>
                        <a:xfrm>
                          <a:off x="0" y="0"/>
                          <a:ext cx="5683885" cy="167068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360" w:lineRule="auto"/>
                              <w:jc w:val="left"/>
                              <w:rPr>
                                <w:rFonts w:ascii="仿宋" w:hAnsi="仿宋" w:eastAsia="仿宋" w:cs="仿宋"/>
                                <w:sz w:val="24"/>
                              </w:rPr>
                            </w:pPr>
                            <w:r>
                              <w:rPr>
                                <w:rFonts w:hint="eastAsia" w:ascii="仿宋" w:hAnsi="仿宋" w:eastAsia="仿宋" w:cs="仿宋"/>
                                <w:sz w:val="24"/>
                              </w:rPr>
                              <w:t>1.龙胜县警务技能培训基地建设项目（反恐训练基地）。</w:t>
                            </w:r>
                          </w:p>
                          <w:p>
                            <w:pPr>
                              <w:spacing w:line="360" w:lineRule="auto"/>
                              <w:jc w:val="left"/>
                              <w:rPr>
                                <w:rFonts w:ascii="仿宋" w:hAnsi="仿宋" w:eastAsia="仿宋" w:cs="仿宋"/>
                                <w:sz w:val="24"/>
                              </w:rPr>
                            </w:pPr>
                            <w:r>
                              <w:rPr>
                                <w:rFonts w:hint="eastAsia" w:ascii="仿宋" w:hAnsi="仿宋" w:eastAsia="仿宋" w:cs="仿宋"/>
                                <w:sz w:val="24"/>
                              </w:rPr>
                              <w:t>2.龙胜县公安局监管中心建设项目。</w:t>
                            </w:r>
                          </w:p>
                          <w:p>
                            <w:pPr>
                              <w:spacing w:line="360" w:lineRule="auto"/>
                              <w:jc w:val="left"/>
                              <w:rPr>
                                <w:rFonts w:ascii="仿宋" w:hAnsi="仿宋" w:eastAsia="仿宋" w:cs="仿宋"/>
                                <w:sz w:val="24"/>
                              </w:rPr>
                            </w:pPr>
                            <w:r>
                              <w:rPr>
                                <w:rFonts w:hint="eastAsia" w:ascii="仿宋" w:hAnsi="仿宋" w:eastAsia="仿宋" w:cs="仿宋"/>
                                <w:sz w:val="24"/>
                              </w:rPr>
                              <w:t>3.龙胜县公安局龙胜镇派出所建设项目。</w:t>
                            </w:r>
                          </w:p>
                          <w:p>
                            <w:pPr>
                              <w:pStyle w:val="31"/>
                              <w:spacing w:line="360" w:lineRule="auto"/>
                              <w:rPr>
                                <w:rFonts w:ascii="仿宋" w:hAnsi="仿宋" w:eastAsia="仿宋" w:cs="仿宋"/>
                                <w:color w:val="auto"/>
                                <w:kern w:val="2"/>
                              </w:rPr>
                            </w:pPr>
                            <w:r>
                              <w:rPr>
                                <w:rFonts w:hint="eastAsia" w:ascii="仿宋" w:hAnsi="仿宋" w:eastAsia="仿宋" w:cs="仿宋"/>
                                <w:color w:val="auto"/>
                                <w:kern w:val="2"/>
                              </w:rPr>
                              <w:t>4.龙胜县雪亮工程项目。</w:t>
                            </w:r>
                          </w:p>
                          <w:p>
                            <w:pPr>
                              <w:pStyle w:val="31"/>
                              <w:spacing w:line="360" w:lineRule="auto"/>
                              <w:rPr>
                                <w:rFonts w:ascii="仿宋" w:hAnsi="仿宋" w:eastAsia="仿宋" w:cs="仿宋"/>
                                <w:color w:val="auto"/>
                                <w:kern w:val="2"/>
                              </w:rPr>
                            </w:pPr>
                            <w:r>
                              <w:rPr>
                                <w:rFonts w:hint="eastAsia" w:ascii="仿宋" w:hAnsi="仿宋" w:eastAsia="仿宋" w:cs="仿宋"/>
                                <w:color w:val="auto"/>
                                <w:kern w:val="2"/>
                              </w:rPr>
                              <w:t>5.龙胜县综治中心和社区戒毒（康复）中心（各乡镇）项目。</w:t>
                            </w:r>
                          </w:p>
                          <w:p>
                            <w:pPr>
                              <w:pStyle w:val="31"/>
                              <w:spacing w:line="360" w:lineRule="auto"/>
                              <w:rPr>
                                <w:rFonts w:ascii="仿宋" w:hAnsi="仿宋" w:eastAsia="仿宋" w:cs="仿宋"/>
                                <w:b/>
                                <w:bCs/>
                                <w:color w:val="auto"/>
                                <w:kern w:val="2"/>
                              </w:rPr>
                            </w:pPr>
                          </w:p>
                        </w:txbxContent>
                      </wps:txbx>
                      <wps:bodyPr upright="1">
                        <a:noAutofit/>
                      </wps:bodyPr>
                    </wps:wsp>
                  </a:graphicData>
                </a:graphic>
              </wp:anchor>
            </w:drawing>
          </mc:Choice>
          <mc:Fallback>
            <w:pict>
              <v:shape id="_x0000_s1026" o:spid="_x0000_s1026" o:spt="202" type="#_x0000_t202" style="position:absolute;left:0pt;margin-left:-1.95pt;margin-top:34pt;height:131.55pt;width:447.55pt;mso-wrap-distance-bottom:0pt;mso-wrap-distance-left:9pt;mso-wrap-distance-right:9pt;mso-wrap-distance-top:0pt;z-index:251665408;mso-width-relative:page;mso-height-relative:page;" fillcolor="#FFFFFF" filled="t" stroked="t" coordsize="21600,21600" o:gfxdata="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DG4OyvYAAAACQEAAA8A&#10;AAAAAAAAAQAgAAAAIgAAAGRycy9kb3ducmV2LnhtbFBLAQIUABQAAAAIAIdO4kBwhRjxFwIAAFME&#10;AAAOAAAAAAAAAAEAIAAAACcBAABkcnMvZTJvRG9jLnhtbFBLBQYAAAAABgAGAFkBAACwBQAAAAA=&#10;">
                <v:fill on="t" focussize="0,0"/>
                <v:stroke color="#000000" joinstyle="miter"/>
                <v:imagedata o:title=""/>
                <o:lock v:ext="edit" aspectratio="f"/>
                <v:textbox>
                  <w:txbxContent>
                    <w:p>
                      <w:pPr>
                        <w:spacing w:line="360" w:lineRule="auto"/>
                        <w:jc w:val="left"/>
                        <w:rPr>
                          <w:rFonts w:ascii="仿宋" w:hAnsi="仿宋" w:eastAsia="仿宋" w:cs="仿宋"/>
                          <w:sz w:val="24"/>
                        </w:rPr>
                      </w:pPr>
                      <w:r>
                        <w:rPr>
                          <w:rFonts w:hint="eastAsia" w:ascii="仿宋" w:hAnsi="仿宋" w:eastAsia="仿宋" w:cs="仿宋"/>
                          <w:sz w:val="24"/>
                        </w:rPr>
                        <w:t>1.龙胜县警务技能培训基地建设项目（反恐训练基地）。</w:t>
                      </w:r>
                    </w:p>
                    <w:p>
                      <w:pPr>
                        <w:spacing w:line="360" w:lineRule="auto"/>
                        <w:jc w:val="left"/>
                        <w:rPr>
                          <w:rFonts w:ascii="仿宋" w:hAnsi="仿宋" w:eastAsia="仿宋" w:cs="仿宋"/>
                          <w:sz w:val="24"/>
                        </w:rPr>
                      </w:pPr>
                      <w:r>
                        <w:rPr>
                          <w:rFonts w:hint="eastAsia" w:ascii="仿宋" w:hAnsi="仿宋" w:eastAsia="仿宋" w:cs="仿宋"/>
                          <w:sz w:val="24"/>
                        </w:rPr>
                        <w:t>2.龙胜县公安局监管中心建设项目。</w:t>
                      </w:r>
                    </w:p>
                    <w:p>
                      <w:pPr>
                        <w:spacing w:line="360" w:lineRule="auto"/>
                        <w:jc w:val="left"/>
                        <w:rPr>
                          <w:rFonts w:ascii="仿宋" w:hAnsi="仿宋" w:eastAsia="仿宋" w:cs="仿宋"/>
                          <w:sz w:val="24"/>
                        </w:rPr>
                      </w:pPr>
                      <w:r>
                        <w:rPr>
                          <w:rFonts w:hint="eastAsia" w:ascii="仿宋" w:hAnsi="仿宋" w:eastAsia="仿宋" w:cs="仿宋"/>
                          <w:sz w:val="24"/>
                        </w:rPr>
                        <w:t>3.龙胜县公安局龙胜镇派出所建设项目。</w:t>
                      </w:r>
                    </w:p>
                    <w:p>
                      <w:pPr>
                        <w:pStyle w:val="31"/>
                        <w:spacing w:line="360" w:lineRule="auto"/>
                        <w:rPr>
                          <w:rFonts w:ascii="仿宋" w:hAnsi="仿宋" w:eastAsia="仿宋" w:cs="仿宋"/>
                          <w:color w:val="auto"/>
                          <w:kern w:val="2"/>
                        </w:rPr>
                      </w:pPr>
                      <w:r>
                        <w:rPr>
                          <w:rFonts w:hint="eastAsia" w:ascii="仿宋" w:hAnsi="仿宋" w:eastAsia="仿宋" w:cs="仿宋"/>
                          <w:color w:val="auto"/>
                          <w:kern w:val="2"/>
                        </w:rPr>
                        <w:t>4.龙胜县雪亮工程项目。</w:t>
                      </w:r>
                    </w:p>
                    <w:p>
                      <w:pPr>
                        <w:pStyle w:val="31"/>
                        <w:spacing w:line="360" w:lineRule="auto"/>
                        <w:rPr>
                          <w:rFonts w:ascii="仿宋" w:hAnsi="仿宋" w:eastAsia="仿宋" w:cs="仿宋"/>
                          <w:color w:val="auto"/>
                          <w:kern w:val="2"/>
                        </w:rPr>
                      </w:pPr>
                      <w:r>
                        <w:rPr>
                          <w:rFonts w:hint="eastAsia" w:ascii="仿宋" w:hAnsi="仿宋" w:eastAsia="仿宋" w:cs="仿宋"/>
                          <w:color w:val="auto"/>
                          <w:kern w:val="2"/>
                        </w:rPr>
                        <w:t>5.龙胜县综治中心和社区戒毒（康复）中心（各乡镇）项目。</w:t>
                      </w:r>
                    </w:p>
                    <w:p>
                      <w:pPr>
                        <w:pStyle w:val="31"/>
                        <w:spacing w:line="360" w:lineRule="auto"/>
                        <w:rPr>
                          <w:rFonts w:ascii="仿宋" w:hAnsi="仿宋" w:eastAsia="仿宋" w:cs="仿宋"/>
                          <w:b/>
                          <w:bCs/>
                          <w:color w:val="auto"/>
                          <w:kern w:val="2"/>
                        </w:rPr>
                      </w:pPr>
                    </w:p>
                  </w:txbxContent>
                </v:textbox>
                <w10:wrap type="square"/>
              </v:shape>
            </w:pict>
          </mc:Fallback>
        </mc:AlternateContent>
      </w:r>
      <w:r>
        <w:rPr>
          <w:rFonts w:hint="eastAsia" w:ascii="楷体_GB2312" w:hAnsi="楷体_GB2312" w:eastAsia="楷体_GB2312" w:cs="楷体_GB2312"/>
          <w:b/>
          <w:bCs/>
          <w:color w:val="000000" w:themeColor="text1"/>
          <w:sz w:val="28"/>
          <w:szCs w:val="28"/>
          <w14:textFill>
            <w14:solidFill>
              <w14:schemeClr w14:val="tx1"/>
            </w14:solidFill>
          </w14:textFill>
        </w:rPr>
        <w:t>专栏12  社会管理重大建设工程</w:t>
      </w:r>
    </w:p>
    <w:bookmarkEnd w:id="299"/>
    <w:p>
      <w:pPr>
        <w:pStyle w:val="9"/>
        <w:widowControl w:val="0"/>
        <w:adjustRightInd/>
        <w:snapToGrid/>
        <w:spacing w:line="560" w:lineRule="exact"/>
        <w:ind w:firstLine="0" w:firstLineChars="0"/>
        <w:rPr>
          <w:rFonts w:ascii="楷体_GB2312" w:hAnsi="楷体_GB2312" w:eastAsia="楷体_GB2312" w:cs="楷体_GB2312"/>
          <w:color w:val="000000" w:themeColor="text1"/>
          <w14:textFill>
            <w14:solidFill>
              <w14:schemeClr w14:val="tx1"/>
            </w14:solidFill>
          </w14:textFill>
        </w:rPr>
        <w:sectPr>
          <w:footnotePr>
            <w:numFmt w:val="decimalEnclosedCircleChinese"/>
          </w:footnotePr>
          <w:pgSz w:w="11906" w:h="16838"/>
          <w:pgMar w:top="1587" w:right="1417" w:bottom="1304" w:left="1417" w:header="851" w:footer="850" w:gutter="0"/>
          <w:cols w:space="0" w:num="1"/>
          <w:docGrid w:type="lines" w:linePitch="312" w:charSpace="0"/>
        </w:sectPr>
      </w:pPr>
    </w:p>
    <w:p>
      <w:pPr>
        <w:pStyle w:val="41"/>
        <w:keepLines w:val="0"/>
        <w:adjustRightInd/>
        <w:snapToGrid/>
        <w:spacing w:before="0" w:beforeLines="0" w:line="640" w:lineRule="exact"/>
        <w:ind w:left="0" w:leftChars="0"/>
        <w:jc w:val="center"/>
        <w:outlineLvl w:val="0"/>
        <w:rPr>
          <w:rFonts w:ascii="方正小标宋_GBK" w:hAnsi="方正小标宋_GBK" w:eastAsia="方正小标宋_GBK" w:cs="方正小标宋_GBK"/>
          <w:color w:val="000000" w:themeColor="text1"/>
          <w:sz w:val="44"/>
          <w:szCs w:val="44"/>
          <w14:textFill>
            <w14:solidFill>
              <w14:schemeClr w14:val="tx1"/>
            </w14:solidFill>
          </w14:textFill>
        </w:rPr>
      </w:pPr>
      <w:bookmarkStart w:id="306" w:name="_Toc5397"/>
      <w:bookmarkStart w:id="307" w:name="_Toc61110828"/>
      <w:r>
        <w:rPr>
          <w:rFonts w:hint="eastAsia" w:ascii="方正小标宋_GBK" w:hAnsi="方正小标宋_GBK" w:eastAsia="方正小标宋_GBK" w:cs="方正小标宋_GBK"/>
          <w:color w:val="000000" w:themeColor="text1"/>
          <w:sz w:val="44"/>
          <w:szCs w:val="44"/>
          <w14:textFill>
            <w14:solidFill>
              <w14:schemeClr w14:val="tx1"/>
            </w14:solidFill>
          </w14:textFill>
        </w:rPr>
        <w:t>第四篇  强化规划实施保障，推进规划全面落实</w:t>
      </w:r>
    </w:p>
    <w:p>
      <w:pPr>
        <w:pStyle w:val="41"/>
        <w:keepNext w:val="0"/>
        <w:keepLines w:val="0"/>
        <w:adjustRightInd/>
        <w:snapToGrid/>
        <w:spacing w:before="0" w:beforeLines="0" w:line="560" w:lineRule="exact"/>
        <w:ind w:left="0" w:leftChars="0" w:firstLine="643" w:firstLineChars="200"/>
        <w:jc w:val="both"/>
        <w:outlineLvl w:val="0"/>
        <w:rPr>
          <w:rFonts w:ascii="仿宋_GB2312" w:hAnsi="仿宋_GB2312" w:eastAsia="仿宋_GB2312" w:cs="仿宋_GB2312"/>
          <w:b/>
          <w:bCs w:val="0"/>
          <w:color w:val="000000" w:themeColor="text1"/>
          <w14:textFill>
            <w14:solidFill>
              <w14:schemeClr w14:val="tx1"/>
            </w14:solidFill>
          </w14:textFill>
        </w:rPr>
      </w:pPr>
    </w:p>
    <w:p>
      <w:pPr>
        <w:pStyle w:val="4"/>
        <w:keepNext w:val="0"/>
        <w:keepLines w:val="0"/>
        <w:spacing w:before="0" w:after="0" w:line="560" w:lineRule="exact"/>
        <w:jc w:val="center"/>
        <w:rPr>
          <w:rFonts w:ascii="黑体" w:hAnsi="黑体" w:eastAsia="黑体" w:cs="黑体"/>
          <w:b w:val="0"/>
          <w:color w:val="000000" w:themeColor="text1"/>
          <w14:textFill>
            <w14:solidFill>
              <w14:schemeClr w14:val="tx1"/>
            </w14:solidFill>
          </w14:textFill>
        </w:rPr>
      </w:pPr>
      <w:r>
        <w:rPr>
          <w:rFonts w:hint="eastAsia" w:ascii="黑体" w:hAnsi="黑体" w:eastAsia="黑体" w:cs="黑体"/>
          <w:b w:val="0"/>
          <w:color w:val="000000" w:themeColor="text1"/>
          <w14:textFill>
            <w14:solidFill>
              <w14:schemeClr w14:val="tx1"/>
            </w14:solidFill>
          </w14:textFill>
        </w:rPr>
        <w:t>第十五章  健全有效机制 确保规划实施</w:t>
      </w:r>
      <w:bookmarkEnd w:id="306"/>
      <w:bookmarkEnd w:id="307"/>
    </w:p>
    <w:p>
      <w:pPr>
        <w:pStyle w:val="41"/>
        <w:keepNext w:val="0"/>
        <w:keepLines w:val="0"/>
        <w:adjustRightInd/>
        <w:snapToGrid/>
        <w:spacing w:before="0" w:beforeLines="0" w:line="560" w:lineRule="exact"/>
        <w:ind w:left="0" w:leftChars="0" w:firstLine="643" w:firstLineChars="200"/>
        <w:jc w:val="both"/>
        <w:outlineLvl w:val="0"/>
        <w:rPr>
          <w:rFonts w:ascii="仿宋_GB2312" w:hAnsi="仿宋_GB2312" w:eastAsia="仿宋_GB2312" w:cs="仿宋_GB2312"/>
          <w:b/>
          <w:bCs w:val="0"/>
          <w:color w:val="000000" w:themeColor="text1"/>
          <w14:textFill>
            <w14:solidFill>
              <w14:schemeClr w14:val="tx1"/>
            </w14:solidFill>
          </w14:textFill>
        </w:rPr>
      </w:pPr>
    </w:p>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本纲要是龙胜国民经济和社会发展的总纲领，是编制其他各类专项规划的依据。经县人民代表大会讨论通过后，将具有等同于地方性法规的法律地位。</w:t>
      </w:r>
    </w:p>
    <w:p>
      <w:pPr>
        <w:pStyle w:val="4"/>
        <w:keepNext w:val="0"/>
        <w:keepLines w:val="0"/>
        <w:spacing w:before="0" w:after="0" w:line="520" w:lineRule="exact"/>
        <w:ind w:firstLine="643" w:firstLineChars="200"/>
        <w:rPr>
          <w:rFonts w:ascii="仿宋_GB2312" w:hAnsi="仿宋_GB2312" w:eastAsia="仿宋_GB2312" w:cs="仿宋_GB2312"/>
          <w:bCs w:val="0"/>
          <w:color w:val="000000" w:themeColor="text1"/>
          <w14:textFill>
            <w14:solidFill>
              <w14:schemeClr w14:val="tx1"/>
            </w14:solidFill>
          </w14:textFill>
        </w:rPr>
      </w:pPr>
      <w:bookmarkStart w:id="308" w:name="_Toc61110829"/>
      <w:bookmarkStart w:id="309" w:name="_Toc27521"/>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第一节  加强规划纲要宣传</w:t>
      </w:r>
      <w:bookmarkEnd w:id="308"/>
      <w:bookmarkEnd w:id="309"/>
    </w:p>
    <w:p>
      <w:pPr>
        <w:spacing w:line="52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p>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充分利用各种媒体，采取多种形式，面向社会、大众，加强对规划重要性的宣传工作和社会监督，统一思想、形成共识，使实施规划目标成为龙胜县全社会的自觉行动。同时，各单位要提高对发展规划的认识，树立长远发展观念，自觉以规划指导各项工作，增强工作的系统性和连续性，确保规划提出的各项目标任务如期顺利实现。</w:t>
      </w:r>
    </w:p>
    <w:p>
      <w:pPr>
        <w:pStyle w:val="4"/>
        <w:keepNext w:val="0"/>
        <w:keepLines w:val="0"/>
        <w:spacing w:before="0" w:after="0" w:line="520" w:lineRule="exact"/>
        <w:ind w:firstLine="643" w:firstLineChars="200"/>
        <w:rPr>
          <w:rFonts w:ascii="仿宋_GB2312" w:hAnsi="仿宋_GB2312" w:eastAsia="仿宋_GB2312" w:cs="仿宋_GB2312"/>
          <w:bCs w:val="0"/>
          <w:color w:val="000000" w:themeColor="text1"/>
          <w14:textFill>
            <w14:solidFill>
              <w14:schemeClr w14:val="tx1"/>
            </w14:solidFill>
          </w14:textFill>
        </w:rPr>
      </w:pPr>
      <w:bookmarkStart w:id="310" w:name="_Toc61110830"/>
      <w:bookmarkStart w:id="311" w:name="_Toc16863"/>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第二节  发挥专项规划作用</w:t>
      </w:r>
      <w:bookmarkEnd w:id="310"/>
      <w:bookmarkEnd w:id="311"/>
    </w:p>
    <w:p>
      <w:pPr>
        <w:spacing w:line="52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p>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以纲要确定项目，以项目落实规划。以规划项目为投资申报依据，各部门要与上级部门沟通衔接，健全项目推进实施机制。建立项目的动态管理，增强经济社会发展后劲。科学制定年度计划，把规划纲要提出的任务项目、目标分解落实到每个计划年度中，保持规划纲要实施的连续性；做好专项规划、区域规划和年度计划与本规划纲要的衔接，形成规划纲要实施合力。</w:t>
      </w:r>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bookmarkStart w:id="312" w:name="_Toc1426"/>
      <w:bookmarkStart w:id="313" w:name="_Toc61110831"/>
      <w:r>
        <w:rPr>
          <w:rFonts w:hint="eastAsia" w:ascii="楷体_GB2312" w:hAnsi="楷体_GB2312" w:eastAsia="楷体_GB2312" w:cs="楷体_GB2312"/>
          <w:b w:val="0"/>
          <w:color w:val="000000" w:themeColor="text1"/>
          <w14:textFill>
            <w14:solidFill>
              <w14:schemeClr w14:val="tx1"/>
            </w14:solidFill>
          </w14:textFill>
        </w:rPr>
        <w:t>第三节  强化纲要协调管理</w:t>
      </w:r>
      <w:bookmarkEnd w:id="312"/>
      <w:bookmarkEnd w:id="313"/>
    </w:p>
    <w:p>
      <w:pPr>
        <w:spacing w:line="44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p>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强化规划纲要与城乡建设、国土利用等相关行业规划的衔接，形成以国民经济和社会发展总体规划为统领，以主体功能区、城乡规划、国土利用规划、专项规划和区域规划为支撑、各类规划定位清晰、统一衔接纲要规划体系。城乡规划、国土利用规划要与本规划纲要确定的城镇、农业、生态三类空间相衔接，统筹各类规划协调一致，提高依法依规办事效率，实现龙胜“一本规划一张蓝图”绘到底的目标。</w:t>
      </w:r>
    </w:p>
    <w:p>
      <w:pPr>
        <w:pStyle w:val="4"/>
        <w:keepNext w:val="0"/>
        <w:keepLines w:val="0"/>
        <w:spacing w:before="0" w:after="0" w:line="440" w:lineRule="exact"/>
        <w:ind w:firstLine="643" w:firstLineChars="200"/>
        <w:rPr>
          <w:rFonts w:ascii="仿宋_GB2312" w:hAnsi="仿宋_GB2312" w:eastAsia="仿宋_GB2312" w:cs="仿宋_GB2312"/>
          <w:bCs w:val="0"/>
          <w:color w:val="000000" w:themeColor="text1"/>
          <w14:textFill>
            <w14:solidFill>
              <w14:schemeClr w14:val="tx1"/>
            </w14:solidFill>
          </w14:textFill>
        </w:rPr>
      </w:pPr>
      <w:bookmarkStart w:id="314" w:name="_Toc61110832"/>
      <w:bookmarkStart w:id="315" w:name="_Toc11012"/>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第四节  规划实施及监督考核</w:t>
      </w:r>
      <w:bookmarkEnd w:id="314"/>
      <w:bookmarkEnd w:id="315"/>
    </w:p>
    <w:p>
      <w:pPr>
        <w:spacing w:line="44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p>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健全绩效评价考核体系，建立规划目标责任制，及时分解落实规划中发展目标、任务和政策，明确部门分工，落实部门责任，将其列入年度政府考核目标，并将考核结果作为领导班子调整和干部选拔任用、奖励惩戒的重要依据。</w:t>
      </w:r>
    </w:p>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县政府主管部门要跟踪分析总体规划的执行情况，加强经济运行情况的监测分析和预警，定期向县委、县政府报告，及时向社会发布，自觉接受县人大、县政协对规划执行情况的监督检查。相关部门负责重点专项规划、区域规划的跟踪分析。</w:t>
      </w:r>
    </w:p>
    <w:p>
      <w:pPr>
        <w:pStyle w:val="4"/>
        <w:keepNext w:val="0"/>
        <w:keepLines w:val="0"/>
        <w:spacing w:before="0" w:after="0" w:line="440" w:lineRule="exact"/>
        <w:ind w:firstLine="643" w:firstLineChars="200"/>
        <w:rPr>
          <w:rFonts w:ascii="仿宋_GB2312" w:hAnsi="仿宋_GB2312" w:eastAsia="仿宋_GB2312" w:cs="仿宋_GB2312"/>
          <w:bCs w:val="0"/>
          <w:color w:val="000000" w:themeColor="text1"/>
          <w14:textFill>
            <w14:solidFill>
              <w14:schemeClr w14:val="tx1"/>
            </w14:solidFill>
          </w14:textFill>
        </w:rPr>
      </w:pPr>
      <w:bookmarkStart w:id="316" w:name="_Toc61110833"/>
      <w:bookmarkStart w:id="317" w:name="_Toc23101"/>
    </w:p>
    <w:p>
      <w:pPr>
        <w:pStyle w:val="4"/>
        <w:keepNext w:val="0"/>
        <w:keepLines w:val="0"/>
        <w:spacing w:before="0" w:after="0" w:line="560" w:lineRule="exact"/>
        <w:jc w:val="center"/>
        <w:rPr>
          <w:rFonts w:ascii="楷体_GB2312" w:hAnsi="楷体_GB2312" w:eastAsia="楷体_GB2312" w:cs="楷体_GB2312"/>
          <w:b w:val="0"/>
          <w:color w:val="000000" w:themeColor="text1"/>
          <w14:textFill>
            <w14:solidFill>
              <w14:schemeClr w14:val="tx1"/>
            </w14:solidFill>
          </w14:textFill>
        </w:rPr>
      </w:pPr>
      <w:r>
        <w:rPr>
          <w:rFonts w:hint="eastAsia" w:ascii="楷体_GB2312" w:hAnsi="楷体_GB2312" w:eastAsia="楷体_GB2312" w:cs="楷体_GB2312"/>
          <w:b w:val="0"/>
          <w:color w:val="000000" w:themeColor="text1"/>
          <w14:textFill>
            <w14:solidFill>
              <w14:schemeClr w14:val="tx1"/>
            </w14:solidFill>
          </w14:textFill>
        </w:rPr>
        <w:t>第五节  建立规划评估机制</w:t>
      </w:r>
      <w:bookmarkEnd w:id="316"/>
      <w:bookmarkEnd w:id="317"/>
    </w:p>
    <w:p>
      <w:pPr>
        <w:spacing w:line="44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p>
    <w:p>
      <w:pPr>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加强规划实施评估。建立规划中期、末期评估机制，总结规划实施成效。总体规划由县政府组织评估，专项规划、区域规划由发改部门和主管业务部门组织评估，及时向县人大报告和向县政协通报规划执行情况；中期和末期评估报告要提请县人大常委会审议，并根据评估结果对规划进行调整修订。当经济运行环境发生重大变化或由于其他原因使经济运行偏离规划目标太大时，应及时提出调整方案，报请县人大常委会审议批准实施，以确保实现“十四五”规划提出的各项目标任务。</w:t>
      </w:r>
    </w:p>
    <w:sectPr>
      <w:footerReference r:id="rId9" w:type="default"/>
      <w:footnotePr>
        <w:numFmt w:val="decimalEnclosedCircleChinese"/>
      </w:footnotePr>
      <w:pgSz w:w="11906" w:h="16838"/>
      <w:pgMar w:top="1587" w:right="1417" w:bottom="1304" w:left="1417" w:header="851" w:footer="850" w:gutter="0"/>
      <w:cols w:space="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92C49086-94AD-4613-9E9A-D5C8594ED551}"/>
  </w:font>
  <w:font w:name="Arial">
    <w:panose1 w:val="020B0604020202020204"/>
    <w:charset w:val="01"/>
    <w:family w:val="swiss"/>
    <w:pitch w:val="default"/>
    <w:sig w:usb0="E0002EFF" w:usb1="C000785B" w:usb2="00000009" w:usb3="00000000" w:csb0="400001FF" w:csb1="FFFF0000"/>
    <w:embedRegular r:id="rId2" w:fontKey="{A4B8666A-198C-4A3F-96D1-9F840FEB72E1}"/>
  </w:font>
  <w:font w:name="黑体">
    <w:panose1 w:val="02010609060101010101"/>
    <w:charset w:val="86"/>
    <w:family w:val="auto"/>
    <w:pitch w:val="default"/>
    <w:sig w:usb0="800002BF" w:usb1="38CF7CFA" w:usb2="00000016" w:usb3="00000000" w:csb0="00040001" w:csb1="00000000"/>
    <w:embedRegular r:id="rId3" w:fontKey="{C04F5E90-B70C-46E3-9FC4-AB2F90F5722F}"/>
  </w:font>
  <w:font w:name="Courier New">
    <w:panose1 w:val="02070309020205020404"/>
    <w:charset w:val="01"/>
    <w:family w:val="modern"/>
    <w:pitch w:val="default"/>
    <w:sig w:usb0="E0002EFF" w:usb1="C0007843" w:usb2="00000009" w:usb3="00000000" w:csb0="400001FF" w:csb1="FFFF0000"/>
    <w:embedRegular r:id="rId4" w:fontKey="{88DA5AB0-2EDA-469C-9154-67BA0B0203D4}"/>
  </w:font>
  <w:font w:name="Symbol">
    <w:panose1 w:val="05050102010706020507"/>
    <w:charset w:val="02"/>
    <w:family w:val="roman"/>
    <w:pitch w:val="default"/>
    <w:sig w:usb0="00000000" w:usb1="00000000" w:usb2="00000000" w:usb3="00000000" w:csb0="80000000" w:csb1="00000000"/>
    <w:embedRegular r:id="rId5" w:fontKey="{F83166E0-27B6-4CAC-99DE-8235FEBC577B}"/>
  </w:font>
  <w:font w:name="Calibri">
    <w:panose1 w:val="020F0502020204030204"/>
    <w:charset w:val="00"/>
    <w:family w:val="swiss"/>
    <w:pitch w:val="default"/>
    <w:sig w:usb0="E4002EFF" w:usb1="C200247B" w:usb2="00000009" w:usb3="00000000" w:csb0="200001FF" w:csb1="00000000"/>
    <w:embedRegular r:id="rId6" w:fontKey="{81606D49-C828-4B3C-A018-BF1AF30B6DAE}"/>
  </w:font>
  <w:font w:name="楷体_GB2312">
    <w:panose1 w:val="02010609030101010101"/>
    <w:charset w:val="86"/>
    <w:family w:val="modern"/>
    <w:pitch w:val="default"/>
    <w:sig w:usb0="00000001" w:usb1="080E0000" w:usb2="00000000" w:usb3="00000000" w:csb0="00040000" w:csb1="00000000"/>
    <w:embedRegular r:id="rId7" w:fontKey="{8B898B52-609A-4FC4-8D86-F0E47E64CFAD}"/>
  </w:font>
  <w:font w:name="Cambria">
    <w:panose1 w:val="02040503050406030204"/>
    <w:charset w:val="00"/>
    <w:family w:val="roman"/>
    <w:pitch w:val="default"/>
    <w:sig w:usb0="E00006FF" w:usb1="420024FF" w:usb2="02000000" w:usb3="00000000" w:csb0="2000019F" w:csb1="00000000"/>
    <w:embedRegular r:id="rId8" w:fontKey="{4B3D5234-9763-4A40-8F69-E2D27060C058}"/>
  </w:font>
  <w:font w:name="仿宋_GB2312">
    <w:panose1 w:val="02010609030101010101"/>
    <w:charset w:val="86"/>
    <w:family w:val="modern"/>
    <w:pitch w:val="default"/>
    <w:sig w:usb0="00000001" w:usb1="080E0000" w:usb2="00000000" w:usb3="00000000" w:csb0="00040000" w:csb1="00000000"/>
    <w:embedRegular r:id="rId9" w:fontKey="{E5AC0F36-A539-4CE3-BA26-FC983DD257DF}"/>
  </w:font>
  <w:font w:name="楷体">
    <w:panose1 w:val="02010609060101010101"/>
    <w:charset w:val="86"/>
    <w:family w:val="modern"/>
    <w:pitch w:val="default"/>
    <w:sig w:usb0="800002BF" w:usb1="38CF7CFA" w:usb2="00000016" w:usb3="00000000" w:csb0="00040001" w:csb1="00000000"/>
    <w:embedRegular r:id="rId10" w:fontKey="{FD1CFC2A-54DB-40F0-9D5C-E1AD4030210C}"/>
  </w:font>
  <w:font w:name="方正小标宋_GBK">
    <w:panose1 w:val="03000509000000000000"/>
    <w:charset w:val="86"/>
    <w:family w:val="script"/>
    <w:pitch w:val="default"/>
    <w:sig w:usb0="00000001" w:usb1="080E0000" w:usb2="00000000" w:usb3="00000000" w:csb0="00040000" w:csb1="00000000"/>
    <w:embedRegular r:id="rId11" w:fontKey="{6BD0C6EC-FD0F-4927-894D-86EDCF3E322F}"/>
  </w:font>
  <w:font w:name="华文楷体">
    <w:panose1 w:val="02010600040101010101"/>
    <w:charset w:val="86"/>
    <w:family w:val="auto"/>
    <w:pitch w:val="default"/>
    <w:sig w:usb0="00000287" w:usb1="080F0000" w:usb2="00000000" w:usb3="00000000" w:csb0="0004009F" w:csb1="DFD70000"/>
    <w:embedRegular r:id="rId12" w:fontKey="{CB01A925-218B-45C1-8373-EEC63B4356AE}"/>
  </w:font>
  <w:font w:name="仿宋">
    <w:panose1 w:val="02010609060101010101"/>
    <w:charset w:val="86"/>
    <w:family w:val="modern"/>
    <w:pitch w:val="default"/>
    <w:sig w:usb0="800002BF" w:usb1="38CF7CFA" w:usb2="00000016" w:usb3="00000000" w:csb0="00040001" w:csb1="00000000"/>
    <w:embedRegular r:id="rId13" w:fontKey="{41F92061-1DD7-4A66-8CAF-8AC1828BA6B8}"/>
  </w:font>
  <w:font w:name="方正黑体_GBK">
    <w:altName w:val="微软雅黑"/>
    <w:panose1 w:val="00000000000000000000"/>
    <w:charset w:val="86"/>
    <w:family w:val="auto"/>
    <w:pitch w:val="default"/>
    <w:sig w:usb0="00000000" w:usb1="00000000" w:usb2="00000000" w:usb3="00000000" w:csb0="00000000" w:csb1="00000000"/>
    <w:embedRegular r:id="rId14" w:fontKey="{5569C75F-F5AE-4822-B4E8-3AD44019E600}"/>
  </w:font>
  <w:font w:name="微软雅黑">
    <w:panose1 w:val="020B0503020204020204"/>
    <w:charset w:val="86"/>
    <w:family w:val="auto"/>
    <w:pitch w:val="default"/>
    <w:sig w:usb0="80000287" w:usb1="2ACF3C50" w:usb2="00000016" w:usb3="00000000" w:csb0="0004001F" w:csb1="0000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jc w:val="center"/>
    </w:pPr>
  </w:p>
  <w:p>
    <w:pPr>
      <w:pStyle w:val="1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jc w:val="center"/>
    </w:pPr>
    <w: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5"/>
                            <w:rPr>
                              <w:rFonts w:ascii="Times New Roman" w:hAnsi="Times New Roman"/>
                              <w:sz w:val="24"/>
                              <w:szCs w:val="24"/>
                            </w:rPr>
                          </w:pPr>
                          <w:r>
                            <w:rPr>
                              <w:rFonts w:ascii="Times New Roman" w:hAnsi="Times New Roman"/>
                              <w:sz w:val="24"/>
                              <w:szCs w:val="24"/>
                            </w:rPr>
                            <w:fldChar w:fldCharType="begin"/>
                          </w:r>
                          <w:r>
                            <w:rPr>
                              <w:rFonts w:ascii="Times New Roman" w:hAnsi="Times New Roman"/>
                              <w:sz w:val="24"/>
                              <w:szCs w:val="24"/>
                            </w:rPr>
                            <w:instrText xml:space="preserve"> PAGE  \* MERGEFORMAT </w:instrText>
                          </w:r>
                          <w:r>
                            <w:rPr>
                              <w:rFonts w:ascii="Times New Roman" w:hAnsi="Times New Roman"/>
                              <w:sz w:val="24"/>
                              <w:szCs w:val="24"/>
                            </w:rPr>
                            <w:fldChar w:fldCharType="separate"/>
                          </w:r>
                          <w:r>
                            <w:rPr>
                              <w:rFonts w:ascii="Times New Roman" w:hAnsi="Times New Roman"/>
                              <w:sz w:val="24"/>
                              <w:szCs w:val="24"/>
                            </w:rPr>
                            <w:t>1</w:t>
                          </w:r>
                          <w:r>
                            <w:rPr>
                              <w:rFonts w:ascii="Times New Roman" w:hAnsi="Times New Roman"/>
                              <w:sz w:val="24"/>
                              <w:szCs w:val="24"/>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0O3bcsAgAAV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vQ7dtywCAABVBAAADgAAAAAAAAABACAAAAAfAQAAZHJzL2Uyb0RvYy54bWxQSwUGAAAAAAYA&#10;BgBZAQAAvQUAAAAA&#10;">
              <v:fill on="f" focussize="0,0"/>
              <v:stroke on="f" weight="0.5pt"/>
              <v:imagedata o:title=""/>
              <o:lock v:ext="edit" aspectratio="f"/>
              <v:textbox inset="0mm,0mm,0mm,0mm" style="mso-fit-shape-to-text:t;">
                <w:txbxContent>
                  <w:p>
                    <w:pPr>
                      <w:pStyle w:val="15"/>
                      <w:rPr>
                        <w:rFonts w:ascii="Times New Roman" w:hAnsi="Times New Roman"/>
                        <w:sz w:val="24"/>
                        <w:szCs w:val="24"/>
                      </w:rPr>
                    </w:pPr>
                    <w:r>
                      <w:rPr>
                        <w:rFonts w:ascii="Times New Roman" w:hAnsi="Times New Roman"/>
                        <w:sz w:val="24"/>
                        <w:szCs w:val="24"/>
                      </w:rPr>
                      <w:fldChar w:fldCharType="begin"/>
                    </w:r>
                    <w:r>
                      <w:rPr>
                        <w:rFonts w:ascii="Times New Roman" w:hAnsi="Times New Roman"/>
                        <w:sz w:val="24"/>
                        <w:szCs w:val="24"/>
                      </w:rPr>
                      <w:instrText xml:space="preserve"> PAGE  \* MERGEFORMAT </w:instrText>
                    </w:r>
                    <w:r>
                      <w:rPr>
                        <w:rFonts w:ascii="Times New Roman" w:hAnsi="Times New Roman"/>
                        <w:sz w:val="24"/>
                        <w:szCs w:val="24"/>
                      </w:rPr>
                      <w:fldChar w:fldCharType="separate"/>
                    </w:r>
                    <w:r>
                      <w:rPr>
                        <w:rFonts w:ascii="Times New Roman" w:hAnsi="Times New Roman"/>
                        <w:sz w:val="24"/>
                        <w:szCs w:val="24"/>
                      </w:rPr>
                      <w:t>1</w:t>
                    </w:r>
                    <w:r>
                      <w:rPr>
                        <w:rFonts w:ascii="Times New Roman" w:hAnsi="Times New Roman"/>
                        <w:sz w:val="24"/>
                        <w:szCs w:val="24"/>
                      </w:rPr>
                      <w:fldChar w:fldCharType="end"/>
                    </w:r>
                  </w:p>
                </w:txbxContent>
              </v:textbox>
            </v:shape>
          </w:pict>
        </mc:Fallback>
      </mc:AlternateContent>
    </w:r>
    <w:sdt>
      <w:sdtPr>
        <w:id w:val="1179312634"/>
      </w:sdtPr>
      <w:sdtContent/>
    </w:sdt>
  </w:p>
  <w:p>
    <w:pPr>
      <w:pStyle w:val="1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jc w:val="center"/>
    </w:pPr>
    <w:r>
      <mc:AlternateContent>
        <mc:Choice Requires="wps">
          <w:drawing>
            <wp:anchor distT="0" distB="0" distL="114300" distR="114300" simplePos="0" relativeHeight="251663360" behindDoc="0" locked="0" layoutInCell="1" allowOverlap="1">
              <wp:simplePos x="0" y="0"/>
              <wp:positionH relativeFrom="margin">
                <wp:align>outside</wp:align>
              </wp:positionH>
              <wp:positionV relativeFrom="paragraph">
                <wp:posOffset>0</wp:posOffset>
              </wp:positionV>
              <wp:extent cx="1828800" cy="1828800"/>
              <wp:effectExtent l="0" t="0" r="0" b="0"/>
              <wp:wrapNone/>
              <wp:docPr id="18"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15"/>
                            <w:jc w:val="center"/>
                            <w:rPr>
                              <w:rFonts w:ascii="Times New Roman" w:hAnsi="Times New Roman"/>
                              <w:sz w:val="24"/>
                              <w:szCs w:val="24"/>
                            </w:rPr>
                          </w:pPr>
                          <w:r>
                            <w:rPr>
                              <w:rFonts w:hint="eastAsia" w:ascii="Times New Roman" w:hAnsi="Times New Roman"/>
                              <w:sz w:val="24"/>
                              <w:szCs w:val="24"/>
                            </w:rPr>
                            <w:t xml:space="preserve">— </w:t>
                          </w:r>
                          <w:sdt>
                            <w:sdtPr>
                              <w:rPr>
                                <w:rFonts w:ascii="Times New Roman" w:hAnsi="Times New Roman"/>
                                <w:sz w:val="24"/>
                                <w:szCs w:val="24"/>
                              </w:rPr>
                              <w:id w:val="1886368215"/>
                            </w:sdtPr>
                            <w:sdtEndPr>
                              <w:rPr>
                                <w:rFonts w:ascii="Times New Roman" w:hAnsi="Times New Roman"/>
                                <w:sz w:val="24"/>
                                <w:szCs w:val="24"/>
                              </w:rPr>
                            </w:sdtEndPr>
                            <w:sdtContent>
                              <w:r>
                                <w:rPr>
                                  <w:rFonts w:ascii="Times New Roman" w:hAnsi="Times New Roman" w:eastAsiaTheme="minorEastAsia"/>
                                  <w:sz w:val="24"/>
                                  <w:szCs w:val="24"/>
                                </w:rPr>
                                <w:fldChar w:fldCharType="begin"/>
                              </w:r>
                              <w:r>
                                <w:rPr>
                                  <w:rFonts w:ascii="Times New Roman" w:hAnsi="Times New Roman" w:eastAsiaTheme="minorEastAsia"/>
                                  <w:sz w:val="24"/>
                                  <w:szCs w:val="24"/>
                                </w:rPr>
                                <w:instrText xml:space="preserve">PAGE   \* MERGEFORMAT</w:instrText>
                              </w:r>
                              <w:r>
                                <w:rPr>
                                  <w:rFonts w:ascii="Times New Roman" w:hAnsi="Times New Roman" w:eastAsiaTheme="minorEastAsia"/>
                                  <w:sz w:val="24"/>
                                  <w:szCs w:val="24"/>
                                </w:rPr>
                                <w:fldChar w:fldCharType="separate"/>
                              </w:r>
                              <w:r>
                                <w:rPr>
                                  <w:rFonts w:ascii="Times New Roman" w:hAnsi="Times New Roman" w:eastAsiaTheme="minorEastAsia"/>
                                  <w:sz w:val="24"/>
                                  <w:szCs w:val="24"/>
                                  <w:lang w:val="zh-CN"/>
                                </w:rPr>
                                <w:t>2</w:t>
                              </w:r>
                              <w:r>
                                <w:rPr>
                                  <w:rFonts w:ascii="Times New Roman" w:hAnsi="Times New Roman" w:eastAsiaTheme="minorEastAsia"/>
                                  <w:sz w:val="24"/>
                                  <w:szCs w:val="24"/>
                                </w:rPr>
                                <w:fldChar w:fldCharType="end"/>
                              </w:r>
                              <w:r>
                                <w:rPr>
                                  <w:rFonts w:hint="eastAsia" w:ascii="Times New Roman" w:hAnsi="Times New Roman" w:eastAsiaTheme="minorEastAsia"/>
                                  <w:sz w:val="24"/>
                                  <w:szCs w:val="24"/>
                                </w:rPr>
                                <w:t xml:space="preserve"> —</w:t>
                              </w:r>
                            </w:sdtContent>
                          </w:sdt>
                        </w:p>
                        <w:p>
                          <w:pPr>
                            <w:pStyle w:val="4"/>
                            <w:rPr>
                              <w:rFonts w:ascii="Times New Roman" w:hAnsi="Times New Roman" w:cs="Times New Roman"/>
                              <w:sz w:val="24"/>
                              <w:szCs w:val="24"/>
                            </w:rPr>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1" o:spid="_x0000_s1026" o:spt="202" type="#_x0000_t202" style="position:absolute;left:0pt;margin-top:0pt;height:144pt;width:144pt;mso-position-horizontal:outside;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fgJVAxAgAAZA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4CVQMQIAAGQEAAAOAAAAAAAAAAEAIAAAAB8BAABkcnMvZTJvRG9jLnhtbFBLBQYA&#10;AAAABgAGAFkBAADCBQAAAAA=&#10;">
              <v:fill on="f" focussize="0,0"/>
              <v:stroke on="f" weight="0.5pt"/>
              <v:imagedata o:title=""/>
              <o:lock v:ext="edit" aspectratio="f"/>
              <v:textbox inset="0mm,0mm,0mm,0mm" style="mso-fit-shape-to-text:t;">
                <w:txbxContent>
                  <w:p>
                    <w:pPr>
                      <w:pStyle w:val="15"/>
                      <w:jc w:val="center"/>
                      <w:rPr>
                        <w:rFonts w:ascii="Times New Roman" w:hAnsi="Times New Roman"/>
                        <w:sz w:val="24"/>
                        <w:szCs w:val="24"/>
                      </w:rPr>
                    </w:pPr>
                    <w:r>
                      <w:rPr>
                        <w:rFonts w:hint="eastAsia" w:ascii="Times New Roman" w:hAnsi="Times New Roman"/>
                        <w:sz w:val="24"/>
                        <w:szCs w:val="24"/>
                      </w:rPr>
                      <w:t xml:space="preserve">— </w:t>
                    </w:r>
                    <w:sdt>
                      <w:sdtPr>
                        <w:rPr>
                          <w:rFonts w:ascii="Times New Roman" w:hAnsi="Times New Roman"/>
                          <w:sz w:val="24"/>
                          <w:szCs w:val="24"/>
                        </w:rPr>
                        <w:id w:val="1886368215"/>
                      </w:sdtPr>
                      <w:sdtEndPr>
                        <w:rPr>
                          <w:rFonts w:ascii="Times New Roman" w:hAnsi="Times New Roman"/>
                          <w:sz w:val="24"/>
                          <w:szCs w:val="24"/>
                        </w:rPr>
                      </w:sdtEndPr>
                      <w:sdtContent>
                        <w:r>
                          <w:rPr>
                            <w:rFonts w:ascii="Times New Roman" w:hAnsi="Times New Roman" w:eastAsiaTheme="minorEastAsia"/>
                            <w:sz w:val="24"/>
                            <w:szCs w:val="24"/>
                          </w:rPr>
                          <w:fldChar w:fldCharType="begin"/>
                        </w:r>
                        <w:r>
                          <w:rPr>
                            <w:rFonts w:ascii="Times New Roman" w:hAnsi="Times New Roman" w:eastAsiaTheme="minorEastAsia"/>
                            <w:sz w:val="24"/>
                            <w:szCs w:val="24"/>
                          </w:rPr>
                          <w:instrText xml:space="preserve">PAGE   \* MERGEFORMAT</w:instrText>
                        </w:r>
                        <w:r>
                          <w:rPr>
                            <w:rFonts w:ascii="Times New Roman" w:hAnsi="Times New Roman" w:eastAsiaTheme="minorEastAsia"/>
                            <w:sz w:val="24"/>
                            <w:szCs w:val="24"/>
                          </w:rPr>
                          <w:fldChar w:fldCharType="separate"/>
                        </w:r>
                        <w:r>
                          <w:rPr>
                            <w:rFonts w:ascii="Times New Roman" w:hAnsi="Times New Roman" w:eastAsiaTheme="minorEastAsia"/>
                            <w:sz w:val="24"/>
                            <w:szCs w:val="24"/>
                            <w:lang w:val="zh-CN"/>
                          </w:rPr>
                          <w:t>2</w:t>
                        </w:r>
                        <w:r>
                          <w:rPr>
                            <w:rFonts w:ascii="Times New Roman" w:hAnsi="Times New Roman" w:eastAsiaTheme="minorEastAsia"/>
                            <w:sz w:val="24"/>
                            <w:szCs w:val="24"/>
                          </w:rPr>
                          <w:fldChar w:fldCharType="end"/>
                        </w:r>
                        <w:r>
                          <w:rPr>
                            <w:rFonts w:hint="eastAsia" w:ascii="Times New Roman" w:hAnsi="Times New Roman" w:eastAsiaTheme="minorEastAsia"/>
                            <w:sz w:val="24"/>
                            <w:szCs w:val="24"/>
                          </w:rPr>
                          <w:t xml:space="preserve"> —</w:t>
                        </w:r>
                      </w:sdtContent>
                    </w:sdt>
                  </w:p>
                  <w:p>
                    <w:pPr>
                      <w:pStyle w:val="4"/>
                      <w:rPr>
                        <w:rFonts w:ascii="Times New Roman" w:hAnsi="Times New Roman" w:cs="Times New Roman"/>
                        <w:sz w:val="24"/>
                        <w:szCs w:val="24"/>
                      </w:rPr>
                    </w:pPr>
                  </w:p>
                </w:txbxContent>
              </v:textbox>
            </v:shape>
          </w:pict>
        </mc:Fallback>
      </mc:AlternateContent>
    </w:r>
  </w:p>
  <w:p>
    <w:pPr>
      <w:pStyle w:val="15"/>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jc w:val="center"/>
    </w:pPr>
    <w:r>
      <mc:AlternateContent>
        <mc:Choice Requires="wps">
          <w:drawing>
            <wp:anchor distT="0" distB="0" distL="114300" distR="114300" simplePos="0" relativeHeight="251669504" behindDoc="0" locked="0" layoutInCell="1" allowOverlap="1">
              <wp:simplePos x="0" y="0"/>
              <wp:positionH relativeFrom="margin">
                <wp:align>outside</wp:align>
              </wp:positionH>
              <wp:positionV relativeFrom="paragraph">
                <wp:posOffset>12065</wp:posOffset>
              </wp:positionV>
              <wp:extent cx="605790" cy="245110"/>
              <wp:effectExtent l="0" t="0" r="0" b="0"/>
              <wp:wrapNone/>
              <wp:docPr id="2" name="文本框 1"/>
              <wp:cNvGraphicFramePr/>
              <a:graphic xmlns:a="http://schemas.openxmlformats.org/drawingml/2006/main">
                <a:graphicData uri="http://schemas.microsoft.com/office/word/2010/wordprocessingShape">
                  <wps:wsp>
                    <wps:cNvSpPr txBox="1"/>
                    <wps:spPr>
                      <a:xfrm>
                        <a:off x="0" y="0"/>
                        <a:ext cx="605790" cy="245110"/>
                      </a:xfrm>
                      <a:prstGeom prst="rect">
                        <a:avLst/>
                      </a:prstGeom>
                      <a:noFill/>
                      <a:ln w="6350">
                        <a:noFill/>
                      </a:ln>
                      <a:effectLst/>
                    </wps:spPr>
                    <wps:txbx>
                      <w:txbxContent>
                        <w:p>
                          <w:pPr>
                            <w:pStyle w:val="15"/>
                            <w:jc w:val="center"/>
                            <w:rPr>
                              <w:rFonts w:ascii="Times New Roman" w:hAnsi="Times New Roman"/>
                              <w:sz w:val="24"/>
                              <w:szCs w:val="24"/>
                            </w:rPr>
                          </w:pPr>
                          <w:r>
                            <w:rPr>
                              <w:rFonts w:ascii="Times New Roman" w:hAnsi="Times New Roman"/>
                              <w:sz w:val="24"/>
                              <w:szCs w:val="24"/>
                            </w:rPr>
                            <w:t xml:space="preserve">— </w:t>
                          </w:r>
                          <w:sdt>
                            <w:sdtPr>
                              <w:rPr>
                                <w:rFonts w:ascii="Times New Roman" w:hAnsi="Times New Roman"/>
                                <w:sz w:val="24"/>
                                <w:szCs w:val="24"/>
                              </w:rPr>
                              <w:id w:val="1493291833"/>
                            </w:sdtPr>
                            <w:sdtEndPr>
                              <w:rPr>
                                <w:rFonts w:ascii="Times New Roman" w:hAnsi="Times New Roman"/>
                                <w:sz w:val="24"/>
                                <w:szCs w:val="24"/>
                              </w:rPr>
                            </w:sdtEndPr>
                            <w:sdtContent>
                              <w:r>
                                <w:rPr>
                                  <w:rFonts w:ascii="Times New Roman" w:hAnsi="Times New Roman" w:eastAsiaTheme="minorEastAsia"/>
                                  <w:sz w:val="24"/>
                                  <w:szCs w:val="24"/>
                                </w:rPr>
                                <w:fldChar w:fldCharType="begin"/>
                              </w:r>
                              <w:r>
                                <w:rPr>
                                  <w:rFonts w:ascii="Times New Roman" w:hAnsi="Times New Roman" w:eastAsiaTheme="minorEastAsia"/>
                                  <w:sz w:val="24"/>
                                  <w:szCs w:val="24"/>
                                </w:rPr>
                                <w:instrText xml:space="preserve">PAGE   \* MERGEFORMAT</w:instrText>
                              </w:r>
                              <w:r>
                                <w:rPr>
                                  <w:rFonts w:ascii="Times New Roman" w:hAnsi="Times New Roman" w:eastAsiaTheme="minorEastAsia"/>
                                  <w:sz w:val="24"/>
                                  <w:szCs w:val="24"/>
                                </w:rPr>
                                <w:fldChar w:fldCharType="separate"/>
                              </w:r>
                              <w:r>
                                <w:rPr>
                                  <w:rFonts w:ascii="Times New Roman" w:hAnsi="Times New Roman" w:eastAsiaTheme="minorEastAsia"/>
                                  <w:sz w:val="24"/>
                                  <w:szCs w:val="24"/>
                                  <w:lang w:val="zh-CN"/>
                                </w:rPr>
                                <w:t>19</w:t>
                              </w:r>
                              <w:r>
                                <w:rPr>
                                  <w:rFonts w:ascii="Times New Roman" w:hAnsi="Times New Roman" w:eastAsiaTheme="minorEastAsia"/>
                                  <w:sz w:val="24"/>
                                  <w:szCs w:val="24"/>
                                </w:rPr>
                                <w:fldChar w:fldCharType="end"/>
                              </w:r>
                              <w:r>
                                <w:rPr>
                                  <w:rFonts w:ascii="Times New Roman" w:hAnsi="Times New Roman" w:eastAsiaTheme="minorEastAsia"/>
                                  <w:sz w:val="24"/>
                                  <w:szCs w:val="24"/>
                                </w:rPr>
                                <w:t xml:space="preserve"> —</w:t>
                              </w:r>
                            </w:sdtContent>
                          </w:sdt>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1" o:spid="_x0000_s1026" o:spt="202" type="#_x0000_t202" style="position:absolute;left:0pt;margin-top:0.95pt;height:19.3pt;width:47.7pt;mso-position-horizontal:outside;mso-position-horizontal-relative:margin;z-index:251669504;mso-width-relative:page;mso-height-relative:page;" filled="f" stroked="f" coordsize="21600,21600" o:gfxdata="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B2bYPB1AAAAAQBAAAPAAAAAAAAAAEAIAAAACIAAABkcnMvZG93bnJldi54&#10;bWxQSwECFAAUAAAACACHTuJAm8FSDDcCAABjBAAADgAAAAAAAAABACAAAAAjAQAAZHJzL2Uyb0Rv&#10;Yy54bWxQSwUGAAAAAAYABgBZAQAAzAUAAAAA&#10;">
              <v:fill on="f" focussize="0,0"/>
              <v:stroke on="f" weight="0.5pt"/>
              <v:imagedata o:title=""/>
              <o:lock v:ext="edit" aspectratio="f"/>
              <v:textbox inset="0mm,0mm,0mm,0mm">
                <w:txbxContent>
                  <w:p>
                    <w:pPr>
                      <w:pStyle w:val="15"/>
                      <w:jc w:val="center"/>
                      <w:rPr>
                        <w:rFonts w:ascii="Times New Roman" w:hAnsi="Times New Roman"/>
                        <w:sz w:val="24"/>
                        <w:szCs w:val="24"/>
                      </w:rPr>
                    </w:pPr>
                    <w:r>
                      <w:rPr>
                        <w:rFonts w:ascii="Times New Roman" w:hAnsi="Times New Roman"/>
                        <w:sz w:val="24"/>
                        <w:szCs w:val="24"/>
                      </w:rPr>
                      <w:t xml:space="preserve">— </w:t>
                    </w:r>
                    <w:sdt>
                      <w:sdtPr>
                        <w:rPr>
                          <w:rFonts w:ascii="Times New Roman" w:hAnsi="Times New Roman"/>
                          <w:sz w:val="24"/>
                          <w:szCs w:val="24"/>
                        </w:rPr>
                        <w:id w:val="1493291833"/>
                      </w:sdtPr>
                      <w:sdtEndPr>
                        <w:rPr>
                          <w:rFonts w:ascii="Times New Roman" w:hAnsi="Times New Roman"/>
                          <w:sz w:val="24"/>
                          <w:szCs w:val="24"/>
                        </w:rPr>
                      </w:sdtEndPr>
                      <w:sdtContent>
                        <w:r>
                          <w:rPr>
                            <w:rFonts w:ascii="Times New Roman" w:hAnsi="Times New Roman" w:eastAsiaTheme="minorEastAsia"/>
                            <w:sz w:val="24"/>
                            <w:szCs w:val="24"/>
                          </w:rPr>
                          <w:fldChar w:fldCharType="begin"/>
                        </w:r>
                        <w:r>
                          <w:rPr>
                            <w:rFonts w:ascii="Times New Roman" w:hAnsi="Times New Roman" w:eastAsiaTheme="minorEastAsia"/>
                            <w:sz w:val="24"/>
                            <w:szCs w:val="24"/>
                          </w:rPr>
                          <w:instrText xml:space="preserve">PAGE   \* MERGEFORMAT</w:instrText>
                        </w:r>
                        <w:r>
                          <w:rPr>
                            <w:rFonts w:ascii="Times New Roman" w:hAnsi="Times New Roman" w:eastAsiaTheme="minorEastAsia"/>
                            <w:sz w:val="24"/>
                            <w:szCs w:val="24"/>
                          </w:rPr>
                          <w:fldChar w:fldCharType="separate"/>
                        </w:r>
                        <w:r>
                          <w:rPr>
                            <w:rFonts w:ascii="Times New Roman" w:hAnsi="Times New Roman" w:eastAsiaTheme="minorEastAsia"/>
                            <w:sz w:val="24"/>
                            <w:szCs w:val="24"/>
                            <w:lang w:val="zh-CN"/>
                          </w:rPr>
                          <w:t>19</w:t>
                        </w:r>
                        <w:r>
                          <w:rPr>
                            <w:rFonts w:ascii="Times New Roman" w:hAnsi="Times New Roman" w:eastAsiaTheme="minorEastAsia"/>
                            <w:sz w:val="24"/>
                            <w:szCs w:val="24"/>
                          </w:rPr>
                          <w:fldChar w:fldCharType="end"/>
                        </w:r>
                        <w:r>
                          <w:rPr>
                            <w:rFonts w:ascii="Times New Roman" w:hAnsi="Times New Roman" w:eastAsiaTheme="minorEastAsia"/>
                            <w:sz w:val="24"/>
                            <w:szCs w:val="24"/>
                          </w:rPr>
                          <w:t xml:space="preserve"> —</w:t>
                        </w:r>
                      </w:sdtContent>
                    </w:sdt>
                  </w:p>
                </w:txbxContent>
              </v:textbox>
            </v:shape>
          </w:pict>
        </mc:Fallback>
      </mc:AlternateContent>
    </w:r>
  </w:p>
  <w:p>
    <w:pPr>
      <w:pStyle w:val="15"/>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jc w:val="center"/>
    </w:pPr>
    <w:r>
      <mc:AlternateContent>
        <mc:Choice Requires="wps">
          <w:drawing>
            <wp:anchor distT="0" distB="0" distL="114300" distR="114300" simplePos="0" relativeHeight="251661312" behindDoc="0" locked="0" layoutInCell="1" allowOverlap="1">
              <wp:simplePos x="0" y="0"/>
              <wp:positionH relativeFrom="margin">
                <wp:align>outside</wp:align>
              </wp:positionH>
              <wp:positionV relativeFrom="paragraph">
                <wp:posOffset>0</wp:posOffset>
              </wp:positionV>
              <wp:extent cx="1828800" cy="1828800"/>
              <wp:effectExtent l="0" t="0" r="0" b="0"/>
              <wp:wrapNone/>
              <wp:docPr id="4"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15"/>
                            <w:jc w:val="center"/>
                            <w:rPr>
                              <w:rFonts w:ascii="Times New Roman" w:hAnsi="Times New Roman"/>
                              <w:sz w:val="24"/>
                              <w:szCs w:val="24"/>
                            </w:rPr>
                          </w:pPr>
                          <w:r>
                            <w:rPr>
                              <w:rFonts w:ascii="Times New Roman" w:hAnsi="Times New Roman"/>
                              <w:sz w:val="24"/>
                              <w:szCs w:val="24"/>
                            </w:rPr>
                            <w:t xml:space="preserve">— </w:t>
                          </w:r>
                          <w:sdt>
                            <w:sdtPr>
                              <w:rPr>
                                <w:rFonts w:ascii="Times New Roman" w:hAnsi="Times New Roman"/>
                                <w:sz w:val="24"/>
                                <w:szCs w:val="24"/>
                              </w:rPr>
                              <w:id w:val="2059584635"/>
                            </w:sdtPr>
                            <w:sdtEndPr>
                              <w:rPr>
                                <w:rFonts w:ascii="Times New Roman" w:hAnsi="Times New Roman"/>
                                <w:sz w:val="24"/>
                                <w:szCs w:val="24"/>
                              </w:rPr>
                            </w:sdtEndPr>
                            <w:sdtContent>
                              <w:r>
                                <w:rPr>
                                  <w:rFonts w:ascii="Times New Roman" w:hAnsi="Times New Roman"/>
                                  <w:sz w:val="24"/>
                                  <w:szCs w:val="24"/>
                                </w:rPr>
                                <w:fldChar w:fldCharType="begin"/>
                              </w:r>
                              <w:r>
                                <w:rPr>
                                  <w:rFonts w:ascii="Times New Roman" w:hAnsi="Times New Roman"/>
                                  <w:sz w:val="24"/>
                                  <w:szCs w:val="24"/>
                                </w:rPr>
                                <w:instrText xml:space="preserve">PAGE   \* MERGEFORMAT</w:instrText>
                              </w:r>
                              <w:r>
                                <w:rPr>
                                  <w:rFonts w:ascii="Times New Roman" w:hAnsi="Times New Roman"/>
                                  <w:sz w:val="24"/>
                                  <w:szCs w:val="24"/>
                                </w:rPr>
                                <w:fldChar w:fldCharType="separate"/>
                              </w:r>
                              <w:r>
                                <w:rPr>
                                  <w:rFonts w:ascii="Times New Roman" w:hAnsi="Times New Roman"/>
                                  <w:sz w:val="24"/>
                                  <w:szCs w:val="24"/>
                                  <w:lang w:val="zh-CN"/>
                                </w:rPr>
                                <w:t>82</w:t>
                              </w:r>
                              <w:r>
                                <w:rPr>
                                  <w:rFonts w:ascii="Times New Roman" w:hAnsi="Times New Roman"/>
                                  <w:sz w:val="24"/>
                                  <w:szCs w:val="24"/>
                                </w:rPr>
                                <w:fldChar w:fldCharType="end"/>
                              </w:r>
                            </w:sdtContent>
                          </w:sdt>
                          <w:r>
                            <w:rPr>
                              <w:rFonts w:ascii="Times New Roman" w:hAnsi="Times New Roman"/>
                              <w:sz w:val="24"/>
                              <w:szCs w:val="24"/>
                            </w:rPr>
                            <w:t xml:space="preserve"> —</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1" o:spid="_x0000_s1026" o:spt="202" type="#_x0000_t202" style="position:absolute;left:0pt;margin-top:0pt;height:144pt;width:144pt;mso-position-horizontal:outside;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87QtkyAgAAYw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jztC2TICAABjBAAADgAAAAAAAAABACAAAAAfAQAAZHJzL2Uyb0RvYy54bWxQSwUG&#10;AAAAAAYABgBZAQAAwwUAAAAA&#10;">
              <v:fill on="f" focussize="0,0"/>
              <v:stroke on="f" weight="0.5pt"/>
              <v:imagedata o:title=""/>
              <o:lock v:ext="edit" aspectratio="f"/>
              <v:textbox inset="0mm,0mm,0mm,0mm" style="mso-fit-shape-to-text:t;">
                <w:txbxContent>
                  <w:p>
                    <w:pPr>
                      <w:pStyle w:val="15"/>
                      <w:jc w:val="center"/>
                      <w:rPr>
                        <w:rFonts w:ascii="Times New Roman" w:hAnsi="Times New Roman"/>
                        <w:sz w:val="24"/>
                        <w:szCs w:val="24"/>
                      </w:rPr>
                    </w:pPr>
                    <w:r>
                      <w:rPr>
                        <w:rFonts w:ascii="Times New Roman" w:hAnsi="Times New Roman"/>
                        <w:sz w:val="24"/>
                        <w:szCs w:val="24"/>
                      </w:rPr>
                      <w:t xml:space="preserve">— </w:t>
                    </w:r>
                    <w:sdt>
                      <w:sdtPr>
                        <w:rPr>
                          <w:rFonts w:ascii="Times New Roman" w:hAnsi="Times New Roman"/>
                          <w:sz w:val="24"/>
                          <w:szCs w:val="24"/>
                        </w:rPr>
                        <w:id w:val="2059584635"/>
                      </w:sdtPr>
                      <w:sdtEndPr>
                        <w:rPr>
                          <w:rFonts w:ascii="Times New Roman" w:hAnsi="Times New Roman"/>
                          <w:sz w:val="24"/>
                          <w:szCs w:val="24"/>
                        </w:rPr>
                      </w:sdtEndPr>
                      <w:sdtContent>
                        <w:r>
                          <w:rPr>
                            <w:rFonts w:ascii="Times New Roman" w:hAnsi="Times New Roman"/>
                            <w:sz w:val="24"/>
                            <w:szCs w:val="24"/>
                          </w:rPr>
                          <w:fldChar w:fldCharType="begin"/>
                        </w:r>
                        <w:r>
                          <w:rPr>
                            <w:rFonts w:ascii="Times New Roman" w:hAnsi="Times New Roman"/>
                            <w:sz w:val="24"/>
                            <w:szCs w:val="24"/>
                          </w:rPr>
                          <w:instrText xml:space="preserve">PAGE   \* MERGEFORMAT</w:instrText>
                        </w:r>
                        <w:r>
                          <w:rPr>
                            <w:rFonts w:ascii="Times New Roman" w:hAnsi="Times New Roman"/>
                            <w:sz w:val="24"/>
                            <w:szCs w:val="24"/>
                          </w:rPr>
                          <w:fldChar w:fldCharType="separate"/>
                        </w:r>
                        <w:r>
                          <w:rPr>
                            <w:rFonts w:ascii="Times New Roman" w:hAnsi="Times New Roman"/>
                            <w:sz w:val="24"/>
                            <w:szCs w:val="24"/>
                            <w:lang w:val="zh-CN"/>
                          </w:rPr>
                          <w:t>82</w:t>
                        </w:r>
                        <w:r>
                          <w:rPr>
                            <w:rFonts w:ascii="Times New Roman" w:hAnsi="Times New Roman"/>
                            <w:sz w:val="24"/>
                            <w:szCs w:val="24"/>
                          </w:rPr>
                          <w:fldChar w:fldCharType="end"/>
                        </w:r>
                      </w:sdtContent>
                    </w:sdt>
                    <w:r>
                      <w:rPr>
                        <w:rFonts w:ascii="Times New Roman" w:hAnsi="Times New Roman"/>
                        <w:sz w:val="24"/>
                        <w:szCs w:val="24"/>
                      </w:rPr>
                      <w:t xml:space="preserve"> —</w:t>
                    </w:r>
                  </w:p>
                </w:txbxContent>
              </v:textbox>
            </v:shape>
          </w:pict>
        </mc:Fallback>
      </mc:AlternateContent>
    </w:r>
  </w:p>
  <w:p>
    <w:pPr>
      <w:pStyle w:val="15"/>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jc w:val="center"/>
    </w:pPr>
    <w:r>
      <mc:AlternateContent>
        <mc:Choice Requires="wps">
          <w:drawing>
            <wp:anchor distT="0" distB="0" distL="114300" distR="114300" simplePos="0" relativeHeight="251672576" behindDoc="0" locked="0" layoutInCell="1" allowOverlap="1">
              <wp:simplePos x="0" y="0"/>
              <wp:positionH relativeFrom="margin">
                <wp:align>outside</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5"/>
                            <w:jc w:val="center"/>
                            <w:rPr>
                              <w:rFonts w:ascii="Times New Roman" w:hAnsi="Times New Roman"/>
                            </w:rPr>
                          </w:pPr>
                          <w:r>
                            <w:rPr>
                              <w:rFonts w:ascii="Times New Roman" w:hAnsi="Times New Roman"/>
                            </w:rPr>
                            <w:t xml:space="preserve">— </w:t>
                          </w:r>
                          <w:sdt>
                            <w:sdtPr>
                              <w:rPr>
                                <w:rFonts w:ascii="Times New Roman" w:hAnsi="Times New Roman"/>
                              </w:rPr>
                              <w:id w:val="-1567948139"/>
                            </w:sdtPr>
                            <w:sdtEndPr>
                              <w:rPr>
                                <w:rFonts w:ascii="Times New Roman" w:hAnsi="Times New Roman"/>
                              </w:rPr>
                            </w:sdtEndPr>
                            <w:sdtContent>
                              <w:r>
                                <w:rPr>
                                  <w:rFonts w:ascii="Times New Roman" w:hAnsi="Times New Roman"/>
                                  <w:sz w:val="24"/>
                                  <w:szCs w:val="24"/>
                                </w:rPr>
                                <w:fldChar w:fldCharType="begin"/>
                              </w:r>
                              <w:r>
                                <w:rPr>
                                  <w:rFonts w:ascii="Times New Roman" w:hAnsi="Times New Roman"/>
                                  <w:sz w:val="24"/>
                                  <w:szCs w:val="24"/>
                                </w:rPr>
                                <w:instrText xml:space="preserve">PAGE   \* MERGEFORMAT</w:instrText>
                              </w:r>
                              <w:r>
                                <w:rPr>
                                  <w:rFonts w:ascii="Times New Roman" w:hAnsi="Times New Roman"/>
                                  <w:sz w:val="24"/>
                                  <w:szCs w:val="24"/>
                                </w:rPr>
                                <w:fldChar w:fldCharType="separate"/>
                              </w:r>
                              <w:r>
                                <w:rPr>
                                  <w:rFonts w:ascii="Times New Roman" w:hAnsi="Times New Roman"/>
                                  <w:sz w:val="24"/>
                                  <w:szCs w:val="24"/>
                                  <w:lang w:val="zh-CN"/>
                                </w:rPr>
                                <w:t>82</w:t>
                              </w:r>
                              <w:r>
                                <w:rPr>
                                  <w:rFonts w:ascii="Times New Roman" w:hAnsi="Times New Roman"/>
                                  <w:sz w:val="24"/>
                                  <w:szCs w:val="24"/>
                                </w:rPr>
                                <w:fldChar w:fldCharType="end"/>
                              </w:r>
                            </w:sdtContent>
                          </w:sdt>
                          <w:r>
                            <w:rPr>
                              <w:rFonts w:ascii="Times New Roman" w:hAnsi="Times New Roman"/>
                            </w:rPr>
                            <w:t xml:space="preserve"> —</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pPr>
                      <w:pStyle w:val="15"/>
                      <w:jc w:val="center"/>
                      <w:rPr>
                        <w:rFonts w:ascii="Times New Roman" w:hAnsi="Times New Roman"/>
                      </w:rPr>
                    </w:pPr>
                    <w:r>
                      <w:rPr>
                        <w:rFonts w:ascii="Times New Roman" w:hAnsi="Times New Roman"/>
                      </w:rPr>
                      <w:t xml:space="preserve">— </w:t>
                    </w:r>
                    <w:sdt>
                      <w:sdtPr>
                        <w:rPr>
                          <w:rFonts w:ascii="Times New Roman" w:hAnsi="Times New Roman"/>
                        </w:rPr>
                        <w:id w:val="-1567948139"/>
                      </w:sdtPr>
                      <w:sdtEndPr>
                        <w:rPr>
                          <w:rFonts w:ascii="Times New Roman" w:hAnsi="Times New Roman"/>
                        </w:rPr>
                      </w:sdtEndPr>
                      <w:sdtContent>
                        <w:r>
                          <w:rPr>
                            <w:rFonts w:ascii="Times New Roman" w:hAnsi="Times New Roman"/>
                            <w:sz w:val="24"/>
                            <w:szCs w:val="24"/>
                          </w:rPr>
                          <w:fldChar w:fldCharType="begin"/>
                        </w:r>
                        <w:r>
                          <w:rPr>
                            <w:rFonts w:ascii="Times New Roman" w:hAnsi="Times New Roman"/>
                            <w:sz w:val="24"/>
                            <w:szCs w:val="24"/>
                          </w:rPr>
                          <w:instrText xml:space="preserve">PAGE   \* MERGEFORMAT</w:instrText>
                        </w:r>
                        <w:r>
                          <w:rPr>
                            <w:rFonts w:ascii="Times New Roman" w:hAnsi="Times New Roman"/>
                            <w:sz w:val="24"/>
                            <w:szCs w:val="24"/>
                          </w:rPr>
                          <w:fldChar w:fldCharType="separate"/>
                        </w:r>
                        <w:r>
                          <w:rPr>
                            <w:rFonts w:ascii="Times New Roman" w:hAnsi="Times New Roman"/>
                            <w:sz w:val="24"/>
                            <w:szCs w:val="24"/>
                            <w:lang w:val="zh-CN"/>
                          </w:rPr>
                          <w:t>82</w:t>
                        </w:r>
                        <w:r>
                          <w:rPr>
                            <w:rFonts w:ascii="Times New Roman" w:hAnsi="Times New Roman"/>
                            <w:sz w:val="24"/>
                            <w:szCs w:val="24"/>
                          </w:rPr>
                          <w:fldChar w:fldCharType="end"/>
                        </w:r>
                      </w:sdtContent>
                    </w:sdt>
                    <w:r>
                      <w:rPr>
                        <w:rFonts w:ascii="Times New Roman" w:hAnsi="Times New Roman"/>
                      </w:rPr>
                      <w:t xml:space="preserve"> —</w:t>
                    </w:r>
                  </w:p>
                </w:txbxContent>
              </v:textbox>
            </v:shape>
          </w:pict>
        </mc:Fallback>
      </mc:AlternateContent>
    </w:r>
  </w:p>
  <w:p>
    <w:pPr>
      <w:pStyle w:val="1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22">
    <w:p>
      <w:r>
        <w:separator/>
      </w:r>
    </w:p>
  </w:footnote>
  <w:footnote w:type="continuationSeparator" w:id="23">
    <w:p>
      <w:r>
        <w:continuationSeparator/>
      </w:r>
    </w:p>
  </w:footnote>
  <w:footnote w:id="0">
    <w:p>
      <w:pPr>
        <w:pStyle w:val="18"/>
        <w:rPr>
          <w:rFonts w:ascii="仿宋_GB2312" w:hAnsi="Times New Roman" w:eastAsia="仿宋_GB2312"/>
          <w:color w:val="000000" w:themeColor="text1"/>
          <w:sz w:val="24"/>
          <w:szCs w:val="24"/>
          <w14:textFill>
            <w14:solidFill>
              <w14:schemeClr w14:val="tx1"/>
            </w14:solidFill>
          </w14:textFill>
        </w:rPr>
      </w:pPr>
      <w:r>
        <w:rPr>
          <w:rFonts w:ascii="仿宋_GB2312" w:hAnsi="Times New Roman" w:eastAsia="仿宋_GB2312"/>
          <w:color w:val="000000" w:themeColor="text1"/>
          <w:sz w:val="24"/>
          <w:szCs w:val="24"/>
          <w14:textFill>
            <w14:solidFill>
              <w14:schemeClr w14:val="tx1"/>
            </w14:solidFill>
          </w14:textFill>
        </w:rPr>
        <w:footnoteRef/>
      </w:r>
      <w:r>
        <w:rPr>
          <w:rFonts w:hint="eastAsia" w:ascii="仿宋_GB2312" w:hAnsi="Times New Roman" w:eastAsia="仿宋_GB2312"/>
          <w:color w:val="000000" w:themeColor="text1"/>
          <w:sz w:val="24"/>
          <w:szCs w:val="24"/>
          <w14:textFill>
            <w14:solidFill>
              <w14:schemeClr w14:val="tx1"/>
            </w14:solidFill>
          </w14:textFill>
        </w:rPr>
        <w:t xml:space="preserve">“三大定位”：广西构建面向东盟的国际大通道、打造西南中南地区开放发展新的战略支点、形成“一带一路”有机衔接的重要门户。  </w:t>
      </w:r>
    </w:p>
  </w:footnote>
  <w:footnote w:id="1">
    <w:p>
      <w:pPr>
        <w:rPr>
          <w:color w:val="000000" w:themeColor="text1"/>
          <w:sz w:val="24"/>
          <w14:textFill>
            <w14:solidFill>
              <w14:schemeClr w14:val="tx1"/>
            </w14:solidFill>
          </w14:textFill>
        </w:rPr>
      </w:pPr>
      <w:r>
        <w:rPr>
          <w:rFonts w:hint="eastAsia" w:ascii="仿宋_GB2312" w:hAnsi="Times New Roman" w:eastAsia="仿宋_GB2312"/>
          <w:color w:val="000000" w:themeColor="text1"/>
          <w:sz w:val="24"/>
          <w14:textFill>
            <w14:solidFill>
              <w14:schemeClr w14:val="tx1"/>
            </w14:solidFill>
          </w14:textFill>
        </w:rPr>
        <w:footnoteRef/>
      </w:r>
      <w:r>
        <w:rPr>
          <w:rFonts w:hint="eastAsia" w:ascii="仿宋_GB2312" w:hAnsi="Times New Roman" w:eastAsia="仿宋_GB2312"/>
          <w:color w:val="000000" w:themeColor="text1"/>
          <w:sz w:val="24"/>
          <w14:textFill>
            <w14:solidFill>
              <w14:schemeClr w14:val="tx1"/>
            </w14:solidFill>
          </w14:textFill>
        </w:rPr>
        <w:t>“五个扎实”：扎实推动经济持续健康发展、扎实推进现代特色农业建设、扎实推进民生建设和脱贫攻坚、扎实推进生态环境保护建设、扎实建设坚强有力的领导班子。</w:t>
      </w:r>
    </w:p>
  </w:footnote>
  <w:footnote w:id="2">
    <w:p>
      <w:pPr>
        <w:pStyle w:val="18"/>
        <w:rPr>
          <w:color w:val="000000" w:themeColor="text1"/>
          <w:sz w:val="24"/>
          <w:szCs w:val="24"/>
          <w14:textFill>
            <w14:solidFill>
              <w14:schemeClr w14:val="tx1"/>
            </w14:solidFill>
          </w14:textFill>
        </w:rPr>
      </w:pPr>
      <w:r>
        <w:rPr>
          <w:rFonts w:ascii="仿宋_GB2312" w:hAnsi="Times New Roman" w:eastAsia="仿宋_GB2312"/>
          <w:color w:val="000000" w:themeColor="text1"/>
          <w:sz w:val="24"/>
          <w:szCs w:val="24"/>
          <w14:textFill>
            <w14:solidFill>
              <w14:schemeClr w14:val="tx1"/>
            </w14:solidFill>
          </w14:textFill>
        </w:rPr>
        <w:footnoteRef/>
      </w:r>
      <w:r>
        <w:rPr>
          <w:rFonts w:hint="eastAsia" w:ascii="仿宋_GB2312" w:hAnsi="Times New Roman" w:eastAsia="仿宋_GB2312"/>
          <w:color w:val="000000" w:themeColor="text1"/>
          <w:sz w:val="24"/>
          <w:szCs w:val="24"/>
          <w14:textFill>
            <w14:solidFill>
              <w14:schemeClr w14:val="tx1"/>
            </w14:solidFill>
          </w14:textFill>
        </w:rPr>
        <w:t xml:space="preserve"> “1+2”国家战略：“1”是指桂林国际旅游胜地建设，“2”是指桂林国家可持续发展议程创新示范区建设、桂林国家健康旅游示范基地建设。</w:t>
      </w:r>
    </w:p>
  </w:footnote>
  <w:footnote w:id="3">
    <w:p>
      <w:pPr>
        <w:pStyle w:val="18"/>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④绿水青山就是“金山银山”简称“两山”。</w:t>
      </w:r>
    </w:p>
    <w:p>
      <w:pPr>
        <w:pStyle w:val="18"/>
      </w:pPr>
    </w:p>
  </w:footnote>
  <w:footnote w:id="4">
    <w:p>
      <w:pPr>
        <w:spacing w:line="600" w:lineRule="exact"/>
        <w:ind w:firstLine="480" w:firstLineChars="200"/>
        <w:rPr>
          <w:rFonts w:ascii="仿宋_GB2312" w:hAnsi="仿宋_GB2312" w:eastAsia="仿宋_GB2312" w:cs="仿宋_GB2312"/>
          <w:color w:val="000000" w:themeColor="text1"/>
          <w:sz w:val="24"/>
          <w:shd w:val="clear" w:color="auto" w:fill="FFFFFF"/>
          <w14:textFill>
            <w14:solidFill>
              <w14:schemeClr w14:val="tx1"/>
            </w14:solidFill>
          </w14:textFill>
        </w:rPr>
      </w:pPr>
      <w:r>
        <w:rPr>
          <w:rFonts w:hint="eastAsia" w:ascii="宋体" w:hAnsi="宋体" w:cs="宋体"/>
          <w:color w:val="000000" w:themeColor="text1"/>
          <w:sz w:val="24"/>
          <w14:textFill>
            <w14:solidFill>
              <w14:schemeClr w14:val="tx1"/>
            </w14:solidFill>
          </w14:textFill>
        </w:rPr>
        <w:footnoteRef/>
      </w:r>
      <w:r>
        <w:rPr>
          <w:rFonts w:hint="eastAsia" w:ascii="宋体" w:hAnsi="宋体" w:cs="宋体"/>
          <w:color w:val="000000" w:themeColor="text1"/>
          <w:sz w:val="24"/>
          <w14:textFill>
            <w14:solidFill>
              <w14:schemeClr w14:val="tx1"/>
            </w14:solidFill>
          </w14:textFill>
        </w:rPr>
        <w:t xml:space="preserve"> </w:t>
      </w:r>
      <w:r>
        <w:rPr>
          <w:rFonts w:hint="eastAsia" w:ascii="仿宋_GB2312" w:hAnsi="仿宋_GB2312" w:eastAsia="仿宋_GB2312" w:cs="仿宋_GB2312"/>
          <w:color w:val="000000" w:themeColor="text1"/>
          <w:sz w:val="24"/>
          <w:shd w:val="clear" w:color="auto" w:fill="FFFFFF"/>
          <w14:textFill>
            <w14:solidFill>
              <w14:schemeClr w14:val="tx1"/>
            </w14:solidFill>
          </w14:textFill>
        </w:rPr>
        <w:t>央企、民企、湾企三企入桂。</w:t>
      </w:r>
    </w:p>
    <w:p>
      <w:pPr>
        <w:pStyle w:val="18"/>
      </w:pPr>
    </w:p>
  </w:footnote>
  <w:footnote w:id="5">
    <w:p>
      <w:pPr>
        <w:pStyle w:val="18"/>
        <w:adjustRightInd w:val="0"/>
        <w:rPr>
          <w:rFonts w:ascii="仿宋_GB2312" w:hAnsi="仿宋_GB2312" w:eastAsia="仿宋_GB2312" w:cs="仿宋_GB2312"/>
          <w:color w:val="000000" w:themeColor="text1"/>
          <w:sz w:val="44"/>
          <w:szCs w:val="44"/>
          <w:vertAlign w:val="subscript"/>
          <w14:textFill>
            <w14:solidFill>
              <w14:schemeClr w14:val="tx1"/>
            </w14:solidFill>
          </w14:textFill>
        </w:rPr>
      </w:pPr>
      <w:r>
        <w:rPr>
          <w:rStyle w:val="30"/>
          <w:rFonts w:hint="eastAsia" w:ascii="仿宋_GB2312" w:hAnsi="仿宋_GB2312" w:eastAsia="仿宋_GB2312" w:cs="仿宋_GB2312"/>
          <w:color w:val="000000" w:themeColor="text1"/>
          <w:sz w:val="44"/>
          <w:szCs w:val="44"/>
          <w:vertAlign w:val="subscript"/>
          <w14:textFill>
            <w14:solidFill>
              <w14:schemeClr w14:val="tx1"/>
            </w14:solidFill>
          </w14:textFill>
        </w:rPr>
        <w:footnoteRef/>
      </w:r>
      <w:r>
        <w:rPr>
          <w:rStyle w:val="30"/>
          <w:rFonts w:hint="eastAsia" w:ascii="仿宋_GB2312" w:hAnsi="仿宋_GB2312" w:eastAsia="仿宋_GB2312" w:cs="仿宋_GB2312"/>
          <w:color w:val="000000" w:themeColor="text1"/>
          <w:sz w:val="44"/>
          <w:szCs w:val="44"/>
          <w:vertAlign w:val="subscript"/>
          <w14:textFill>
            <w14:solidFill>
              <w14:schemeClr w14:val="tx1"/>
            </w14:solidFill>
          </w14:textFill>
        </w:rPr>
        <w:t>党中央决定，脱贫攻坚目标任务完成后，对摆脱贫困的县，从脱贫之日起设立5年过渡期。</w:t>
      </w:r>
    </w:p>
  </w:footnote>
  <w:footnote w:id="6">
    <w:p>
      <w:pPr>
        <w:pStyle w:val="18"/>
        <w:adjustRightInd w:val="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shd w:val="clear" w:color="auto" w:fill="FFFFFF"/>
          <w14:textFill>
            <w14:solidFill>
              <w14:schemeClr w14:val="tx1"/>
            </w14:solidFill>
          </w14:textFill>
        </w:rPr>
        <w:t>⑦无公害农产品、绿色食品、</w:t>
      </w:r>
      <w:r>
        <w:fldChar w:fldCharType="begin"/>
      </w:r>
      <w:r>
        <w:instrText xml:space="preserve"> HYPERLINK "https://baike.baidu.com/item/%E6%9C%89%E6%9C%BA%E5%86%9C%E4%BA%A7%E5%93%81/10268723" \t "https://baike.baidu.com/item/%E4%B8%89%E5%93%81%E4%B8%80%E6%A0%87/_blank" </w:instrText>
      </w:r>
      <w:r>
        <w:fldChar w:fldCharType="separate"/>
      </w:r>
      <w:r>
        <w:rPr>
          <w:rStyle w:val="28"/>
          <w:rFonts w:hint="eastAsia" w:ascii="仿宋_GB2312" w:hAnsi="仿宋_GB2312" w:eastAsia="仿宋_GB2312" w:cs="仿宋_GB2312"/>
          <w:color w:val="000000" w:themeColor="text1"/>
          <w:sz w:val="24"/>
          <w:szCs w:val="24"/>
          <w:u w:val="none"/>
          <w:shd w:val="clear" w:color="auto" w:fill="FFFFFF"/>
          <w14:textFill>
            <w14:solidFill>
              <w14:schemeClr w14:val="tx1"/>
            </w14:solidFill>
          </w14:textFill>
        </w:rPr>
        <w:t>有机农产品</w:t>
      </w:r>
      <w:r>
        <w:rPr>
          <w:rStyle w:val="28"/>
          <w:rFonts w:hint="eastAsia" w:ascii="仿宋_GB2312" w:hAnsi="仿宋_GB2312" w:eastAsia="仿宋_GB2312" w:cs="仿宋_GB2312"/>
          <w:color w:val="000000" w:themeColor="text1"/>
          <w:sz w:val="24"/>
          <w:szCs w:val="24"/>
          <w:u w:val="none"/>
          <w:shd w:val="clear" w:color="auto" w:fill="FFFFFF"/>
          <w14:textFill>
            <w14:solidFill>
              <w14:schemeClr w14:val="tx1"/>
            </w14:solidFill>
          </w14:textFill>
        </w:rPr>
        <w:fldChar w:fldCharType="end"/>
      </w:r>
      <w:r>
        <w:rPr>
          <w:rFonts w:hint="eastAsia" w:ascii="仿宋_GB2312" w:hAnsi="仿宋_GB2312" w:eastAsia="仿宋_GB2312" w:cs="仿宋_GB2312"/>
          <w:color w:val="000000" w:themeColor="text1"/>
          <w:sz w:val="24"/>
          <w:szCs w:val="24"/>
          <w:shd w:val="clear" w:color="auto" w:fill="FFFFFF"/>
          <w14:textFill>
            <w14:solidFill>
              <w14:schemeClr w14:val="tx1"/>
            </w14:solidFill>
          </w14:textFill>
        </w:rPr>
        <w:t>和农产品地理标志的统称。</w:t>
      </w:r>
    </w:p>
  </w:footnote>
  <w:footnote w:id="7">
    <w:p>
      <w:pPr>
        <w:pStyle w:val="18"/>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⑧三避：农作物避雨、避寒、避晒栽培技术</w:t>
      </w:r>
      <w:r>
        <w:rPr>
          <w:rFonts w:hint="eastAsia" w:ascii="仿宋_GB2312" w:hAnsi="仿宋_GB2312" w:eastAsia="仿宋_GB2312" w:cs="仿宋_GB2312"/>
          <w:color w:val="000000" w:themeColor="text1"/>
          <w:sz w:val="24"/>
          <w:szCs w:val="24"/>
          <w:shd w:val="clear" w:color="auto" w:fill="FFFFFF"/>
          <w14:textFill>
            <w14:solidFill>
              <w14:schemeClr w14:val="tx1"/>
            </w14:solidFill>
          </w14:textFill>
        </w:rPr>
        <w:t>的统称。</w:t>
      </w:r>
    </w:p>
  </w:footnote>
  <w:footnote w:id="8">
    <w:p>
      <w:pPr>
        <w:pStyle w:val="18"/>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⑨</w:t>
      </w:r>
      <w:r>
        <w:rPr>
          <w:rFonts w:hint="eastAsia" w:ascii="Times New Roman" w:hAnsi="Times New Roman" w:eastAsia="仿宋_GB2312"/>
          <w:color w:val="000000" w:themeColor="text1"/>
          <w:sz w:val="24"/>
          <w:szCs w:val="24"/>
          <w14:textFill>
            <w14:solidFill>
              <w14:schemeClr w14:val="tx1"/>
            </w14:solidFill>
          </w14:textFill>
        </w:rPr>
        <w:t>特色养殖：</w:t>
      </w:r>
      <w:r>
        <w:rPr>
          <w:rFonts w:hint="eastAsia" w:ascii="仿宋_GB2312" w:hAnsi="仿宋_GB2312" w:eastAsia="仿宋_GB2312" w:cs="仿宋_GB2312"/>
          <w:color w:val="000000" w:themeColor="text1"/>
          <w:sz w:val="24"/>
          <w:szCs w:val="24"/>
          <w14:textFill>
            <w14:solidFill>
              <w14:schemeClr w14:val="tx1"/>
            </w14:solidFill>
          </w14:textFill>
        </w:rPr>
        <w:t>凤鸡、翠鸭、亚冷水鱼等地方养殖业</w:t>
      </w:r>
      <w:r>
        <w:rPr>
          <w:rFonts w:hint="eastAsia" w:ascii="仿宋_GB2312" w:hAnsi="仿宋_GB2312" w:eastAsia="仿宋_GB2312" w:cs="仿宋_GB2312"/>
          <w:color w:val="000000" w:themeColor="text1"/>
          <w:sz w:val="24"/>
          <w:szCs w:val="24"/>
          <w:shd w:val="clear" w:color="auto" w:fill="FFFFFF"/>
          <w14:textFill>
            <w14:solidFill>
              <w14:schemeClr w14:val="tx1"/>
            </w14:solidFill>
          </w14:textFill>
        </w:rPr>
        <w:t>。</w:t>
      </w:r>
    </w:p>
  </w:footnote>
  <w:footnote w:id="9">
    <w:p>
      <w:pPr>
        <w:pStyle w:val="18"/>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⑩英文“Internet Protocol Version 6”（互联网协议第6版）的缩写，是互联网工程任务组（IETF）设计的用于替代IPv4的下一代IP协议，其地址数量号称可以为全世界的每一粒沙子编上一个地址。</w:t>
      </w:r>
    </w:p>
  </w:footnote>
  <w:footnote w:id="10">
    <w:p>
      <w:pPr>
        <w:pStyle w:val="18"/>
        <w:rPr>
          <w:color w:val="000000" w:themeColor="text1"/>
          <w:sz w:val="24"/>
          <w14:textFill>
            <w14:solidFill>
              <w14:schemeClr w14:val="tx1"/>
            </w14:solidFill>
          </w14:textFill>
        </w:rPr>
      </w:pPr>
      <w:r>
        <w:rPr>
          <w:rStyle w:val="30"/>
          <w:color w:val="000000" w:themeColor="text1"/>
          <w:sz w:val="32"/>
          <w:szCs w:val="32"/>
          <w:vertAlign w:val="subscript"/>
          <w14:textFill>
            <w14:solidFill>
              <w14:schemeClr w14:val="tx1"/>
            </w14:solidFill>
          </w14:textFill>
        </w:rPr>
        <w:footnoteRef/>
      </w:r>
      <w:r>
        <w:rPr>
          <w:rFonts w:hint="eastAsia" w:ascii="仿宋_GB2312" w:hAnsi="仿宋_GB2312" w:eastAsia="仿宋_GB2312" w:cs="仿宋_GB2312"/>
          <w:color w:val="000000" w:themeColor="text1"/>
          <w:sz w:val="24"/>
          <w:shd w:val="clear" w:color="auto" w:fill="FFFFFF"/>
          <w14:textFill>
            <w14:solidFill>
              <w14:schemeClr w14:val="tx1"/>
            </w14:solidFill>
          </w14:textFill>
        </w:rPr>
        <w:t>荒山、荒沟、荒丘、荒滩等未利用的土地。</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BFCEC2A"/>
    <w:multiLevelType w:val="singleLevel"/>
    <w:tmpl w:val="CBFCEC2A"/>
    <w:lvl w:ilvl="0" w:tentative="0">
      <w:start w:val="2"/>
      <w:numFmt w:val="decimal"/>
      <w:suff w:val="nothing"/>
      <w:lvlText w:val="%1、"/>
      <w:lvlJc w:val="left"/>
    </w:lvl>
  </w:abstractNum>
  <w:abstractNum w:abstractNumId="1">
    <w:nsid w:val="114238F4"/>
    <w:multiLevelType w:val="singleLevel"/>
    <w:tmpl w:val="114238F4"/>
    <w:lvl w:ilvl="0" w:tentative="0">
      <w:start w:val="1"/>
      <w:numFmt w:val="chineseCounting"/>
      <w:pStyle w:val="3"/>
      <w:suff w:val="nothing"/>
      <w:lvlText w:val="（%1）"/>
      <w:lvlJc w:val="left"/>
      <w:pPr>
        <w:ind w:left="660" w:firstLine="420"/>
      </w:pPr>
      <w:rPr>
        <w:rFonts w:hint="eastAsia"/>
      </w:rPr>
    </w:lvl>
  </w:abstractNum>
  <w:abstractNum w:abstractNumId="2">
    <w:nsid w:val="604530C5"/>
    <w:multiLevelType w:val="singleLevel"/>
    <w:tmpl w:val="604530C5"/>
    <w:lvl w:ilvl="0" w:tentative="0">
      <w:start w:val="2"/>
      <w:numFmt w:val="chineseCounting"/>
      <w:suff w:val="nothing"/>
      <w:lvlText w:val="（%1）"/>
      <w:lvlJc w:val="left"/>
      <w:rPr>
        <w:rFonts w:hint="eastAsia"/>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bordersDoNotSurroundHeader w:val="1"/>
  <w:bordersDoNotSurroundFooter w:val="1"/>
  <w:hideSpellingErrors/>
  <w:documentProtection w:enforcement="0"/>
  <w:defaultTabStop w:val="420"/>
  <w:drawingGridHorizontalSpacing w:val="210"/>
  <w:drawingGridVerticalSpacing w:val="156"/>
  <w:noPunctuationKerning w:val="1"/>
  <w:characterSpacingControl w:val="compressPunctuation"/>
  <w:footnotePr>
    <w:footnote w:id="22"/>
    <w:footnote w:id="23"/>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2ViOTFlODhjOWE2MzIzMmE0YjFjODUwNGM5OTY1OTUifQ=="/>
    <w:docVar w:name="KSO_WPS_MARK_KEY" w:val="ddddf03c-333f-4ff5-b3a1-4726a23394b9"/>
  </w:docVars>
  <w:rsids>
    <w:rsidRoot w:val="00E177F3"/>
    <w:rsid w:val="00004799"/>
    <w:rsid w:val="00007785"/>
    <w:rsid w:val="00007F12"/>
    <w:rsid w:val="00007F5F"/>
    <w:rsid w:val="00013444"/>
    <w:rsid w:val="0001491E"/>
    <w:rsid w:val="0002154E"/>
    <w:rsid w:val="000333B0"/>
    <w:rsid w:val="00033E90"/>
    <w:rsid w:val="00054820"/>
    <w:rsid w:val="00063FCE"/>
    <w:rsid w:val="000641EF"/>
    <w:rsid w:val="000661C5"/>
    <w:rsid w:val="00076232"/>
    <w:rsid w:val="00077284"/>
    <w:rsid w:val="00077419"/>
    <w:rsid w:val="00080794"/>
    <w:rsid w:val="0008527B"/>
    <w:rsid w:val="000861DB"/>
    <w:rsid w:val="00094444"/>
    <w:rsid w:val="00095BBE"/>
    <w:rsid w:val="00096184"/>
    <w:rsid w:val="000A47F1"/>
    <w:rsid w:val="000C064F"/>
    <w:rsid w:val="000C4FF6"/>
    <w:rsid w:val="000C50DB"/>
    <w:rsid w:val="000C5F1C"/>
    <w:rsid w:val="000D4C26"/>
    <w:rsid w:val="000D53D1"/>
    <w:rsid w:val="000D6D88"/>
    <w:rsid w:val="000E11FC"/>
    <w:rsid w:val="000E17AB"/>
    <w:rsid w:val="000E4CB1"/>
    <w:rsid w:val="000E4E27"/>
    <w:rsid w:val="000F0294"/>
    <w:rsid w:val="000F167D"/>
    <w:rsid w:val="000F2082"/>
    <w:rsid w:val="000F359A"/>
    <w:rsid w:val="000F6BAF"/>
    <w:rsid w:val="00102984"/>
    <w:rsid w:val="0012362D"/>
    <w:rsid w:val="00135FCB"/>
    <w:rsid w:val="00142E29"/>
    <w:rsid w:val="0014616F"/>
    <w:rsid w:val="00147068"/>
    <w:rsid w:val="00147F18"/>
    <w:rsid w:val="00150824"/>
    <w:rsid w:val="00154382"/>
    <w:rsid w:val="00155614"/>
    <w:rsid w:val="001643C2"/>
    <w:rsid w:val="0016662E"/>
    <w:rsid w:val="00167F96"/>
    <w:rsid w:val="00176719"/>
    <w:rsid w:val="00185E74"/>
    <w:rsid w:val="0019537C"/>
    <w:rsid w:val="00195ADA"/>
    <w:rsid w:val="00197346"/>
    <w:rsid w:val="001A094C"/>
    <w:rsid w:val="001A544A"/>
    <w:rsid w:val="001A668E"/>
    <w:rsid w:val="001B300A"/>
    <w:rsid w:val="001B4958"/>
    <w:rsid w:val="001D12BB"/>
    <w:rsid w:val="001E0221"/>
    <w:rsid w:val="001E25F5"/>
    <w:rsid w:val="001E7897"/>
    <w:rsid w:val="002001A3"/>
    <w:rsid w:val="00203FAF"/>
    <w:rsid w:val="00205EFC"/>
    <w:rsid w:val="0021045C"/>
    <w:rsid w:val="00214E09"/>
    <w:rsid w:val="00221BEB"/>
    <w:rsid w:val="00222CA8"/>
    <w:rsid w:val="002266E4"/>
    <w:rsid w:val="00232FDD"/>
    <w:rsid w:val="002425AD"/>
    <w:rsid w:val="00264DAF"/>
    <w:rsid w:val="00266BC8"/>
    <w:rsid w:val="002672AB"/>
    <w:rsid w:val="00283CA4"/>
    <w:rsid w:val="0028402A"/>
    <w:rsid w:val="002933A9"/>
    <w:rsid w:val="00293BD8"/>
    <w:rsid w:val="00297293"/>
    <w:rsid w:val="002A2928"/>
    <w:rsid w:val="002A3E2C"/>
    <w:rsid w:val="002A409C"/>
    <w:rsid w:val="002C3D5B"/>
    <w:rsid w:val="002C55CF"/>
    <w:rsid w:val="002C5FE5"/>
    <w:rsid w:val="002D3504"/>
    <w:rsid w:val="002E0104"/>
    <w:rsid w:val="002E4DF8"/>
    <w:rsid w:val="002E6BFF"/>
    <w:rsid w:val="003027BB"/>
    <w:rsid w:val="00306966"/>
    <w:rsid w:val="003158D3"/>
    <w:rsid w:val="00315CF1"/>
    <w:rsid w:val="00322E48"/>
    <w:rsid w:val="00323388"/>
    <w:rsid w:val="00325D9F"/>
    <w:rsid w:val="00326FBC"/>
    <w:rsid w:val="003331B8"/>
    <w:rsid w:val="003353ED"/>
    <w:rsid w:val="00345CBC"/>
    <w:rsid w:val="00346D27"/>
    <w:rsid w:val="00356379"/>
    <w:rsid w:val="00366FD2"/>
    <w:rsid w:val="00371DED"/>
    <w:rsid w:val="00384AE1"/>
    <w:rsid w:val="0039356F"/>
    <w:rsid w:val="00395313"/>
    <w:rsid w:val="00397D76"/>
    <w:rsid w:val="003A77B5"/>
    <w:rsid w:val="003B4322"/>
    <w:rsid w:val="003B66A0"/>
    <w:rsid w:val="003C4922"/>
    <w:rsid w:val="003C5139"/>
    <w:rsid w:val="003D2FCC"/>
    <w:rsid w:val="003D4112"/>
    <w:rsid w:val="003E4CDB"/>
    <w:rsid w:val="003F0A03"/>
    <w:rsid w:val="003F164F"/>
    <w:rsid w:val="003F5C3A"/>
    <w:rsid w:val="003F6040"/>
    <w:rsid w:val="003F6EED"/>
    <w:rsid w:val="00402096"/>
    <w:rsid w:val="00414F93"/>
    <w:rsid w:val="00432B7E"/>
    <w:rsid w:val="004436F3"/>
    <w:rsid w:val="00453BDC"/>
    <w:rsid w:val="004601CC"/>
    <w:rsid w:val="0046085D"/>
    <w:rsid w:val="0046795B"/>
    <w:rsid w:val="00473159"/>
    <w:rsid w:val="004736FA"/>
    <w:rsid w:val="00475CCE"/>
    <w:rsid w:val="00494E34"/>
    <w:rsid w:val="004A01E8"/>
    <w:rsid w:val="004A24F1"/>
    <w:rsid w:val="004A590A"/>
    <w:rsid w:val="004A6534"/>
    <w:rsid w:val="004A660F"/>
    <w:rsid w:val="004B010D"/>
    <w:rsid w:val="004B0186"/>
    <w:rsid w:val="004B1A1D"/>
    <w:rsid w:val="004B263A"/>
    <w:rsid w:val="004B6D01"/>
    <w:rsid w:val="004C16BC"/>
    <w:rsid w:val="004C187A"/>
    <w:rsid w:val="004C2A3F"/>
    <w:rsid w:val="004C4FDB"/>
    <w:rsid w:val="004C581A"/>
    <w:rsid w:val="004D1A87"/>
    <w:rsid w:val="004D2A4B"/>
    <w:rsid w:val="004D2E35"/>
    <w:rsid w:val="004E35A5"/>
    <w:rsid w:val="004E3B6F"/>
    <w:rsid w:val="004E3EAB"/>
    <w:rsid w:val="004E6943"/>
    <w:rsid w:val="004F4332"/>
    <w:rsid w:val="005049E4"/>
    <w:rsid w:val="005058B0"/>
    <w:rsid w:val="00506F83"/>
    <w:rsid w:val="00512AAD"/>
    <w:rsid w:val="0051332B"/>
    <w:rsid w:val="00516354"/>
    <w:rsid w:val="00516E1A"/>
    <w:rsid w:val="005176AD"/>
    <w:rsid w:val="00521B72"/>
    <w:rsid w:val="005235A5"/>
    <w:rsid w:val="00535F3D"/>
    <w:rsid w:val="00542C50"/>
    <w:rsid w:val="005604F6"/>
    <w:rsid w:val="0057161A"/>
    <w:rsid w:val="00571B69"/>
    <w:rsid w:val="00572057"/>
    <w:rsid w:val="00584FF8"/>
    <w:rsid w:val="00587C58"/>
    <w:rsid w:val="005A618D"/>
    <w:rsid w:val="005B24C3"/>
    <w:rsid w:val="005B67FF"/>
    <w:rsid w:val="005C2BC3"/>
    <w:rsid w:val="005C73A3"/>
    <w:rsid w:val="005D1962"/>
    <w:rsid w:val="005D2A7D"/>
    <w:rsid w:val="005D4B16"/>
    <w:rsid w:val="005D67CD"/>
    <w:rsid w:val="005E0445"/>
    <w:rsid w:val="005F0EFF"/>
    <w:rsid w:val="005F484D"/>
    <w:rsid w:val="005F6A20"/>
    <w:rsid w:val="00600F38"/>
    <w:rsid w:val="006033F1"/>
    <w:rsid w:val="00604C86"/>
    <w:rsid w:val="006078BA"/>
    <w:rsid w:val="00616394"/>
    <w:rsid w:val="00617489"/>
    <w:rsid w:val="006200E3"/>
    <w:rsid w:val="00623341"/>
    <w:rsid w:val="00630707"/>
    <w:rsid w:val="006354F8"/>
    <w:rsid w:val="006361BB"/>
    <w:rsid w:val="006408A8"/>
    <w:rsid w:val="00642F32"/>
    <w:rsid w:val="00643E74"/>
    <w:rsid w:val="006506C6"/>
    <w:rsid w:val="00652F40"/>
    <w:rsid w:val="006566DB"/>
    <w:rsid w:val="006626A6"/>
    <w:rsid w:val="006706AD"/>
    <w:rsid w:val="00673ABE"/>
    <w:rsid w:val="0068199B"/>
    <w:rsid w:val="00681A61"/>
    <w:rsid w:val="00682EE6"/>
    <w:rsid w:val="00691D6A"/>
    <w:rsid w:val="0069794F"/>
    <w:rsid w:val="006A4680"/>
    <w:rsid w:val="006B1ACD"/>
    <w:rsid w:val="006B494F"/>
    <w:rsid w:val="006B67F3"/>
    <w:rsid w:val="006B6B0B"/>
    <w:rsid w:val="006C0C41"/>
    <w:rsid w:val="006C0EC0"/>
    <w:rsid w:val="006D03B6"/>
    <w:rsid w:val="006E1FAC"/>
    <w:rsid w:val="006F2439"/>
    <w:rsid w:val="006F48F7"/>
    <w:rsid w:val="00703194"/>
    <w:rsid w:val="00705878"/>
    <w:rsid w:val="007114D4"/>
    <w:rsid w:val="007145F1"/>
    <w:rsid w:val="00716253"/>
    <w:rsid w:val="007234F6"/>
    <w:rsid w:val="00736024"/>
    <w:rsid w:val="007402D9"/>
    <w:rsid w:val="00747E6D"/>
    <w:rsid w:val="00750BC3"/>
    <w:rsid w:val="00762695"/>
    <w:rsid w:val="0076449E"/>
    <w:rsid w:val="0076720F"/>
    <w:rsid w:val="007722CE"/>
    <w:rsid w:val="007869BD"/>
    <w:rsid w:val="00792205"/>
    <w:rsid w:val="00794687"/>
    <w:rsid w:val="007A0640"/>
    <w:rsid w:val="007A2297"/>
    <w:rsid w:val="007A3907"/>
    <w:rsid w:val="007B0910"/>
    <w:rsid w:val="007B4563"/>
    <w:rsid w:val="007B4FCE"/>
    <w:rsid w:val="007D1193"/>
    <w:rsid w:val="007D1537"/>
    <w:rsid w:val="007D345E"/>
    <w:rsid w:val="007E4081"/>
    <w:rsid w:val="007F19CD"/>
    <w:rsid w:val="007F3622"/>
    <w:rsid w:val="008027AB"/>
    <w:rsid w:val="00804A7F"/>
    <w:rsid w:val="00805953"/>
    <w:rsid w:val="0081231C"/>
    <w:rsid w:val="008137ED"/>
    <w:rsid w:val="0081748A"/>
    <w:rsid w:val="008259E1"/>
    <w:rsid w:val="00830048"/>
    <w:rsid w:val="008300C2"/>
    <w:rsid w:val="00831A51"/>
    <w:rsid w:val="00831DDC"/>
    <w:rsid w:val="0083264D"/>
    <w:rsid w:val="008352B5"/>
    <w:rsid w:val="0083794E"/>
    <w:rsid w:val="00837DD9"/>
    <w:rsid w:val="00840134"/>
    <w:rsid w:val="00843FE8"/>
    <w:rsid w:val="00853BF1"/>
    <w:rsid w:val="00854E3A"/>
    <w:rsid w:val="00857F94"/>
    <w:rsid w:val="008640FB"/>
    <w:rsid w:val="00864675"/>
    <w:rsid w:val="008654EF"/>
    <w:rsid w:val="00871979"/>
    <w:rsid w:val="00874D15"/>
    <w:rsid w:val="00875BE3"/>
    <w:rsid w:val="008770FE"/>
    <w:rsid w:val="0089713D"/>
    <w:rsid w:val="00897DF3"/>
    <w:rsid w:val="008A1660"/>
    <w:rsid w:val="008B1CE8"/>
    <w:rsid w:val="008B503D"/>
    <w:rsid w:val="008B79F6"/>
    <w:rsid w:val="008B7FB2"/>
    <w:rsid w:val="008C2E59"/>
    <w:rsid w:val="008C3EB1"/>
    <w:rsid w:val="008D5532"/>
    <w:rsid w:val="008D5604"/>
    <w:rsid w:val="008D6BB7"/>
    <w:rsid w:val="008D7285"/>
    <w:rsid w:val="008D7750"/>
    <w:rsid w:val="008E2EDD"/>
    <w:rsid w:val="008E7263"/>
    <w:rsid w:val="008E7BB2"/>
    <w:rsid w:val="008F0C39"/>
    <w:rsid w:val="008F5953"/>
    <w:rsid w:val="0090057D"/>
    <w:rsid w:val="00901A30"/>
    <w:rsid w:val="0091258F"/>
    <w:rsid w:val="0091304E"/>
    <w:rsid w:val="009224B2"/>
    <w:rsid w:val="009260AB"/>
    <w:rsid w:val="0092763D"/>
    <w:rsid w:val="00932B0B"/>
    <w:rsid w:val="00936F31"/>
    <w:rsid w:val="00946857"/>
    <w:rsid w:val="00951BD3"/>
    <w:rsid w:val="00963CB2"/>
    <w:rsid w:val="00977F89"/>
    <w:rsid w:val="009800EB"/>
    <w:rsid w:val="0098129B"/>
    <w:rsid w:val="00981B19"/>
    <w:rsid w:val="009821EF"/>
    <w:rsid w:val="00984FA3"/>
    <w:rsid w:val="00987226"/>
    <w:rsid w:val="0099230C"/>
    <w:rsid w:val="009943DF"/>
    <w:rsid w:val="009A1375"/>
    <w:rsid w:val="009B1725"/>
    <w:rsid w:val="009B7501"/>
    <w:rsid w:val="009C0410"/>
    <w:rsid w:val="009C089D"/>
    <w:rsid w:val="009C6D8F"/>
    <w:rsid w:val="009D2A31"/>
    <w:rsid w:val="009D32F6"/>
    <w:rsid w:val="009E075D"/>
    <w:rsid w:val="009E49B1"/>
    <w:rsid w:val="009E7CAD"/>
    <w:rsid w:val="009E7F5A"/>
    <w:rsid w:val="009F7A95"/>
    <w:rsid w:val="00A050D2"/>
    <w:rsid w:val="00A07C44"/>
    <w:rsid w:val="00A12C85"/>
    <w:rsid w:val="00A12E5B"/>
    <w:rsid w:val="00A20DC0"/>
    <w:rsid w:val="00A23920"/>
    <w:rsid w:val="00A2566C"/>
    <w:rsid w:val="00A3091F"/>
    <w:rsid w:val="00A32872"/>
    <w:rsid w:val="00A35B6B"/>
    <w:rsid w:val="00A42563"/>
    <w:rsid w:val="00A4305B"/>
    <w:rsid w:val="00A43F1D"/>
    <w:rsid w:val="00A53A2B"/>
    <w:rsid w:val="00A54A01"/>
    <w:rsid w:val="00A54AA4"/>
    <w:rsid w:val="00A57859"/>
    <w:rsid w:val="00A57F1C"/>
    <w:rsid w:val="00A61C91"/>
    <w:rsid w:val="00A61E49"/>
    <w:rsid w:val="00A65A8C"/>
    <w:rsid w:val="00A66664"/>
    <w:rsid w:val="00A74D2A"/>
    <w:rsid w:val="00A7638B"/>
    <w:rsid w:val="00A80D2E"/>
    <w:rsid w:val="00A844C3"/>
    <w:rsid w:val="00A8497C"/>
    <w:rsid w:val="00A85BDD"/>
    <w:rsid w:val="00A909E3"/>
    <w:rsid w:val="00A90D6C"/>
    <w:rsid w:val="00AA4554"/>
    <w:rsid w:val="00AA566E"/>
    <w:rsid w:val="00AA7E9B"/>
    <w:rsid w:val="00AB2773"/>
    <w:rsid w:val="00AC5D78"/>
    <w:rsid w:val="00AD15FE"/>
    <w:rsid w:val="00AD39C2"/>
    <w:rsid w:val="00AD4952"/>
    <w:rsid w:val="00AD6048"/>
    <w:rsid w:val="00AE0E2C"/>
    <w:rsid w:val="00AE1254"/>
    <w:rsid w:val="00AE2A5E"/>
    <w:rsid w:val="00AE5087"/>
    <w:rsid w:val="00AE6C71"/>
    <w:rsid w:val="00AF5006"/>
    <w:rsid w:val="00AF739D"/>
    <w:rsid w:val="00B0208A"/>
    <w:rsid w:val="00B03300"/>
    <w:rsid w:val="00B058AE"/>
    <w:rsid w:val="00B11DBD"/>
    <w:rsid w:val="00B16A39"/>
    <w:rsid w:val="00B2388F"/>
    <w:rsid w:val="00B2467A"/>
    <w:rsid w:val="00B24E5D"/>
    <w:rsid w:val="00B25843"/>
    <w:rsid w:val="00B31B83"/>
    <w:rsid w:val="00B324EC"/>
    <w:rsid w:val="00B333F9"/>
    <w:rsid w:val="00B344F8"/>
    <w:rsid w:val="00B3783A"/>
    <w:rsid w:val="00B473F9"/>
    <w:rsid w:val="00B47CEE"/>
    <w:rsid w:val="00B506A0"/>
    <w:rsid w:val="00B5591A"/>
    <w:rsid w:val="00B559C2"/>
    <w:rsid w:val="00B57324"/>
    <w:rsid w:val="00B61F4E"/>
    <w:rsid w:val="00B63172"/>
    <w:rsid w:val="00B8457C"/>
    <w:rsid w:val="00B868E1"/>
    <w:rsid w:val="00B86EE4"/>
    <w:rsid w:val="00B9539E"/>
    <w:rsid w:val="00BA24F9"/>
    <w:rsid w:val="00BA4DCE"/>
    <w:rsid w:val="00BA6700"/>
    <w:rsid w:val="00BA711F"/>
    <w:rsid w:val="00BB5880"/>
    <w:rsid w:val="00BC04AB"/>
    <w:rsid w:val="00BC4291"/>
    <w:rsid w:val="00BC45C6"/>
    <w:rsid w:val="00BC7FB9"/>
    <w:rsid w:val="00BD0562"/>
    <w:rsid w:val="00BD0FF3"/>
    <w:rsid w:val="00BD47E6"/>
    <w:rsid w:val="00BE2848"/>
    <w:rsid w:val="00BE3DE0"/>
    <w:rsid w:val="00BE6400"/>
    <w:rsid w:val="00BF2E30"/>
    <w:rsid w:val="00BF3833"/>
    <w:rsid w:val="00BF3BFD"/>
    <w:rsid w:val="00BF54C6"/>
    <w:rsid w:val="00C06AAB"/>
    <w:rsid w:val="00C115DD"/>
    <w:rsid w:val="00C119F4"/>
    <w:rsid w:val="00C12417"/>
    <w:rsid w:val="00C12F73"/>
    <w:rsid w:val="00C1352A"/>
    <w:rsid w:val="00C14291"/>
    <w:rsid w:val="00C161B9"/>
    <w:rsid w:val="00C22957"/>
    <w:rsid w:val="00C2793B"/>
    <w:rsid w:val="00C33BBF"/>
    <w:rsid w:val="00C34CDB"/>
    <w:rsid w:val="00C43E0E"/>
    <w:rsid w:val="00C44841"/>
    <w:rsid w:val="00C44F7C"/>
    <w:rsid w:val="00C51962"/>
    <w:rsid w:val="00C539E4"/>
    <w:rsid w:val="00C56397"/>
    <w:rsid w:val="00C6078B"/>
    <w:rsid w:val="00C67BC6"/>
    <w:rsid w:val="00C70E81"/>
    <w:rsid w:val="00C7426D"/>
    <w:rsid w:val="00C747DD"/>
    <w:rsid w:val="00C74C7B"/>
    <w:rsid w:val="00C772B9"/>
    <w:rsid w:val="00C809AB"/>
    <w:rsid w:val="00C81E5C"/>
    <w:rsid w:val="00C91502"/>
    <w:rsid w:val="00CA06A2"/>
    <w:rsid w:val="00CA129C"/>
    <w:rsid w:val="00CA430D"/>
    <w:rsid w:val="00CA4795"/>
    <w:rsid w:val="00CA6B23"/>
    <w:rsid w:val="00CB25C2"/>
    <w:rsid w:val="00CB440C"/>
    <w:rsid w:val="00CC4198"/>
    <w:rsid w:val="00CD7157"/>
    <w:rsid w:val="00CE2497"/>
    <w:rsid w:val="00CF0F62"/>
    <w:rsid w:val="00D132A7"/>
    <w:rsid w:val="00D167B8"/>
    <w:rsid w:val="00D1734A"/>
    <w:rsid w:val="00D4361D"/>
    <w:rsid w:val="00D45F38"/>
    <w:rsid w:val="00D50F0D"/>
    <w:rsid w:val="00D547B4"/>
    <w:rsid w:val="00D62B6B"/>
    <w:rsid w:val="00D708BA"/>
    <w:rsid w:val="00D7380F"/>
    <w:rsid w:val="00D7640C"/>
    <w:rsid w:val="00D83D86"/>
    <w:rsid w:val="00D863CA"/>
    <w:rsid w:val="00D90352"/>
    <w:rsid w:val="00D906F0"/>
    <w:rsid w:val="00D911A5"/>
    <w:rsid w:val="00D91292"/>
    <w:rsid w:val="00D94405"/>
    <w:rsid w:val="00D95182"/>
    <w:rsid w:val="00DA5E69"/>
    <w:rsid w:val="00DB512E"/>
    <w:rsid w:val="00DB597D"/>
    <w:rsid w:val="00DB79F3"/>
    <w:rsid w:val="00DD40A1"/>
    <w:rsid w:val="00DE708B"/>
    <w:rsid w:val="00DE7D2E"/>
    <w:rsid w:val="00DF075D"/>
    <w:rsid w:val="00DF21A1"/>
    <w:rsid w:val="00DF40E9"/>
    <w:rsid w:val="00E0066A"/>
    <w:rsid w:val="00E0079D"/>
    <w:rsid w:val="00E0316D"/>
    <w:rsid w:val="00E03771"/>
    <w:rsid w:val="00E05A09"/>
    <w:rsid w:val="00E06AD7"/>
    <w:rsid w:val="00E07840"/>
    <w:rsid w:val="00E120AA"/>
    <w:rsid w:val="00E1339F"/>
    <w:rsid w:val="00E177F3"/>
    <w:rsid w:val="00E17DCE"/>
    <w:rsid w:val="00E36F81"/>
    <w:rsid w:val="00E403B6"/>
    <w:rsid w:val="00E422B4"/>
    <w:rsid w:val="00E42ECD"/>
    <w:rsid w:val="00E463B3"/>
    <w:rsid w:val="00E47438"/>
    <w:rsid w:val="00E51B34"/>
    <w:rsid w:val="00E610DC"/>
    <w:rsid w:val="00E6415B"/>
    <w:rsid w:val="00E65D11"/>
    <w:rsid w:val="00E6670F"/>
    <w:rsid w:val="00E67404"/>
    <w:rsid w:val="00E74760"/>
    <w:rsid w:val="00E760BB"/>
    <w:rsid w:val="00E8749A"/>
    <w:rsid w:val="00E93964"/>
    <w:rsid w:val="00E93FD9"/>
    <w:rsid w:val="00EA04DD"/>
    <w:rsid w:val="00EA170A"/>
    <w:rsid w:val="00EA3174"/>
    <w:rsid w:val="00EB31FC"/>
    <w:rsid w:val="00EB687C"/>
    <w:rsid w:val="00EB7A10"/>
    <w:rsid w:val="00EC309A"/>
    <w:rsid w:val="00ED0BDD"/>
    <w:rsid w:val="00EE07D7"/>
    <w:rsid w:val="00EE1364"/>
    <w:rsid w:val="00EF1CDC"/>
    <w:rsid w:val="00EF2904"/>
    <w:rsid w:val="00EF75D5"/>
    <w:rsid w:val="00F30A26"/>
    <w:rsid w:val="00F320BE"/>
    <w:rsid w:val="00F411D7"/>
    <w:rsid w:val="00F4278E"/>
    <w:rsid w:val="00F46BC5"/>
    <w:rsid w:val="00F575BA"/>
    <w:rsid w:val="00F60245"/>
    <w:rsid w:val="00F66E21"/>
    <w:rsid w:val="00F7320C"/>
    <w:rsid w:val="00F735A0"/>
    <w:rsid w:val="00F807C7"/>
    <w:rsid w:val="00F823E1"/>
    <w:rsid w:val="00F8693F"/>
    <w:rsid w:val="00F92198"/>
    <w:rsid w:val="00F936DB"/>
    <w:rsid w:val="00FA1A7A"/>
    <w:rsid w:val="00FA3951"/>
    <w:rsid w:val="00FA52BE"/>
    <w:rsid w:val="00FA55F9"/>
    <w:rsid w:val="00FB4555"/>
    <w:rsid w:val="00FB7042"/>
    <w:rsid w:val="00FC0227"/>
    <w:rsid w:val="00FC02C1"/>
    <w:rsid w:val="00FC41C3"/>
    <w:rsid w:val="00FE7B41"/>
    <w:rsid w:val="00FF3DE4"/>
    <w:rsid w:val="00FF5151"/>
    <w:rsid w:val="01071DAB"/>
    <w:rsid w:val="010C5E9A"/>
    <w:rsid w:val="011119C9"/>
    <w:rsid w:val="017317EF"/>
    <w:rsid w:val="01736734"/>
    <w:rsid w:val="01A44152"/>
    <w:rsid w:val="01E45F9B"/>
    <w:rsid w:val="02116D77"/>
    <w:rsid w:val="023C0CB2"/>
    <w:rsid w:val="02854FC4"/>
    <w:rsid w:val="028A20FC"/>
    <w:rsid w:val="02AB3135"/>
    <w:rsid w:val="02AD1B01"/>
    <w:rsid w:val="03AE47DF"/>
    <w:rsid w:val="03D406B8"/>
    <w:rsid w:val="03D97712"/>
    <w:rsid w:val="03E85B8B"/>
    <w:rsid w:val="04005CDB"/>
    <w:rsid w:val="04134298"/>
    <w:rsid w:val="0436209D"/>
    <w:rsid w:val="04475442"/>
    <w:rsid w:val="046763C8"/>
    <w:rsid w:val="047A69CA"/>
    <w:rsid w:val="0495240D"/>
    <w:rsid w:val="049E5F7E"/>
    <w:rsid w:val="04C3001C"/>
    <w:rsid w:val="051618E9"/>
    <w:rsid w:val="051C244C"/>
    <w:rsid w:val="05213D6B"/>
    <w:rsid w:val="05761AB2"/>
    <w:rsid w:val="05960708"/>
    <w:rsid w:val="05FC61A3"/>
    <w:rsid w:val="061542C4"/>
    <w:rsid w:val="062E6874"/>
    <w:rsid w:val="0634525E"/>
    <w:rsid w:val="06813ABB"/>
    <w:rsid w:val="068416F2"/>
    <w:rsid w:val="06AB3F57"/>
    <w:rsid w:val="06D2392A"/>
    <w:rsid w:val="06E204BA"/>
    <w:rsid w:val="06FE605E"/>
    <w:rsid w:val="073D06A9"/>
    <w:rsid w:val="07414BE9"/>
    <w:rsid w:val="07765731"/>
    <w:rsid w:val="08071136"/>
    <w:rsid w:val="08403A81"/>
    <w:rsid w:val="08723FB4"/>
    <w:rsid w:val="088B746C"/>
    <w:rsid w:val="089E3A04"/>
    <w:rsid w:val="09110CA9"/>
    <w:rsid w:val="091C7BFC"/>
    <w:rsid w:val="091F62E2"/>
    <w:rsid w:val="09435F16"/>
    <w:rsid w:val="095B4058"/>
    <w:rsid w:val="097E1BBA"/>
    <w:rsid w:val="09824CCD"/>
    <w:rsid w:val="09A42D76"/>
    <w:rsid w:val="09AC38F3"/>
    <w:rsid w:val="09AC72BE"/>
    <w:rsid w:val="09EA5723"/>
    <w:rsid w:val="09F22972"/>
    <w:rsid w:val="09FB38FC"/>
    <w:rsid w:val="0A1C2B88"/>
    <w:rsid w:val="0A282DC6"/>
    <w:rsid w:val="0A2A3C42"/>
    <w:rsid w:val="0ADA2327"/>
    <w:rsid w:val="0AE34EFE"/>
    <w:rsid w:val="0AF13716"/>
    <w:rsid w:val="0AFD0547"/>
    <w:rsid w:val="0B095EDC"/>
    <w:rsid w:val="0B1772BC"/>
    <w:rsid w:val="0B817976"/>
    <w:rsid w:val="0B952A3A"/>
    <w:rsid w:val="0BC61B5C"/>
    <w:rsid w:val="0BC8075C"/>
    <w:rsid w:val="0BDD2A1E"/>
    <w:rsid w:val="0BFC1305"/>
    <w:rsid w:val="0C0543EF"/>
    <w:rsid w:val="0C062AE4"/>
    <w:rsid w:val="0C53354A"/>
    <w:rsid w:val="0C9B5B93"/>
    <w:rsid w:val="0CB67759"/>
    <w:rsid w:val="0CE67DDB"/>
    <w:rsid w:val="0CE825A7"/>
    <w:rsid w:val="0D3C6CFE"/>
    <w:rsid w:val="0DB9663C"/>
    <w:rsid w:val="0DC532A9"/>
    <w:rsid w:val="0DCA1952"/>
    <w:rsid w:val="0E4172A2"/>
    <w:rsid w:val="0E951160"/>
    <w:rsid w:val="0F55330C"/>
    <w:rsid w:val="0F7F0D3D"/>
    <w:rsid w:val="0FA02853"/>
    <w:rsid w:val="10205067"/>
    <w:rsid w:val="1021038A"/>
    <w:rsid w:val="106E775B"/>
    <w:rsid w:val="10764E16"/>
    <w:rsid w:val="10A01B6E"/>
    <w:rsid w:val="10B35629"/>
    <w:rsid w:val="110A6008"/>
    <w:rsid w:val="11A4040E"/>
    <w:rsid w:val="11A52587"/>
    <w:rsid w:val="11B64022"/>
    <w:rsid w:val="11C62951"/>
    <w:rsid w:val="11DA6BDB"/>
    <w:rsid w:val="11E301CB"/>
    <w:rsid w:val="11E32A0E"/>
    <w:rsid w:val="121357D2"/>
    <w:rsid w:val="123F1560"/>
    <w:rsid w:val="12557442"/>
    <w:rsid w:val="128319BA"/>
    <w:rsid w:val="12DD6C55"/>
    <w:rsid w:val="13103AA6"/>
    <w:rsid w:val="13786D24"/>
    <w:rsid w:val="13B47467"/>
    <w:rsid w:val="13CE7FBF"/>
    <w:rsid w:val="13F91C3B"/>
    <w:rsid w:val="1413274C"/>
    <w:rsid w:val="142A7EF5"/>
    <w:rsid w:val="14345ECC"/>
    <w:rsid w:val="145C231B"/>
    <w:rsid w:val="1472205C"/>
    <w:rsid w:val="14977738"/>
    <w:rsid w:val="154A1DCE"/>
    <w:rsid w:val="15976E86"/>
    <w:rsid w:val="15AC0FA8"/>
    <w:rsid w:val="15BD4F10"/>
    <w:rsid w:val="15C2159A"/>
    <w:rsid w:val="15C67F79"/>
    <w:rsid w:val="15C70AD7"/>
    <w:rsid w:val="15E96EBC"/>
    <w:rsid w:val="15F31E04"/>
    <w:rsid w:val="16006987"/>
    <w:rsid w:val="16124D3B"/>
    <w:rsid w:val="16223A97"/>
    <w:rsid w:val="1644565D"/>
    <w:rsid w:val="166002CD"/>
    <w:rsid w:val="16C43730"/>
    <w:rsid w:val="16E46D5F"/>
    <w:rsid w:val="16F40C6A"/>
    <w:rsid w:val="171346EE"/>
    <w:rsid w:val="173E25F4"/>
    <w:rsid w:val="175B6AFB"/>
    <w:rsid w:val="178B6F5F"/>
    <w:rsid w:val="17BE00C9"/>
    <w:rsid w:val="17C15961"/>
    <w:rsid w:val="181559B1"/>
    <w:rsid w:val="188E2B58"/>
    <w:rsid w:val="189C46CA"/>
    <w:rsid w:val="18A07E50"/>
    <w:rsid w:val="18F901AB"/>
    <w:rsid w:val="193A605E"/>
    <w:rsid w:val="1941587E"/>
    <w:rsid w:val="19551B59"/>
    <w:rsid w:val="195F4966"/>
    <w:rsid w:val="19936F7A"/>
    <w:rsid w:val="19BD26C4"/>
    <w:rsid w:val="1A2972A4"/>
    <w:rsid w:val="1A8B3B25"/>
    <w:rsid w:val="1AA44B0B"/>
    <w:rsid w:val="1AB843EC"/>
    <w:rsid w:val="1AD83127"/>
    <w:rsid w:val="1ADD2767"/>
    <w:rsid w:val="1AEF0318"/>
    <w:rsid w:val="1B064283"/>
    <w:rsid w:val="1B2C3153"/>
    <w:rsid w:val="1B3107EB"/>
    <w:rsid w:val="1B844D9B"/>
    <w:rsid w:val="1B8B5924"/>
    <w:rsid w:val="1B982347"/>
    <w:rsid w:val="1BA62CFD"/>
    <w:rsid w:val="1BDA5E84"/>
    <w:rsid w:val="1BF17AF8"/>
    <w:rsid w:val="1C5B00A6"/>
    <w:rsid w:val="1C6C6E5B"/>
    <w:rsid w:val="1C7F3291"/>
    <w:rsid w:val="1C96461C"/>
    <w:rsid w:val="1CA06882"/>
    <w:rsid w:val="1CE23ECF"/>
    <w:rsid w:val="1CF26A47"/>
    <w:rsid w:val="1CFA038B"/>
    <w:rsid w:val="1CFC2B79"/>
    <w:rsid w:val="1CFC3265"/>
    <w:rsid w:val="1D130BBE"/>
    <w:rsid w:val="1D424C6C"/>
    <w:rsid w:val="1DBE6917"/>
    <w:rsid w:val="1DE76D65"/>
    <w:rsid w:val="1DFE4AC7"/>
    <w:rsid w:val="1E247944"/>
    <w:rsid w:val="1E2A53AB"/>
    <w:rsid w:val="1E2E46E3"/>
    <w:rsid w:val="1E480338"/>
    <w:rsid w:val="1E751927"/>
    <w:rsid w:val="1E882155"/>
    <w:rsid w:val="1E9A6158"/>
    <w:rsid w:val="1EBC6BBB"/>
    <w:rsid w:val="1EC817D1"/>
    <w:rsid w:val="1EC9385A"/>
    <w:rsid w:val="1EEA4784"/>
    <w:rsid w:val="1EEB5C18"/>
    <w:rsid w:val="1F0439B8"/>
    <w:rsid w:val="1F5B6B5F"/>
    <w:rsid w:val="1F6461DE"/>
    <w:rsid w:val="1FC2348C"/>
    <w:rsid w:val="1FFC6614"/>
    <w:rsid w:val="2016267B"/>
    <w:rsid w:val="203743E4"/>
    <w:rsid w:val="203810B1"/>
    <w:rsid w:val="203E0AFC"/>
    <w:rsid w:val="204A281C"/>
    <w:rsid w:val="206B10D7"/>
    <w:rsid w:val="20C60FA4"/>
    <w:rsid w:val="20CD1747"/>
    <w:rsid w:val="20DD5544"/>
    <w:rsid w:val="214C0FD7"/>
    <w:rsid w:val="215632C4"/>
    <w:rsid w:val="215F0F58"/>
    <w:rsid w:val="21BF6AD2"/>
    <w:rsid w:val="21E507EA"/>
    <w:rsid w:val="21F0261F"/>
    <w:rsid w:val="22150532"/>
    <w:rsid w:val="225366C4"/>
    <w:rsid w:val="22621597"/>
    <w:rsid w:val="226774AE"/>
    <w:rsid w:val="22751CE2"/>
    <w:rsid w:val="228F1148"/>
    <w:rsid w:val="229628BF"/>
    <w:rsid w:val="22B762EB"/>
    <w:rsid w:val="22FC6EA3"/>
    <w:rsid w:val="2314294A"/>
    <w:rsid w:val="23430ED2"/>
    <w:rsid w:val="234F5CE5"/>
    <w:rsid w:val="235A7184"/>
    <w:rsid w:val="23856A56"/>
    <w:rsid w:val="238A50D3"/>
    <w:rsid w:val="23A34E55"/>
    <w:rsid w:val="23B0151F"/>
    <w:rsid w:val="23E139E7"/>
    <w:rsid w:val="247D3D05"/>
    <w:rsid w:val="24E60BF5"/>
    <w:rsid w:val="24FB1852"/>
    <w:rsid w:val="25575D93"/>
    <w:rsid w:val="25876BF1"/>
    <w:rsid w:val="25EA6DAB"/>
    <w:rsid w:val="26066270"/>
    <w:rsid w:val="26460DFC"/>
    <w:rsid w:val="26485134"/>
    <w:rsid w:val="26635C9B"/>
    <w:rsid w:val="26C30FE7"/>
    <w:rsid w:val="270458FC"/>
    <w:rsid w:val="27706CE2"/>
    <w:rsid w:val="277A2263"/>
    <w:rsid w:val="27ED6133"/>
    <w:rsid w:val="2801691E"/>
    <w:rsid w:val="28016BD2"/>
    <w:rsid w:val="28017E56"/>
    <w:rsid w:val="28677BD7"/>
    <w:rsid w:val="28A42483"/>
    <w:rsid w:val="28C21E77"/>
    <w:rsid w:val="28CE4FDC"/>
    <w:rsid w:val="291A31D2"/>
    <w:rsid w:val="292E3C66"/>
    <w:rsid w:val="295402E8"/>
    <w:rsid w:val="2970704E"/>
    <w:rsid w:val="299B141D"/>
    <w:rsid w:val="29B1316D"/>
    <w:rsid w:val="29B30461"/>
    <w:rsid w:val="29D60648"/>
    <w:rsid w:val="2A8B5620"/>
    <w:rsid w:val="2A972838"/>
    <w:rsid w:val="2AC03A64"/>
    <w:rsid w:val="2AC3230D"/>
    <w:rsid w:val="2AC9794F"/>
    <w:rsid w:val="2ACC5113"/>
    <w:rsid w:val="2B162050"/>
    <w:rsid w:val="2B460F81"/>
    <w:rsid w:val="2BCE78D5"/>
    <w:rsid w:val="2BD07AE6"/>
    <w:rsid w:val="2BD22A9D"/>
    <w:rsid w:val="2BDC2838"/>
    <w:rsid w:val="2BF0133B"/>
    <w:rsid w:val="2BFF18B7"/>
    <w:rsid w:val="2C4B3A25"/>
    <w:rsid w:val="2C5E2DB4"/>
    <w:rsid w:val="2C711547"/>
    <w:rsid w:val="2C712E3B"/>
    <w:rsid w:val="2CA92205"/>
    <w:rsid w:val="2CBF7B7E"/>
    <w:rsid w:val="2CC07E25"/>
    <w:rsid w:val="2CCF6BF3"/>
    <w:rsid w:val="2CD21C32"/>
    <w:rsid w:val="2CE13057"/>
    <w:rsid w:val="2CEA5805"/>
    <w:rsid w:val="2D07445C"/>
    <w:rsid w:val="2D1C36E1"/>
    <w:rsid w:val="2D200186"/>
    <w:rsid w:val="2D82383F"/>
    <w:rsid w:val="2D9E34FE"/>
    <w:rsid w:val="2DB01F49"/>
    <w:rsid w:val="2DC27331"/>
    <w:rsid w:val="2DE0465B"/>
    <w:rsid w:val="2E227EAC"/>
    <w:rsid w:val="2E40177D"/>
    <w:rsid w:val="2E480018"/>
    <w:rsid w:val="2E4B3CC0"/>
    <w:rsid w:val="2E9A30DF"/>
    <w:rsid w:val="2F116B6A"/>
    <w:rsid w:val="2F137B6C"/>
    <w:rsid w:val="2F1C0ABC"/>
    <w:rsid w:val="2F6F0DD2"/>
    <w:rsid w:val="2F734DBA"/>
    <w:rsid w:val="2F864DB6"/>
    <w:rsid w:val="2F9A3C45"/>
    <w:rsid w:val="2FA53187"/>
    <w:rsid w:val="2FC3240C"/>
    <w:rsid w:val="2FC418DA"/>
    <w:rsid w:val="2FC8649C"/>
    <w:rsid w:val="30197EE7"/>
    <w:rsid w:val="301C778A"/>
    <w:rsid w:val="30523053"/>
    <w:rsid w:val="3066636C"/>
    <w:rsid w:val="30C43082"/>
    <w:rsid w:val="30C87F8B"/>
    <w:rsid w:val="30F113D4"/>
    <w:rsid w:val="30FC697C"/>
    <w:rsid w:val="3125060F"/>
    <w:rsid w:val="316E12B7"/>
    <w:rsid w:val="31F83AF4"/>
    <w:rsid w:val="323D614E"/>
    <w:rsid w:val="327B5D94"/>
    <w:rsid w:val="328914F0"/>
    <w:rsid w:val="32F374ED"/>
    <w:rsid w:val="32F763F7"/>
    <w:rsid w:val="33000B4D"/>
    <w:rsid w:val="33104873"/>
    <w:rsid w:val="331F0579"/>
    <w:rsid w:val="332B2C37"/>
    <w:rsid w:val="3335518E"/>
    <w:rsid w:val="33914F31"/>
    <w:rsid w:val="33A40577"/>
    <w:rsid w:val="33D64E40"/>
    <w:rsid w:val="33ED16C0"/>
    <w:rsid w:val="33F259D3"/>
    <w:rsid w:val="341E46C7"/>
    <w:rsid w:val="34434F55"/>
    <w:rsid w:val="34884CA1"/>
    <w:rsid w:val="34885E83"/>
    <w:rsid w:val="34AD1835"/>
    <w:rsid w:val="34B97038"/>
    <w:rsid w:val="34C82B1B"/>
    <w:rsid w:val="34DF0FD5"/>
    <w:rsid w:val="34E75972"/>
    <w:rsid w:val="34FA6DF6"/>
    <w:rsid w:val="3529162A"/>
    <w:rsid w:val="35347296"/>
    <w:rsid w:val="35452685"/>
    <w:rsid w:val="355B679E"/>
    <w:rsid w:val="3562076D"/>
    <w:rsid w:val="358112BF"/>
    <w:rsid w:val="35934AB9"/>
    <w:rsid w:val="360A6DB8"/>
    <w:rsid w:val="36630EC6"/>
    <w:rsid w:val="367C580F"/>
    <w:rsid w:val="36852A77"/>
    <w:rsid w:val="36CD57DE"/>
    <w:rsid w:val="37257561"/>
    <w:rsid w:val="375A4111"/>
    <w:rsid w:val="379060A7"/>
    <w:rsid w:val="37A5228E"/>
    <w:rsid w:val="37A8035F"/>
    <w:rsid w:val="37B46A10"/>
    <w:rsid w:val="37C611F8"/>
    <w:rsid w:val="37D90551"/>
    <w:rsid w:val="37F6747D"/>
    <w:rsid w:val="37F762F0"/>
    <w:rsid w:val="38217D65"/>
    <w:rsid w:val="38495771"/>
    <w:rsid w:val="38497F54"/>
    <w:rsid w:val="3868025C"/>
    <w:rsid w:val="386D23A9"/>
    <w:rsid w:val="388B76F5"/>
    <w:rsid w:val="3892252C"/>
    <w:rsid w:val="38CF5B18"/>
    <w:rsid w:val="38D12505"/>
    <w:rsid w:val="393974C6"/>
    <w:rsid w:val="394A12A7"/>
    <w:rsid w:val="394E711A"/>
    <w:rsid w:val="398C389F"/>
    <w:rsid w:val="39977C02"/>
    <w:rsid w:val="39CD5909"/>
    <w:rsid w:val="39CF69AF"/>
    <w:rsid w:val="3A102854"/>
    <w:rsid w:val="3A9558E4"/>
    <w:rsid w:val="3A985977"/>
    <w:rsid w:val="3AAE41BD"/>
    <w:rsid w:val="3B151ED4"/>
    <w:rsid w:val="3B251795"/>
    <w:rsid w:val="3B3303E7"/>
    <w:rsid w:val="3B756326"/>
    <w:rsid w:val="3B9B734E"/>
    <w:rsid w:val="3B9D5024"/>
    <w:rsid w:val="3C432C6F"/>
    <w:rsid w:val="3C480F47"/>
    <w:rsid w:val="3C5956CB"/>
    <w:rsid w:val="3CC267F7"/>
    <w:rsid w:val="3CE0402F"/>
    <w:rsid w:val="3D9B0AD0"/>
    <w:rsid w:val="3DBF2DB0"/>
    <w:rsid w:val="3DD443C9"/>
    <w:rsid w:val="3DFE23F3"/>
    <w:rsid w:val="3E2D480D"/>
    <w:rsid w:val="3E4D101E"/>
    <w:rsid w:val="3EAF30DC"/>
    <w:rsid w:val="3F327EBB"/>
    <w:rsid w:val="3F4804F8"/>
    <w:rsid w:val="3F6428EB"/>
    <w:rsid w:val="3FB9125F"/>
    <w:rsid w:val="3FC20919"/>
    <w:rsid w:val="3FEE5CF7"/>
    <w:rsid w:val="3FFE7C7C"/>
    <w:rsid w:val="400E64A0"/>
    <w:rsid w:val="401F6432"/>
    <w:rsid w:val="402066CB"/>
    <w:rsid w:val="403B1F3C"/>
    <w:rsid w:val="40492F9A"/>
    <w:rsid w:val="404969C2"/>
    <w:rsid w:val="404E7EE0"/>
    <w:rsid w:val="409D36D5"/>
    <w:rsid w:val="40D57E80"/>
    <w:rsid w:val="40EF51FA"/>
    <w:rsid w:val="41042461"/>
    <w:rsid w:val="410E0F2E"/>
    <w:rsid w:val="41531072"/>
    <w:rsid w:val="416E3C31"/>
    <w:rsid w:val="41985B14"/>
    <w:rsid w:val="420A2350"/>
    <w:rsid w:val="421633BB"/>
    <w:rsid w:val="42196E16"/>
    <w:rsid w:val="423058B0"/>
    <w:rsid w:val="425C5CDD"/>
    <w:rsid w:val="426804CF"/>
    <w:rsid w:val="426C7C54"/>
    <w:rsid w:val="42844B67"/>
    <w:rsid w:val="42913046"/>
    <w:rsid w:val="42A641BB"/>
    <w:rsid w:val="42E41D3E"/>
    <w:rsid w:val="42E6512D"/>
    <w:rsid w:val="433B1ACE"/>
    <w:rsid w:val="434062AE"/>
    <w:rsid w:val="43A07520"/>
    <w:rsid w:val="43E871F9"/>
    <w:rsid w:val="441C36A7"/>
    <w:rsid w:val="44286808"/>
    <w:rsid w:val="44447C44"/>
    <w:rsid w:val="444930F3"/>
    <w:rsid w:val="449264EA"/>
    <w:rsid w:val="44964582"/>
    <w:rsid w:val="449B5F68"/>
    <w:rsid w:val="44C43AF6"/>
    <w:rsid w:val="44C9272E"/>
    <w:rsid w:val="44EE7248"/>
    <w:rsid w:val="4513612A"/>
    <w:rsid w:val="45156EF5"/>
    <w:rsid w:val="45296DE1"/>
    <w:rsid w:val="453B343D"/>
    <w:rsid w:val="453D48D7"/>
    <w:rsid w:val="45550F7E"/>
    <w:rsid w:val="455B5526"/>
    <w:rsid w:val="457715C0"/>
    <w:rsid w:val="45A14ED5"/>
    <w:rsid w:val="45A85B88"/>
    <w:rsid w:val="45C66E65"/>
    <w:rsid w:val="45CB50C2"/>
    <w:rsid w:val="46251654"/>
    <w:rsid w:val="463C3760"/>
    <w:rsid w:val="464E320F"/>
    <w:rsid w:val="466B3583"/>
    <w:rsid w:val="46DF0BF2"/>
    <w:rsid w:val="4711434E"/>
    <w:rsid w:val="478625E8"/>
    <w:rsid w:val="47BF0E93"/>
    <w:rsid w:val="47D457D7"/>
    <w:rsid w:val="47D70114"/>
    <w:rsid w:val="47ED7E95"/>
    <w:rsid w:val="48204841"/>
    <w:rsid w:val="48725DEE"/>
    <w:rsid w:val="4886243B"/>
    <w:rsid w:val="48967CA3"/>
    <w:rsid w:val="49217764"/>
    <w:rsid w:val="492366BC"/>
    <w:rsid w:val="4939348B"/>
    <w:rsid w:val="4960232C"/>
    <w:rsid w:val="497B5871"/>
    <w:rsid w:val="49870BE2"/>
    <w:rsid w:val="498C78C4"/>
    <w:rsid w:val="49BE5988"/>
    <w:rsid w:val="49C362E1"/>
    <w:rsid w:val="49F77BF6"/>
    <w:rsid w:val="4A3016E4"/>
    <w:rsid w:val="4A32303D"/>
    <w:rsid w:val="4A3844C4"/>
    <w:rsid w:val="4A41408B"/>
    <w:rsid w:val="4A4F407D"/>
    <w:rsid w:val="4A915160"/>
    <w:rsid w:val="4ADF3369"/>
    <w:rsid w:val="4B092DE4"/>
    <w:rsid w:val="4B280785"/>
    <w:rsid w:val="4B2C7F4C"/>
    <w:rsid w:val="4B387D9C"/>
    <w:rsid w:val="4B6312C2"/>
    <w:rsid w:val="4B661A47"/>
    <w:rsid w:val="4B6D1EAF"/>
    <w:rsid w:val="4B964222"/>
    <w:rsid w:val="4BAB58FB"/>
    <w:rsid w:val="4BCB4818"/>
    <w:rsid w:val="4C464675"/>
    <w:rsid w:val="4C500683"/>
    <w:rsid w:val="4C5A3DD9"/>
    <w:rsid w:val="4C610598"/>
    <w:rsid w:val="4C720A2F"/>
    <w:rsid w:val="4C7C74D7"/>
    <w:rsid w:val="4CC41302"/>
    <w:rsid w:val="4DFB0CD4"/>
    <w:rsid w:val="4E85140D"/>
    <w:rsid w:val="4E937FD6"/>
    <w:rsid w:val="4EE724FA"/>
    <w:rsid w:val="4EF62DB8"/>
    <w:rsid w:val="4F013F89"/>
    <w:rsid w:val="4F4529E7"/>
    <w:rsid w:val="4F52573A"/>
    <w:rsid w:val="4F5919E7"/>
    <w:rsid w:val="4FBB4EC0"/>
    <w:rsid w:val="4FD25C9E"/>
    <w:rsid w:val="50991EDF"/>
    <w:rsid w:val="509E2F25"/>
    <w:rsid w:val="50E63492"/>
    <w:rsid w:val="50EB0D25"/>
    <w:rsid w:val="513B5084"/>
    <w:rsid w:val="51496167"/>
    <w:rsid w:val="51EA7EE1"/>
    <w:rsid w:val="51FD6F0E"/>
    <w:rsid w:val="5259072A"/>
    <w:rsid w:val="52955AAB"/>
    <w:rsid w:val="52E75776"/>
    <w:rsid w:val="52F633DF"/>
    <w:rsid w:val="530E1087"/>
    <w:rsid w:val="53497EB3"/>
    <w:rsid w:val="534F3124"/>
    <w:rsid w:val="535B233E"/>
    <w:rsid w:val="53F42E2D"/>
    <w:rsid w:val="543536EE"/>
    <w:rsid w:val="544A05BC"/>
    <w:rsid w:val="545F6A86"/>
    <w:rsid w:val="54624C13"/>
    <w:rsid w:val="548A469E"/>
    <w:rsid w:val="54A31875"/>
    <w:rsid w:val="54AF7FBD"/>
    <w:rsid w:val="54EF5D6E"/>
    <w:rsid w:val="55070BC7"/>
    <w:rsid w:val="55261E55"/>
    <w:rsid w:val="55692CF8"/>
    <w:rsid w:val="559A41E8"/>
    <w:rsid w:val="55AB1511"/>
    <w:rsid w:val="55D858BB"/>
    <w:rsid w:val="55FE6027"/>
    <w:rsid w:val="560600F3"/>
    <w:rsid w:val="561E7EBE"/>
    <w:rsid w:val="562D45BC"/>
    <w:rsid w:val="56407B09"/>
    <w:rsid w:val="56ED7925"/>
    <w:rsid w:val="56FF64E6"/>
    <w:rsid w:val="57332442"/>
    <w:rsid w:val="5775477C"/>
    <w:rsid w:val="57F66347"/>
    <w:rsid w:val="57FD0FCE"/>
    <w:rsid w:val="581E719B"/>
    <w:rsid w:val="584307AB"/>
    <w:rsid w:val="58600111"/>
    <w:rsid w:val="58C11DE6"/>
    <w:rsid w:val="58CF10F1"/>
    <w:rsid w:val="58E84CDE"/>
    <w:rsid w:val="594216DF"/>
    <w:rsid w:val="595B7806"/>
    <w:rsid w:val="5989085B"/>
    <w:rsid w:val="5A744133"/>
    <w:rsid w:val="5A9B3F45"/>
    <w:rsid w:val="5AA97200"/>
    <w:rsid w:val="5AED65D2"/>
    <w:rsid w:val="5AF219F5"/>
    <w:rsid w:val="5B070C87"/>
    <w:rsid w:val="5B0D334C"/>
    <w:rsid w:val="5B161368"/>
    <w:rsid w:val="5BC0628A"/>
    <w:rsid w:val="5BD23B1B"/>
    <w:rsid w:val="5BEF5698"/>
    <w:rsid w:val="5BF77A8E"/>
    <w:rsid w:val="5C05259F"/>
    <w:rsid w:val="5C126588"/>
    <w:rsid w:val="5C223790"/>
    <w:rsid w:val="5C34662D"/>
    <w:rsid w:val="5C3500CF"/>
    <w:rsid w:val="5C424B29"/>
    <w:rsid w:val="5C5D7F97"/>
    <w:rsid w:val="5C7030B7"/>
    <w:rsid w:val="5C781F87"/>
    <w:rsid w:val="5C9B086D"/>
    <w:rsid w:val="5CD023DB"/>
    <w:rsid w:val="5CD11F74"/>
    <w:rsid w:val="5D5E5ACA"/>
    <w:rsid w:val="5E1525C9"/>
    <w:rsid w:val="5E780DE7"/>
    <w:rsid w:val="5EAA26D2"/>
    <w:rsid w:val="5F524673"/>
    <w:rsid w:val="5F620D2B"/>
    <w:rsid w:val="5F737A1D"/>
    <w:rsid w:val="5F90025A"/>
    <w:rsid w:val="5F9F7838"/>
    <w:rsid w:val="5FC20598"/>
    <w:rsid w:val="5FC51119"/>
    <w:rsid w:val="5FCD700D"/>
    <w:rsid w:val="5FF540CC"/>
    <w:rsid w:val="600A3527"/>
    <w:rsid w:val="60267FA0"/>
    <w:rsid w:val="604D52E3"/>
    <w:rsid w:val="6058457E"/>
    <w:rsid w:val="60B15490"/>
    <w:rsid w:val="612352B1"/>
    <w:rsid w:val="615F07E2"/>
    <w:rsid w:val="618A2464"/>
    <w:rsid w:val="61C94DF9"/>
    <w:rsid w:val="61D52E2F"/>
    <w:rsid w:val="61EB5666"/>
    <w:rsid w:val="61ED7A5E"/>
    <w:rsid w:val="62303D5D"/>
    <w:rsid w:val="626C19D2"/>
    <w:rsid w:val="627C2DCB"/>
    <w:rsid w:val="628A0A88"/>
    <w:rsid w:val="629A001A"/>
    <w:rsid w:val="62AB2011"/>
    <w:rsid w:val="62CC203B"/>
    <w:rsid w:val="62EE73B5"/>
    <w:rsid w:val="62F94030"/>
    <w:rsid w:val="633D219F"/>
    <w:rsid w:val="63553927"/>
    <w:rsid w:val="63A93C21"/>
    <w:rsid w:val="63BD49B7"/>
    <w:rsid w:val="641250A5"/>
    <w:rsid w:val="643B0BFE"/>
    <w:rsid w:val="64474CAD"/>
    <w:rsid w:val="644E622C"/>
    <w:rsid w:val="6455415A"/>
    <w:rsid w:val="64603949"/>
    <w:rsid w:val="646A2C3A"/>
    <w:rsid w:val="64730CF5"/>
    <w:rsid w:val="648C7D41"/>
    <w:rsid w:val="64BF52CC"/>
    <w:rsid w:val="651656BB"/>
    <w:rsid w:val="653845CF"/>
    <w:rsid w:val="65777EA0"/>
    <w:rsid w:val="65C470AC"/>
    <w:rsid w:val="660A64F9"/>
    <w:rsid w:val="66257A53"/>
    <w:rsid w:val="66314DBC"/>
    <w:rsid w:val="66812D68"/>
    <w:rsid w:val="66C75D81"/>
    <w:rsid w:val="66C81966"/>
    <w:rsid w:val="66D745E8"/>
    <w:rsid w:val="66EF64DE"/>
    <w:rsid w:val="675527F8"/>
    <w:rsid w:val="67A0541F"/>
    <w:rsid w:val="67BE739F"/>
    <w:rsid w:val="67C21409"/>
    <w:rsid w:val="67D456ED"/>
    <w:rsid w:val="68107AC2"/>
    <w:rsid w:val="689E467A"/>
    <w:rsid w:val="68DD0C3D"/>
    <w:rsid w:val="68E0247D"/>
    <w:rsid w:val="69083FD6"/>
    <w:rsid w:val="693E28DB"/>
    <w:rsid w:val="698875E1"/>
    <w:rsid w:val="69CF144E"/>
    <w:rsid w:val="69D333D8"/>
    <w:rsid w:val="69E16204"/>
    <w:rsid w:val="6A0474B6"/>
    <w:rsid w:val="6A1D288A"/>
    <w:rsid w:val="6A604072"/>
    <w:rsid w:val="6A6A3BD7"/>
    <w:rsid w:val="6A6A6CBE"/>
    <w:rsid w:val="6A880AB6"/>
    <w:rsid w:val="6A921B55"/>
    <w:rsid w:val="6AA22DEE"/>
    <w:rsid w:val="6AAF541D"/>
    <w:rsid w:val="6ABC169E"/>
    <w:rsid w:val="6B67584E"/>
    <w:rsid w:val="6B823E9B"/>
    <w:rsid w:val="6BB3345C"/>
    <w:rsid w:val="6BF12EC5"/>
    <w:rsid w:val="6C0E3541"/>
    <w:rsid w:val="6C430016"/>
    <w:rsid w:val="6C60560E"/>
    <w:rsid w:val="6C6F2662"/>
    <w:rsid w:val="6C9C0CD4"/>
    <w:rsid w:val="6CC86952"/>
    <w:rsid w:val="6CED60FD"/>
    <w:rsid w:val="6D086207"/>
    <w:rsid w:val="6D2C36F8"/>
    <w:rsid w:val="6D59291C"/>
    <w:rsid w:val="6D5C4073"/>
    <w:rsid w:val="6D800EBB"/>
    <w:rsid w:val="6DF51766"/>
    <w:rsid w:val="6E3C4502"/>
    <w:rsid w:val="6E901616"/>
    <w:rsid w:val="6EA922A6"/>
    <w:rsid w:val="6F906DFE"/>
    <w:rsid w:val="6F9A48A3"/>
    <w:rsid w:val="6FD41200"/>
    <w:rsid w:val="6FE858E1"/>
    <w:rsid w:val="703A1956"/>
    <w:rsid w:val="704C5298"/>
    <w:rsid w:val="70695ECA"/>
    <w:rsid w:val="70703B24"/>
    <w:rsid w:val="70796558"/>
    <w:rsid w:val="709003B6"/>
    <w:rsid w:val="70B80FB3"/>
    <w:rsid w:val="70FD7138"/>
    <w:rsid w:val="713B07A1"/>
    <w:rsid w:val="715A4EAA"/>
    <w:rsid w:val="71736A55"/>
    <w:rsid w:val="719F674B"/>
    <w:rsid w:val="71BD0B48"/>
    <w:rsid w:val="71F439FB"/>
    <w:rsid w:val="720D7FD0"/>
    <w:rsid w:val="723658F8"/>
    <w:rsid w:val="725D65AA"/>
    <w:rsid w:val="737278EA"/>
    <w:rsid w:val="73A437ED"/>
    <w:rsid w:val="73C92F0C"/>
    <w:rsid w:val="741824FC"/>
    <w:rsid w:val="743D16FF"/>
    <w:rsid w:val="744039EE"/>
    <w:rsid w:val="747A030C"/>
    <w:rsid w:val="747D299F"/>
    <w:rsid w:val="74976AE8"/>
    <w:rsid w:val="74D96899"/>
    <w:rsid w:val="75266B64"/>
    <w:rsid w:val="75297E31"/>
    <w:rsid w:val="7550795A"/>
    <w:rsid w:val="75553BE7"/>
    <w:rsid w:val="75755B6A"/>
    <w:rsid w:val="758D7D70"/>
    <w:rsid w:val="75AD6065"/>
    <w:rsid w:val="75D42CC5"/>
    <w:rsid w:val="75DA04FF"/>
    <w:rsid w:val="75DE1FEE"/>
    <w:rsid w:val="762D5FCB"/>
    <w:rsid w:val="76302E5C"/>
    <w:rsid w:val="763F3CFC"/>
    <w:rsid w:val="765701C8"/>
    <w:rsid w:val="766C70F2"/>
    <w:rsid w:val="76823820"/>
    <w:rsid w:val="76851EDA"/>
    <w:rsid w:val="76B007C7"/>
    <w:rsid w:val="76B0400F"/>
    <w:rsid w:val="76D2065D"/>
    <w:rsid w:val="77201A8E"/>
    <w:rsid w:val="774A31FE"/>
    <w:rsid w:val="777C30C2"/>
    <w:rsid w:val="777F15FD"/>
    <w:rsid w:val="77811839"/>
    <w:rsid w:val="77BA0EE3"/>
    <w:rsid w:val="77C8518D"/>
    <w:rsid w:val="77D86A9C"/>
    <w:rsid w:val="77E94A24"/>
    <w:rsid w:val="784A58CB"/>
    <w:rsid w:val="785B69FF"/>
    <w:rsid w:val="786F04AF"/>
    <w:rsid w:val="7880690C"/>
    <w:rsid w:val="789F7EC7"/>
    <w:rsid w:val="78C94EFD"/>
    <w:rsid w:val="78F146E0"/>
    <w:rsid w:val="79697613"/>
    <w:rsid w:val="797647E0"/>
    <w:rsid w:val="797E2208"/>
    <w:rsid w:val="79932ACB"/>
    <w:rsid w:val="79C276B2"/>
    <w:rsid w:val="7A3C12D9"/>
    <w:rsid w:val="7A6A251C"/>
    <w:rsid w:val="7A884A5E"/>
    <w:rsid w:val="7A976DBD"/>
    <w:rsid w:val="7AAA6CAE"/>
    <w:rsid w:val="7BC3753E"/>
    <w:rsid w:val="7BF07D1C"/>
    <w:rsid w:val="7C017BB5"/>
    <w:rsid w:val="7C170DAE"/>
    <w:rsid w:val="7CF943E8"/>
    <w:rsid w:val="7D11554A"/>
    <w:rsid w:val="7D1F405F"/>
    <w:rsid w:val="7D8F50A6"/>
    <w:rsid w:val="7DA82A73"/>
    <w:rsid w:val="7DC14E1B"/>
    <w:rsid w:val="7DE474DD"/>
    <w:rsid w:val="7DFE033A"/>
    <w:rsid w:val="7E0019DA"/>
    <w:rsid w:val="7E0344F3"/>
    <w:rsid w:val="7E222A61"/>
    <w:rsid w:val="7E7D72AF"/>
    <w:rsid w:val="7E926008"/>
    <w:rsid w:val="7F007CE9"/>
    <w:rsid w:val="7F0F31DE"/>
    <w:rsid w:val="7F1228A2"/>
    <w:rsid w:val="7F1D51CB"/>
    <w:rsid w:val="7F3B70D2"/>
    <w:rsid w:val="7F45045D"/>
    <w:rsid w:val="7F7A2BD7"/>
    <w:rsid w:val="7F872118"/>
    <w:rsid w:val="7F8B5CD3"/>
    <w:rsid w:val="7F981FAE"/>
    <w:rsid w:val="7FA8080C"/>
    <w:rsid w:val="7FA91A07"/>
    <w:rsid w:val="7FD97E14"/>
  </w:rsids>
  <m:mathPr>
    <m:mathFont m:val="Cambria Math"/>
    <m:brkBin m:val="before"/>
    <m:brkBinSub m:val="--"/>
    <m:smallFrac m:val="0"/>
    <m:dispDef/>
    <m:lMargin m:val="0"/>
    <m:rMargin m:val="0"/>
    <m:defJc m:val="centerGroup"/>
    <m:wrapIndent m:val="1440"/>
    <m:intLim m:val="subSup"/>
    <m:naryLim m:val="undOvr"/>
  </m:mathPr>
  <w:themeFontLang w:val="en-US" w:eastAsia="zh-CN" w:bidi="ug-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iPriority="0" w:semiHidden="0"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nhideWhenUsed="0" w:uiPriority="0" w:semiHidden="0" w:name="footnote reference"/>
    <w:lsdException w:qFormat="1" w:uiPriority="99" w:semiHidden="0" w:name="annotation reference"/>
    <w:lsdException w:uiPriority="99" w:name="line number"/>
    <w:lsdException w:uiPriority="99" w:name="page number"/>
    <w:lsdException w:qFormat="1" w:uiPriority="99" w:semiHidden="0" w:name="endnote reference"/>
    <w:lsdException w:qFormat="1" w:uiPriority="99" w:semiHidden="0"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qFormat="1" w:uiPriority="99" w:semiHidden="0"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4"/>
      <w:lang w:val="en-US" w:eastAsia="zh-CN" w:bidi="ar-SA"/>
    </w:rPr>
  </w:style>
  <w:style w:type="paragraph" w:styleId="3">
    <w:name w:val="heading 1"/>
    <w:basedOn w:val="1"/>
    <w:next w:val="1"/>
    <w:qFormat/>
    <w:uiPriority w:val="0"/>
    <w:pPr>
      <w:keepNext/>
      <w:keepLines/>
      <w:numPr>
        <w:ilvl w:val="0"/>
        <w:numId w:val="1"/>
      </w:numPr>
      <w:spacing w:line="460" w:lineRule="exact"/>
      <w:ind w:left="0" w:firstLine="720" w:firstLineChars="200"/>
      <w:outlineLvl w:val="0"/>
    </w:pPr>
    <w:rPr>
      <w:rFonts w:ascii="楷体_GB2312" w:hAnsi="楷体_GB2312" w:eastAsia="楷体_GB2312" w:cs="楷体_GB2312"/>
      <w:b/>
      <w:bCs/>
      <w:kern w:val="0"/>
      <w:sz w:val="28"/>
    </w:rPr>
  </w:style>
  <w:style w:type="paragraph" w:styleId="4">
    <w:name w:val="heading 2"/>
    <w:basedOn w:val="1"/>
    <w:next w:val="1"/>
    <w:link w:val="33"/>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5">
    <w:name w:val="heading 3"/>
    <w:basedOn w:val="1"/>
    <w:next w:val="1"/>
    <w:link w:val="37"/>
    <w:unhideWhenUsed/>
    <w:qFormat/>
    <w:uiPriority w:val="9"/>
    <w:pPr>
      <w:keepNext/>
      <w:keepLines/>
      <w:spacing w:before="260" w:after="260" w:line="416" w:lineRule="auto"/>
      <w:outlineLvl w:val="2"/>
    </w:pPr>
    <w:rPr>
      <w:b/>
      <w:bCs/>
      <w:sz w:val="32"/>
      <w:szCs w:val="32"/>
    </w:rPr>
  </w:style>
  <w:style w:type="character" w:default="1" w:styleId="24">
    <w:name w:val="Default Paragraph Font"/>
    <w:semiHidden/>
    <w:unhideWhenUsed/>
    <w:qFormat/>
    <w:uiPriority w:val="1"/>
  </w:style>
  <w:style w:type="table" w:default="1" w:styleId="22">
    <w:name w:val="Normal Table"/>
    <w:semiHidden/>
    <w:unhideWhenUsed/>
    <w:qFormat/>
    <w:uiPriority w:val="99"/>
    <w:tblPr>
      <w:tblCellMar>
        <w:top w:w="0" w:type="dxa"/>
        <w:left w:w="108" w:type="dxa"/>
        <w:bottom w:w="0" w:type="dxa"/>
        <w:right w:w="108" w:type="dxa"/>
      </w:tblCellMar>
    </w:tblPr>
  </w:style>
  <w:style w:type="paragraph" w:styleId="2">
    <w:name w:val="toc 2"/>
    <w:basedOn w:val="1"/>
    <w:next w:val="1"/>
    <w:unhideWhenUsed/>
    <w:qFormat/>
    <w:uiPriority w:val="39"/>
    <w:pPr>
      <w:ind w:left="420" w:leftChars="200"/>
    </w:pPr>
  </w:style>
  <w:style w:type="paragraph" w:styleId="6">
    <w:name w:val="Normal Indent"/>
    <w:basedOn w:val="1"/>
    <w:qFormat/>
    <w:uiPriority w:val="0"/>
    <w:pPr>
      <w:ind w:firstLine="420" w:firstLineChars="200"/>
    </w:pPr>
  </w:style>
  <w:style w:type="paragraph" w:styleId="7">
    <w:name w:val="annotation text"/>
    <w:basedOn w:val="1"/>
    <w:link w:val="38"/>
    <w:unhideWhenUsed/>
    <w:qFormat/>
    <w:uiPriority w:val="99"/>
    <w:pPr>
      <w:jc w:val="left"/>
    </w:pPr>
  </w:style>
  <w:style w:type="paragraph" w:styleId="8">
    <w:name w:val="Body Text"/>
    <w:basedOn w:val="1"/>
    <w:link w:val="40"/>
    <w:unhideWhenUsed/>
    <w:qFormat/>
    <w:uiPriority w:val="99"/>
    <w:pPr>
      <w:spacing w:after="120"/>
    </w:pPr>
  </w:style>
  <w:style w:type="paragraph" w:styleId="9">
    <w:name w:val="Body Text Indent"/>
    <w:basedOn w:val="1"/>
    <w:qFormat/>
    <w:uiPriority w:val="0"/>
    <w:pPr>
      <w:widowControl/>
      <w:adjustRightInd w:val="0"/>
      <w:snapToGrid w:val="0"/>
      <w:spacing w:line="600" w:lineRule="atLeast"/>
      <w:ind w:firstLine="640" w:firstLineChars="200"/>
    </w:pPr>
    <w:rPr>
      <w:rFonts w:ascii="仿宋_GB2312" w:eastAsia="仿宋_GB2312" w:cs="仿宋_GB2312"/>
      <w:kern w:val="0"/>
      <w:sz w:val="32"/>
      <w:szCs w:val="32"/>
    </w:rPr>
  </w:style>
  <w:style w:type="paragraph" w:styleId="10">
    <w:name w:val="toc 3"/>
    <w:basedOn w:val="1"/>
    <w:next w:val="1"/>
    <w:unhideWhenUsed/>
    <w:qFormat/>
    <w:uiPriority w:val="39"/>
    <w:pPr>
      <w:ind w:left="840" w:leftChars="400"/>
    </w:pPr>
  </w:style>
  <w:style w:type="paragraph" w:styleId="11">
    <w:name w:val="Plain Text"/>
    <w:basedOn w:val="1"/>
    <w:unhideWhenUsed/>
    <w:qFormat/>
    <w:uiPriority w:val="99"/>
    <w:rPr>
      <w:rFonts w:ascii="宋体" w:hAnsi="Courier New" w:cs="Courier New"/>
      <w:szCs w:val="21"/>
    </w:rPr>
  </w:style>
  <w:style w:type="paragraph" w:styleId="12">
    <w:name w:val="Date"/>
    <w:basedOn w:val="1"/>
    <w:next w:val="1"/>
    <w:link w:val="65"/>
    <w:unhideWhenUsed/>
    <w:qFormat/>
    <w:uiPriority w:val="99"/>
    <w:pPr>
      <w:ind w:left="100" w:leftChars="2500"/>
    </w:pPr>
  </w:style>
  <w:style w:type="paragraph" w:styleId="13">
    <w:name w:val="endnote text"/>
    <w:basedOn w:val="1"/>
    <w:unhideWhenUsed/>
    <w:qFormat/>
    <w:uiPriority w:val="99"/>
    <w:pPr>
      <w:snapToGrid w:val="0"/>
      <w:jc w:val="left"/>
    </w:pPr>
  </w:style>
  <w:style w:type="paragraph" w:styleId="14">
    <w:name w:val="Balloon Text"/>
    <w:basedOn w:val="1"/>
    <w:link w:val="36"/>
    <w:unhideWhenUsed/>
    <w:qFormat/>
    <w:uiPriority w:val="99"/>
    <w:rPr>
      <w:sz w:val="18"/>
      <w:szCs w:val="18"/>
    </w:rPr>
  </w:style>
  <w:style w:type="paragraph" w:styleId="15">
    <w:name w:val="footer"/>
    <w:basedOn w:val="1"/>
    <w:link w:val="35"/>
    <w:unhideWhenUsed/>
    <w:qFormat/>
    <w:uiPriority w:val="99"/>
    <w:pPr>
      <w:tabs>
        <w:tab w:val="center" w:pos="4153"/>
        <w:tab w:val="right" w:pos="8306"/>
      </w:tabs>
      <w:snapToGrid w:val="0"/>
      <w:jc w:val="left"/>
    </w:pPr>
    <w:rPr>
      <w:sz w:val="18"/>
      <w:szCs w:val="18"/>
    </w:rPr>
  </w:style>
  <w:style w:type="paragraph" w:styleId="16">
    <w:name w:val="header"/>
    <w:basedOn w:val="1"/>
    <w:link w:val="34"/>
    <w:unhideWhenUsed/>
    <w:qFormat/>
    <w:uiPriority w:val="99"/>
    <w:pPr>
      <w:pBdr>
        <w:bottom w:val="single" w:color="auto" w:sz="6" w:space="1"/>
      </w:pBdr>
      <w:tabs>
        <w:tab w:val="center" w:pos="4153"/>
        <w:tab w:val="right" w:pos="8306"/>
      </w:tabs>
      <w:snapToGrid w:val="0"/>
      <w:jc w:val="center"/>
    </w:pPr>
    <w:rPr>
      <w:sz w:val="18"/>
      <w:szCs w:val="18"/>
    </w:rPr>
  </w:style>
  <w:style w:type="paragraph" w:styleId="17">
    <w:name w:val="toc 1"/>
    <w:basedOn w:val="1"/>
    <w:next w:val="1"/>
    <w:unhideWhenUsed/>
    <w:qFormat/>
    <w:uiPriority w:val="39"/>
  </w:style>
  <w:style w:type="paragraph" w:styleId="18">
    <w:name w:val="footnote text"/>
    <w:basedOn w:val="1"/>
    <w:link w:val="47"/>
    <w:unhideWhenUsed/>
    <w:qFormat/>
    <w:uiPriority w:val="0"/>
    <w:pPr>
      <w:snapToGrid w:val="0"/>
      <w:jc w:val="left"/>
    </w:pPr>
    <w:rPr>
      <w:sz w:val="18"/>
      <w:szCs w:val="18"/>
    </w:rPr>
  </w:style>
  <w:style w:type="paragraph" w:styleId="19">
    <w:name w:val="Normal (Web)"/>
    <w:basedOn w:val="1"/>
    <w:qFormat/>
    <w:uiPriority w:val="99"/>
    <w:pPr>
      <w:widowControl/>
      <w:spacing w:before="100" w:beforeAutospacing="1" w:after="100" w:afterAutospacing="1"/>
      <w:jc w:val="left"/>
    </w:pPr>
    <w:rPr>
      <w:rFonts w:ascii="宋体" w:hAnsi="宋体" w:cs="宋体"/>
      <w:kern w:val="0"/>
      <w:sz w:val="24"/>
    </w:rPr>
  </w:style>
  <w:style w:type="paragraph" w:styleId="20">
    <w:name w:val="annotation subject"/>
    <w:basedOn w:val="7"/>
    <w:next w:val="7"/>
    <w:link w:val="39"/>
    <w:unhideWhenUsed/>
    <w:qFormat/>
    <w:uiPriority w:val="99"/>
    <w:rPr>
      <w:b/>
      <w:bCs/>
    </w:rPr>
  </w:style>
  <w:style w:type="paragraph" w:styleId="21">
    <w:name w:val="Body Text First Indent"/>
    <w:basedOn w:val="8"/>
    <w:link w:val="64"/>
    <w:unhideWhenUsed/>
    <w:qFormat/>
    <w:uiPriority w:val="99"/>
    <w:pPr>
      <w:ind w:firstLine="420" w:firstLineChars="100"/>
    </w:pPr>
  </w:style>
  <w:style w:type="table" w:styleId="23">
    <w:name w:val="Table Grid"/>
    <w:basedOn w:val="2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5">
    <w:name w:val="Strong"/>
    <w:basedOn w:val="24"/>
    <w:qFormat/>
    <w:uiPriority w:val="22"/>
    <w:rPr>
      <w:b/>
    </w:rPr>
  </w:style>
  <w:style w:type="character" w:styleId="26">
    <w:name w:val="endnote reference"/>
    <w:basedOn w:val="24"/>
    <w:unhideWhenUsed/>
    <w:qFormat/>
    <w:uiPriority w:val="99"/>
    <w:rPr>
      <w:vertAlign w:val="superscript"/>
    </w:rPr>
  </w:style>
  <w:style w:type="character" w:styleId="27">
    <w:name w:val="Emphasis"/>
    <w:basedOn w:val="24"/>
    <w:qFormat/>
    <w:uiPriority w:val="20"/>
    <w:rPr>
      <w:i/>
    </w:rPr>
  </w:style>
  <w:style w:type="character" w:styleId="28">
    <w:name w:val="Hyperlink"/>
    <w:basedOn w:val="24"/>
    <w:unhideWhenUsed/>
    <w:qFormat/>
    <w:uiPriority w:val="99"/>
    <w:rPr>
      <w:color w:val="0000FF" w:themeColor="hyperlink"/>
      <w:u w:val="single"/>
      <w14:textFill>
        <w14:solidFill>
          <w14:schemeClr w14:val="hlink"/>
        </w14:solidFill>
      </w14:textFill>
    </w:rPr>
  </w:style>
  <w:style w:type="character" w:styleId="29">
    <w:name w:val="annotation reference"/>
    <w:basedOn w:val="24"/>
    <w:unhideWhenUsed/>
    <w:qFormat/>
    <w:uiPriority w:val="99"/>
    <w:rPr>
      <w:sz w:val="21"/>
      <w:szCs w:val="21"/>
    </w:rPr>
  </w:style>
  <w:style w:type="character" w:styleId="30">
    <w:name w:val="footnote reference"/>
    <w:qFormat/>
    <w:uiPriority w:val="0"/>
    <w:rPr>
      <w:vertAlign w:val="superscript"/>
    </w:rPr>
  </w:style>
  <w:style w:type="paragraph" w:customStyle="1" w:styleId="31">
    <w:name w:val="Default"/>
    <w:qFormat/>
    <w:uiPriority w:val="99"/>
    <w:pPr>
      <w:widowControl w:val="0"/>
      <w:autoSpaceDE w:val="0"/>
      <w:autoSpaceDN w:val="0"/>
      <w:adjustRightInd w:val="0"/>
    </w:pPr>
    <w:rPr>
      <w:rFonts w:ascii="Calibri" w:hAnsi="Calibri" w:eastAsia="宋体" w:cs="Times New Roman"/>
      <w:color w:val="000000"/>
      <w:sz w:val="24"/>
      <w:szCs w:val="24"/>
      <w:lang w:val="en-US" w:eastAsia="zh-CN" w:bidi="ar-SA"/>
    </w:rPr>
  </w:style>
  <w:style w:type="paragraph" w:customStyle="1" w:styleId="32">
    <w:name w:val="标题 Char Char"/>
    <w:basedOn w:val="1"/>
    <w:qFormat/>
    <w:uiPriority w:val="99"/>
    <w:pPr>
      <w:jc w:val="center"/>
      <w:outlineLvl w:val="0"/>
    </w:pPr>
    <w:rPr>
      <w:rFonts w:ascii="Arial" w:hAnsi="Arial" w:cs="Arial"/>
      <w:b/>
      <w:bCs/>
      <w:sz w:val="32"/>
      <w:szCs w:val="32"/>
    </w:rPr>
  </w:style>
  <w:style w:type="character" w:customStyle="1" w:styleId="33">
    <w:name w:val="标题 2 字符"/>
    <w:basedOn w:val="24"/>
    <w:link w:val="4"/>
    <w:qFormat/>
    <w:uiPriority w:val="9"/>
    <w:rPr>
      <w:rFonts w:asciiTheme="majorHAnsi" w:hAnsiTheme="majorHAnsi" w:eastAsiaTheme="majorEastAsia" w:cstheme="majorBidi"/>
      <w:b/>
      <w:bCs/>
      <w:sz w:val="32"/>
      <w:szCs w:val="32"/>
    </w:rPr>
  </w:style>
  <w:style w:type="character" w:customStyle="1" w:styleId="34">
    <w:name w:val="页眉 字符"/>
    <w:basedOn w:val="24"/>
    <w:link w:val="16"/>
    <w:qFormat/>
    <w:uiPriority w:val="99"/>
    <w:rPr>
      <w:rFonts w:ascii="Calibri" w:hAnsi="Calibri"/>
      <w:kern w:val="2"/>
      <w:sz w:val="18"/>
      <w:szCs w:val="18"/>
      <w:lang w:bidi="ar-SA"/>
    </w:rPr>
  </w:style>
  <w:style w:type="character" w:customStyle="1" w:styleId="35">
    <w:name w:val="页脚 字符"/>
    <w:basedOn w:val="24"/>
    <w:link w:val="15"/>
    <w:qFormat/>
    <w:uiPriority w:val="99"/>
    <w:rPr>
      <w:rFonts w:ascii="Calibri" w:hAnsi="Calibri"/>
      <w:kern w:val="2"/>
      <w:sz w:val="18"/>
      <w:szCs w:val="18"/>
      <w:lang w:bidi="ar-SA"/>
    </w:rPr>
  </w:style>
  <w:style w:type="character" w:customStyle="1" w:styleId="36">
    <w:name w:val="批注框文本 字符"/>
    <w:basedOn w:val="24"/>
    <w:link w:val="14"/>
    <w:semiHidden/>
    <w:qFormat/>
    <w:uiPriority w:val="99"/>
    <w:rPr>
      <w:rFonts w:ascii="Calibri" w:hAnsi="Calibri"/>
      <w:kern w:val="2"/>
      <w:sz w:val="18"/>
      <w:szCs w:val="18"/>
      <w:lang w:bidi="ar-SA"/>
    </w:rPr>
  </w:style>
  <w:style w:type="character" w:customStyle="1" w:styleId="37">
    <w:name w:val="标题 3 字符"/>
    <w:basedOn w:val="24"/>
    <w:link w:val="5"/>
    <w:semiHidden/>
    <w:qFormat/>
    <w:uiPriority w:val="9"/>
    <w:rPr>
      <w:rFonts w:ascii="Calibri" w:hAnsi="Calibri"/>
      <w:b/>
      <w:bCs/>
      <w:kern w:val="2"/>
      <w:sz w:val="32"/>
      <w:szCs w:val="32"/>
      <w:lang w:bidi="ar-SA"/>
    </w:rPr>
  </w:style>
  <w:style w:type="character" w:customStyle="1" w:styleId="38">
    <w:name w:val="批注文字 字符"/>
    <w:basedOn w:val="24"/>
    <w:link w:val="7"/>
    <w:semiHidden/>
    <w:qFormat/>
    <w:uiPriority w:val="99"/>
    <w:rPr>
      <w:rFonts w:ascii="Calibri" w:hAnsi="Calibri"/>
      <w:kern w:val="2"/>
      <w:sz w:val="21"/>
      <w:szCs w:val="24"/>
      <w:lang w:bidi="ar-SA"/>
    </w:rPr>
  </w:style>
  <w:style w:type="character" w:customStyle="1" w:styleId="39">
    <w:name w:val="批注主题 字符"/>
    <w:basedOn w:val="38"/>
    <w:link w:val="20"/>
    <w:semiHidden/>
    <w:qFormat/>
    <w:uiPriority w:val="99"/>
    <w:rPr>
      <w:rFonts w:ascii="Calibri" w:hAnsi="Calibri"/>
      <w:b/>
      <w:bCs/>
      <w:kern w:val="2"/>
      <w:sz w:val="21"/>
      <w:szCs w:val="24"/>
      <w:lang w:bidi="ar-SA"/>
    </w:rPr>
  </w:style>
  <w:style w:type="character" w:customStyle="1" w:styleId="40">
    <w:name w:val="正文文本 字符"/>
    <w:basedOn w:val="24"/>
    <w:link w:val="8"/>
    <w:semiHidden/>
    <w:qFormat/>
    <w:uiPriority w:val="99"/>
    <w:rPr>
      <w:rFonts w:ascii="Calibri" w:hAnsi="Calibri"/>
      <w:kern w:val="2"/>
      <w:sz w:val="21"/>
      <w:szCs w:val="24"/>
      <w:lang w:bidi="ar-SA"/>
    </w:rPr>
  </w:style>
  <w:style w:type="paragraph" w:customStyle="1" w:styleId="41">
    <w:name w:val="一级标题"/>
    <w:basedOn w:val="4"/>
    <w:link w:val="43"/>
    <w:qFormat/>
    <w:uiPriority w:val="0"/>
    <w:pPr>
      <w:adjustRightInd w:val="0"/>
      <w:snapToGrid w:val="0"/>
      <w:spacing w:beforeLines="100" w:after="0" w:line="360" w:lineRule="auto"/>
      <w:ind w:left="100" w:leftChars="100"/>
      <w:jc w:val="left"/>
    </w:pPr>
    <w:rPr>
      <w:rFonts w:eastAsia="黑体"/>
      <w:b w:val="0"/>
    </w:rPr>
  </w:style>
  <w:style w:type="paragraph" w:customStyle="1" w:styleId="42">
    <w:name w:val="二级标题"/>
    <w:basedOn w:val="5"/>
    <w:link w:val="45"/>
    <w:qFormat/>
    <w:uiPriority w:val="0"/>
    <w:pPr>
      <w:spacing w:before="0" w:after="0" w:line="640" w:lineRule="exact"/>
      <w:ind w:firstLine="200" w:firstLineChars="200"/>
      <w:jc w:val="left"/>
    </w:pPr>
    <w:rPr>
      <w:rFonts w:ascii="黑体" w:hAnsi="黑体" w:eastAsia="楷体" w:cs="宋体"/>
      <w:b w:val="0"/>
    </w:rPr>
  </w:style>
  <w:style w:type="character" w:customStyle="1" w:styleId="43">
    <w:name w:val="一级标题 字符"/>
    <w:basedOn w:val="24"/>
    <w:link w:val="41"/>
    <w:qFormat/>
    <w:uiPriority w:val="0"/>
    <w:rPr>
      <w:rFonts w:eastAsia="黑体" w:asciiTheme="majorHAnsi" w:hAnsiTheme="majorHAnsi" w:cstheme="majorBidi"/>
      <w:bCs/>
      <w:kern w:val="2"/>
      <w:sz w:val="32"/>
      <w:szCs w:val="32"/>
      <w:lang w:bidi="ar-SA"/>
    </w:rPr>
  </w:style>
  <w:style w:type="paragraph" w:customStyle="1" w:styleId="44">
    <w:name w:val="TOC 标题1"/>
    <w:basedOn w:val="3"/>
    <w:next w:val="1"/>
    <w:unhideWhenUsed/>
    <w:qFormat/>
    <w:uiPriority w:val="39"/>
    <w:pPr>
      <w:widowControl/>
      <w:numPr>
        <w:numId w:val="0"/>
      </w:numPr>
      <w:spacing w:before="240" w:line="259" w:lineRule="auto"/>
      <w:jc w:val="left"/>
      <w:outlineLvl w:val="9"/>
    </w:pPr>
    <w:rPr>
      <w:rFonts w:asciiTheme="majorHAnsi" w:hAnsiTheme="majorHAnsi" w:eastAsiaTheme="majorEastAsia" w:cstheme="majorBidi"/>
      <w:b w:val="0"/>
      <w:bCs w:val="0"/>
      <w:color w:val="376092" w:themeColor="accent1" w:themeShade="BF"/>
      <w:sz w:val="32"/>
      <w:szCs w:val="32"/>
    </w:rPr>
  </w:style>
  <w:style w:type="character" w:customStyle="1" w:styleId="45">
    <w:name w:val="二级标题 字符"/>
    <w:basedOn w:val="24"/>
    <w:link w:val="42"/>
    <w:qFormat/>
    <w:uiPriority w:val="0"/>
    <w:rPr>
      <w:rFonts w:ascii="黑体" w:hAnsi="黑体" w:eastAsia="楷体" w:cs="宋体"/>
      <w:bCs/>
      <w:kern w:val="2"/>
      <w:sz w:val="32"/>
      <w:szCs w:val="32"/>
      <w:lang w:bidi="ar-SA"/>
    </w:rPr>
  </w:style>
  <w:style w:type="paragraph" w:customStyle="1" w:styleId="46">
    <w:name w:val="列出段落1"/>
    <w:basedOn w:val="1"/>
    <w:qFormat/>
    <w:uiPriority w:val="99"/>
    <w:pPr>
      <w:ind w:firstLine="420" w:firstLineChars="200"/>
    </w:pPr>
  </w:style>
  <w:style w:type="character" w:customStyle="1" w:styleId="47">
    <w:name w:val="脚注文本 字符"/>
    <w:basedOn w:val="24"/>
    <w:link w:val="18"/>
    <w:semiHidden/>
    <w:qFormat/>
    <w:uiPriority w:val="99"/>
    <w:rPr>
      <w:rFonts w:ascii="Calibri" w:hAnsi="Calibri"/>
      <w:kern w:val="2"/>
      <w:sz w:val="18"/>
      <w:szCs w:val="18"/>
    </w:rPr>
  </w:style>
  <w:style w:type="paragraph" w:customStyle="1" w:styleId="48">
    <w:name w:val="WPSOffice手动目录 1"/>
    <w:qFormat/>
    <w:uiPriority w:val="0"/>
    <w:rPr>
      <w:rFonts w:ascii="Times New Roman" w:hAnsi="Times New Roman" w:eastAsia="宋体" w:cs="Times New Roman"/>
      <w:lang w:val="en-US" w:eastAsia="zh-CN" w:bidi="ug-CN"/>
    </w:rPr>
  </w:style>
  <w:style w:type="paragraph" w:customStyle="1" w:styleId="49">
    <w:name w:val="WPSOffice手动目录 2"/>
    <w:qFormat/>
    <w:uiPriority w:val="0"/>
    <w:pPr>
      <w:ind w:left="200" w:leftChars="200"/>
    </w:pPr>
    <w:rPr>
      <w:rFonts w:ascii="Times New Roman" w:hAnsi="Times New Roman" w:eastAsia="宋体" w:cs="Times New Roman"/>
      <w:lang w:val="en-US" w:eastAsia="zh-CN" w:bidi="ug-CN"/>
    </w:rPr>
  </w:style>
  <w:style w:type="paragraph" w:customStyle="1" w:styleId="50">
    <w:name w:val="TOC 标题2"/>
    <w:basedOn w:val="3"/>
    <w:next w:val="1"/>
    <w:unhideWhenUsed/>
    <w:qFormat/>
    <w:uiPriority w:val="39"/>
    <w:pPr>
      <w:widowControl/>
      <w:numPr>
        <w:numId w:val="0"/>
      </w:numPr>
      <w:spacing w:before="240" w:line="259" w:lineRule="auto"/>
      <w:jc w:val="left"/>
      <w:outlineLvl w:val="9"/>
    </w:pPr>
    <w:rPr>
      <w:rFonts w:asciiTheme="majorHAnsi" w:hAnsiTheme="majorHAnsi" w:eastAsiaTheme="majorEastAsia" w:cstheme="majorBidi"/>
      <w:b w:val="0"/>
      <w:bCs w:val="0"/>
      <w:color w:val="376092" w:themeColor="accent1" w:themeShade="BF"/>
      <w:sz w:val="32"/>
      <w:szCs w:val="32"/>
    </w:rPr>
  </w:style>
  <w:style w:type="character" w:customStyle="1" w:styleId="51">
    <w:name w:val="NormalCharacter"/>
    <w:qFormat/>
    <w:uiPriority w:val="0"/>
  </w:style>
  <w:style w:type="paragraph" w:customStyle="1" w:styleId="52">
    <w:name w:val="default paragraph font Char"/>
    <w:basedOn w:val="1"/>
    <w:qFormat/>
    <w:uiPriority w:val="0"/>
    <w:pPr>
      <w:spacing w:line="240" w:lineRule="atLeast"/>
      <w:ind w:left="420" w:firstLine="420"/>
    </w:pPr>
    <w:rPr>
      <w:rFonts w:ascii="Times New Roman" w:hAnsi="Times New Roman"/>
      <w:kern w:val="0"/>
      <w:szCs w:val="20"/>
    </w:rPr>
  </w:style>
  <w:style w:type="paragraph" w:customStyle="1" w:styleId="53">
    <w:name w:val="列出段落2"/>
    <w:basedOn w:val="1"/>
    <w:qFormat/>
    <w:uiPriority w:val="99"/>
    <w:pPr>
      <w:ind w:firstLine="420" w:firstLineChars="200"/>
    </w:pPr>
  </w:style>
  <w:style w:type="paragraph" w:customStyle="1" w:styleId="54">
    <w:name w:val="p0"/>
    <w:basedOn w:val="1"/>
    <w:qFormat/>
    <w:uiPriority w:val="0"/>
    <w:pPr>
      <w:widowControl/>
    </w:pPr>
    <w:rPr>
      <w:kern w:val="0"/>
      <w:szCs w:val="21"/>
    </w:rPr>
  </w:style>
  <w:style w:type="paragraph" w:customStyle="1" w:styleId="55">
    <w:name w:val="正文文本缩进1"/>
    <w:basedOn w:val="1"/>
    <w:qFormat/>
    <w:uiPriority w:val="0"/>
    <w:pPr>
      <w:spacing w:line="580" w:lineRule="exact"/>
      <w:ind w:firstLine="643" w:firstLineChars="200"/>
    </w:pPr>
    <w:rPr>
      <w:rFonts w:ascii="仿宋_GB2312" w:hAnsi="黑体" w:eastAsia="仿宋_GB2312"/>
      <w:b/>
      <w:kern w:val="0"/>
      <w:sz w:val="32"/>
      <w:szCs w:val="32"/>
    </w:rPr>
  </w:style>
  <w:style w:type="paragraph" w:customStyle="1" w:styleId="56">
    <w:name w:val="彩色列表1"/>
    <w:basedOn w:val="1"/>
    <w:qFormat/>
    <w:uiPriority w:val="99"/>
    <w:pPr>
      <w:ind w:firstLine="420" w:firstLineChars="200"/>
    </w:pPr>
  </w:style>
  <w:style w:type="character" w:customStyle="1" w:styleId="57">
    <w:name w:val="font91"/>
    <w:basedOn w:val="24"/>
    <w:qFormat/>
    <w:uiPriority w:val="0"/>
    <w:rPr>
      <w:rFonts w:ascii="仿宋_GB2312" w:hAnsi="仿宋_GB2312" w:eastAsia="仿宋_GB2312" w:cs="仿宋_GB2312"/>
      <w:color w:val="000000"/>
      <w:sz w:val="18"/>
      <w:szCs w:val="18"/>
      <w:u w:val="none"/>
    </w:rPr>
  </w:style>
  <w:style w:type="character" w:customStyle="1" w:styleId="58">
    <w:name w:val="font61"/>
    <w:basedOn w:val="24"/>
    <w:qFormat/>
    <w:uiPriority w:val="0"/>
    <w:rPr>
      <w:rFonts w:hint="eastAsia" w:ascii="宋体" w:hAnsi="宋体" w:eastAsia="宋体" w:cs="宋体"/>
      <w:color w:val="000000"/>
      <w:sz w:val="18"/>
      <w:szCs w:val="18"/>
      <w:u w:val="none"/>
    </w:rPr>
  </w:style>
  <w:style w:type="character" w:customStyle="1" w:styleId="59">
    <w:name w:val="font212"/>
    <w:basedOn w:val="24"/>
    <w:qFormat/>
    <w:uiPriority w:val="0"/>
    <w:rPr>
      <w:rFonts w:hint="eastAsia" w:ascii="宋体" w:hAnsi="宋体" w:eastAsia="宋体" w:cs="宋体"/>
      <w:color w:val="000000"/>
      <w:sz w:val="18"/>
      <w:szCs w:val="18"/>
      <w:u w:val="none"/>
      <w:vertAlign w:val="superscript"/>
    </w:rPr>
  </w:style>
  <w:style w:type="character" w:customStyle="1" w:styleId="60">
    <w:name w:val="font201"/>
    <w:basedOn w:val="24"/>
    <w:qFormat/>
    <w:uiPriority w:val="0"/>
    <w:rPr>
      <w:rFonts w:hint="eastAsia" w:ascii="宋体" w:hAnsi="宋体" w:eastAsia="宋体" w:cs="宋体"/>
      <w:color w:val="000000"/>
      <w:sz w:val="18"/>
      <w:szCs w:val="18"/>
      <w:u w:val="none"/>
    </w:rPr>
  </w:style>
  <w:style w:type="character" w:customStyle="1" w:styleId="61">
    <w:name w:val="font21"/>
    <w:basedOn w:val="24"/>
    <w:qFormat/>
    <w:uiPriority w:val="0"/>
    <w:rPr>
      <w:rFonts w:hint="eastAsia" w:ascii="宋体" w:hAnsi="宋体" w:eastAsia="宋体" w:cs="宋体"/>
      <w:color w:val="000000"/>
      <w:sz w:val="24"/>
      <w:szCs w:val="24"/>
      <w:u w:val="none"/>
    </w:rPr>
  </w:style>
  <w:style w:type="character" w:customStyle="1" w:styleId="62">
    <w:name w:val="font191"/>
    <w:basedOn w:val="24"/>
    <w:qFormat/>
    <w:uiPriority w:val="0"/>
    <w:rPr>
      <w:rFonts w:hint="eastAsia" w:ascii="宋体" w:hAnsi="宋体" w:eastAsia="宋体" w:cs="宋体"/>
      <w:color w:val="000000"/>
      <w:sz w:val="18"/>
      <w:szCs w:val="18"/>
      <w:u w:val="none"/>
    </w:rPr>
  </w:style>
  <w:style w:type="paragraph" w:customStyle="1" w:styleId="63">
    <w:name w:val="列出段落3"/>
    <w:basedOn w:val="1"/>
    <w:unhideWhenUsed/>
    <w:qFormat/>
    <w:uiPriority w:val="99"/>
    <w:pPr>
      <w:ind w:firstLine="420" w:firstLineChars="200"/>
    </w:pPr>
  </w:style>
  <w:style w:type="character" w:customStyle="1" w:styleId="64">
    <w:name w:val="正文文本首行缩进 字符"/>
    <w:basedOn w:val="40"/>
    <w:link w:val="21"/>
    <w:qFormat/>
    <w:uiPriority w:val="99"/>
    <w:rPr>
      <w:rFonts w:ascii="Calibri" w:hAnsi="Calibri" w:cs="Times New Roman"/>
      <w:kern w:val="2"/>
      <w:sz w:val="21"/>
      <w:szCs w:val="24"/>
      <w:lang w:bidi="ar-SA"/>
    </w:rPr>
  </w:style>
  <w:style w:type="character" w:customStyle="1" w:styleId="65">
    <w:name w:val="日期 字符"/>
    <w:basedOn w:val="24"/>
    <w:link w:val="12"/>
    <w:semiHidden/>
    <w:qFormat/>
    <w:uiPriority w:val="99"/>
    <w:rPr>
      <w:rFonts w:ascii="Calibri" w:hAnsi="Calibri" w:cs="Times New Roman"/>
      <w:kern w:val="2"/>
      <w:sz w:val="21"/>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6.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footnotes" Target="footnotes.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2.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19E8D80-8DEB-49AF-9FD2-F26B88C267D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96</Pages>
  <Words>48377</Words>
  <Characters>49515</Characters>
  <Lines>380</Lines>
  <Paragraphs>107</Paragraphs>
  <TotalTime>6</TotalTime>
  <ScaleCrop>false</ScaleCrop>
  <LinksUpToDate>false</LinksUpToDate>
  <CharactersWithSpaces>49976</CharactersWithSpaces>
  <Application>WPS Office_11.1.0.12165_F1E327BC-269C-435d-A152-05C5408002CA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2021-04-29T03:34:00Z</dcterms:created>
  <dc:creator>余苏权</dc:creator>
  <cp:lastModifiedBy>提拉米书</cp:lastModifiedBy>
  <cp:lastPrinted>2021-01-27T09:24:00Z</cp:lastPrinted>
  <dcterms:modified xsi:type="dcterms:W3CDTF">2024-12-24T08:02:03Z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2052-11.1.0.12165</vt:lpwstr>
  </property>
  <property fmtid="{D5CDD505-2E9C-101B-9397-08002B2CF9AE}" pid="3" name="KSOSaveFontToCloudKey">
    <vt:lpwstr>0_btnclosed</vt:lpwstr>
  </property>
  <property fmtid="{D5CDD505-2E9C-101B-9397-08002B2CF9AE}" pid="4" name="ICV">
    <vt:lpwstr>BD235268F4174D68B5220309B6E069FB</vt:lpwstr>
  </property>
</Properties>
</file>